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ConsPlusNormal1"/>
        <w:jc w:val="center"/>
        <w:rPr>
          <w:rFonts w:ascii="Times New Roman" w:hAnsi="Times New Roman" w:cs="Times New Roman"/>
        </w:rPr>
      </w:pPr>
      <w:r>
        <w:rPr>
          <w:rFonts w:cs="Times New Roman" w:ascii="Times New Roman" w:hAnsi="Times New Roman"/>
        </w:rPr>
        <w:t>Договор</w:t>
      </w:r>
      <w:r>
        <w:rPr>
          <w:rFonts w:cs="Times New Roman" w:ascii="Times New Roman" w:hAnsi="Times New Roman"/>
        </w:rPr>
        <w:t xml:space="preserve"> № ПМ26-</w:t>
      </w:r>
      <w:r>
        <w:rPr>
          <w:rFonts w:cs="Times New Roman" w:ascii="Times New Roman" w:hAnsi="Times New Roman"/>
        </w:rPr>
        <w:t>2</w:t>
      </w:r>
    </w:p>
    <w:p>
      <w:pPr>
        <w:pStyle w:val="ConsPlusNormal1"/>
        <w:jc w:val="center"/>
        <w:rPr>
          <w:rFonts w:ascii="Times New Roman" w:hAnsi="Times New Roman" w:cs="Times New Roman"/>
        </w:rPr>
      </w:pPr>
      <w:r>
        <w:rPr>
          <w:rFonts w:cs="Times New Roman" w:ascii="Times New Roman" w:hAnsi="Times New Roman"/>
        </w:rPr>
        <w:t>на оказание услуг по проведению ежегодного профилактического медицинского осмотра сотрудников органов принудительного исполнения</w:t>
      </w:r>
    </w:p>
    <w:p>
      <w:pPr>
        <w:pStyle w:val="ConsPlusNormal1"/>
        <w:jc w:val="center"/>
        <w:rPr>
          <w:rFonts w:ascii="Times New Roman" w:hAnsi="Times New Roman" w:cs="Times New Roman"/>
        </w:rPr>
      </w:pPr>
      <w:r>
        <w:rPr>
          <w:rFonts w:cs="Times New Roman" w:ascii="Times New Roman" w:hAnsi="Times New Roman"/>
        </w:rPr>
      </w:r>
    </w:p>
    <w:p>
      <w:pPr>
        <w:pStyle w:val="ConsPlusNormal1"/>
        <w:jc w:val="center"/>
        <w:rPr/>
      </w:pPr>
      <w:r>
        <w:rPr>
          <w:rFonts w:cs="Times New Roman" w:ascii="Times New Roman" w:hAnsi="Times New Roman"/>
        </w:rPr>
        <w:t>Идентификационный код закупки</w:t>
      </w:r>
      <w:r>
        <w:rPr>
          <w:rFonts w:cs="Times New Roman" w:ascii="Times New Roman" w:hAnsi="Times New Roman"/>
          <w:color w:val="000000"/>
        </w:rPr>
        <w:t xml:space="preserve"> 261132619229013260100100300390000244</w:t>
      </w:r>
    </w:p>
    <w:p>
      <w:pPr>
        <w:pStyle w:val="ConsPlusNormal1"/>
        <w:jc w:val="center"/>
        <w:rPr>
          <w:rFonts w:ascii="Times New Roman" w:hAnsi="Times New Roman" w:cs="Times New Roman"/>
        </w:rPr>
      </w:pPr>
      <w:r>
        <w:rPr>
          <w:rFonts w:cs="Times New Roman" w:ascii="Times New Roman" w:hAnsi="Times New Roman"/>
        </w:rPr>
      </w:r>
    </w:p>
    <w:p>
      <w:pPr>
        <w:pStyle w:val="ConsPlusNormal1"/>
        <w:ind w:hanging="0" w:end="0"/>
        <w:jc w:val="both"/>
        <w:rPr>
          <w:rFonts w:ascii="Times New Roman" w:hAnsi="Times New Roman" w:eastAsia="Calibri" w:cs="Times New Roman"/>
          <w:lang w:eastAsia="en-US"/>
        </w:rPr>
      </w:pPr>
      <w:r>
        <w:rPr>
          <w:rFonts w:eastAsia="Calibri" w:cs="Times New Roman" w:ascii="Times New Roman" w:hAnsi="Times New Roman"/>
          <w:lang w:eastAsia="en-US"/>
        </w:rPr>
        <w:t>«___» ________ 20                г.                                                                                                                г. Саранск</w:t>
      </w:r>
    </w:p>
    <w:p>
      <w:pPr>
        <w:pStyle w:val="ConsPlusNormal1"/>
        <w:jc w:val="both"/>
        <w:rPr>
          <w:rFonts w:ascii="Times New Roman" w:hAnsi="Times New Roman" w:eastAsia="Calibri" w:cs="Times New Roman"/>
          <w:lang w:eastAsia="en-US"/>
        </w:rPr>
      </w:pPr>
      <w:r>
        <w:rPr>
          <w:rFonts w:eastAsia="Calibri" w:cs="Times New Roman" w:ascii="Times New Roman" w:hAnsi="Times New Roman"/>
          <w:lang w:eastAsia="en-US"/>
        </w:rPr>
      </w:r>
    </w:p>
    <w:p>
      <w:pPr>
        <w:pStyle w:val="Normal"/>
        <w:spacing w:lineRule="auto" w:line="240" w:before="0" w:after="0"/>
        <w:jc w:val="both"/>
        <w:rPr/>
      </w:pPr>
      <w:r>
        <w:rPr>
          <w:rFonts w:cs="Times New Roman" w:ascii="Times New Roman" w:hAnsi="Times New Roman"/>
        </w:rPr>
        <w:t xml:space="preserve">Управление Федеральной службы судебных приставов по Республике Мордовия (УФССП России по Республике Мордовия) именуемое в дальнейшем «Заказчик», в лице                                          , действующего на основании                                , с одной стороны, и                                  </w:t>
      </w:r>
      <w:r>
        <w:rPr>
          <w:rFonts w:cs="Times New Roman" w:ascii="Times New Roman" w:hAnsi="Times New Roman"/>
          <w:color w:val="000000"/>
        </w:rPr>
        <w:t xml:space="preserve">, именуемое в дальнейшем «Исполнитель», в лице </w:t>
      </w:r>
      <w:r>
        <w:rPr>
          <w:rFonts w:eastAsia="Times New Roman" w:cs="Times New Roman" w:ascii="Times New Roman" w:hAnsi="Times New Roman"/>
          <w:bCs/>
          <w:color w:val="000000"/>
          <w:lang w:eastAsia="ru-RU"/>
        </w:rPr>
        <w:t xml:space="preserve">                                   </w:t>
      </w:r>
      <w:r>
        <w:rPr>
          <w:rFonts w:cs="Times New Roman" w:ascii="Times New Roman" w:hAnsi="Times New Roman"/>
          <w:color w:val="000000"/>
        </w:rPr>
        <w:t xml:space="preserve">, действующего на основании                                , </w:t>
      </w:r>
      <w:r>
        <w:rPr>
          <w:rFonts w:cs="Times New Roman" w:ascii="Times New Roman" w:hAnsi="Times New Roman"/>
        </w:rPr>
        <w:t xml:space="preserve">с другой стороны, вместе именуемые в дальнейшем "Стороны", на основании </w:t>
      </w:r>
      <w:r>
        <w:rPr>
          <w:rFonts w:eastAsia="Times New Roman" w:cs="Times New Roman" w:ascii="Times New Roman" w:hAnsi="Times New Roman"/>
          <w:lang w:eastAsia="ru-RU"/>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на основании протокола подведения итогов ________________________ от __ ___________ 20__ г. № _____ заключили настоящий </w:t>
      </w:r>
      <w:r>
        <w:rPr>
          <w:rFonts w:eastAsia="Times New Roman" w:cs="Times New Roman" w:ascii="Times New Roman" w:hAnsi="Times New Roman"/>
          <w:lang w:eastAsia="ru-RU"/>
        </w:rPr>
        <w:t xml:space="preserve">договор </w:t>
      </w:r>
      <w:r>
        <w:rPr>
          <w:rFonts w:eastAsia="Times New Roman" w:cs="Times New Roman" w:ascii="Times New Roman" w:hAnsi="Times New Roman"/>
          <w:lang w:eastAsia="ru-RU"/>
        </w:rPr>
        <w:t>(далее – Контракт) о нижеследующем:</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r>
    </w:p>
    <w:p>
      <w:pPr>
        <w:pStyle w:val="Normal"/>
        <w:spacing w:lineRule="auto" w:line="240" w:before="0" w:after="0"/>
        <w:ind w:firstLine="709" w:end="0"/>
        <w:jc w:val="center"/>
        <w:rPr>
          <w:rFonts w:ascii="Times New Roman" w:hAnsi="Times New Roman" w:cs="Times New Roman"/>
        </w:rPr>
      </w:pPr>
      <w:r>
        <w:rPr>
          <w:rFonts w:cs="Times New Roman" w:ascii="Times New Roman" w:hAnsi="Times New Roman"/>
          <w:b/>
          <w:bCs/>
          <w:color w:val="000000"/>
          <w:spacing w:val="2"/>
        </w:rPr>
        <w:t>1.  ПРЕДМЕТ КОНТРАКТА</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 xml:space="preserve">1. Заказчик поручает, а Исполнитель принимает на себя обязательство оказать услуги по проведению ежегодного профилактического медицинского осмотра сотрудников </w:t>
      </w:r>
      <w:r>
        <w:rPr>
          <w:rFonts w:cs="Times New Roman" w:ascii="Times New Roman" w:hAnsi="Times New Roman"/>
        </w:rPr>
        <w:t xml:space="preserve">мужского пола </w:t>
      </w:r>
      <w:r>
        <w:rPr>
          <w:rFonts w:cs="Times New Roman" w:ascii="Times New Roman" w:hAnsi="Times New Roman"/>
        </w:rPr>
        <w:t xml:space="preserve">Управления Федеральной службы судебных приставов по Республике Мордовия, в порядке, установленном Приказом Министерства юстиции Российской Федерации от 02.04.2020. №81 «Об утверждении порядка ежегодного прохождения сотрудниками органов принудительного исполнения Российской Федерации профилактических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(далее – Услуги), предусмотренные настоящим Контрактом и Техническим заданием (Приложение № 1 к Контракту). </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Место оказания услуг: г. Саранск, (по месту нахождения Исполнителя).</w:t>
      </w:r>
    </w:p>
    <w:p>
      <w:pPr>
        <w:pStyle w:val="Normal"/>
        <w:spacing w:lineRule="auto" w:line="240" w:before="0" w:after="0"/>
        <w:ind w:firstLine="709" w:end="0"/>
        <w:jc w:val="both"/>
        <w:rPr>
          <w:rFonts w:ascii="Times New Roman" w:hAnsi="Times New Roman" w:eastAsia="Times New Roman" w:cs="Times New Roman"/>
          <w:lang w:eastAsia="zh-CN"/>
        </w:rPr>
      </w:pPr>
      <w:r>
        <w:rPr>
          <w:rFonts w:cs="Times New Roman" w:ascii="Times New Roman" w:hAnsi="Times New Roman"/>
        </w:rPr>
        <w:t>Срок оказания услуг с даты заключения контракта по 30.10.2026.</w:t>
      </w:r>
    </w:p>
    <w:p>
      <w:pPr>
        <w:pStyle w:val="Normal"/>
        <w:suppressAutoHyphens w:val="true"/>
        <w:overflowPunct w:val="false"/>
        <w:autoSpaceDE w:val="false"/>
        <w:spacing w:lineRule="auto" w:line="240" w:before="0" w:after="0"/>
        <w:ind w:firstLine="540" w:end="0"/>
        <w:jc w:val="both"/>
        <w:textAlignment w:val="baseline"/>
        <w:rPr>
          <w:rFonts w:ascii="Times New Roman" w:hAnsi="Times New Roman" w:cs="Times New Roman"/>
        </w:rPr>
      </w:pPr>
      <w:r>
        <w:rPr>
          <w:rFonts w:eastAsia="Times New Roman" w:cs="Times New Roman" w:ascii="Times New Roman" w:hAnsi="Times New Roman"/>
          <w:lang w:eastAsia="zh-CN"/>
        </w:rPr>
        <w:t>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услуг определить невозможно.</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tabs>
          <w:tab w:val="clear" w:pos="708"/>
          <w:tab w:val="left" w:pos="709" w:leader="none"/>
          <w:tab w:val="left" w:pos="1560" w:leader="none"/>
          <w:tab w:val="left" w:pos="2127" w:leader="none"/>
          <w:tab w:val="left" w:pos="2410" w:leader="none"/>
          <w:tab w:val="left" w:pos="2552" w:leader="none"/>
          <w:tab w:val="left" w:pos="2835" w:leader="none"/>
          <w:tab w:val="left" w:pos="2977" w:leader="none"/>
          <w:tab w:val="left" w:pos="3119" w:leader="none"/>
          <w:tab w:val="left" w:pos="3402" w:leader="none"/>
          <w:tab w:val="left" w:pos="3544" w:leader="none"/>
        </w:tabs>
        <w:spacing w:lineRule="auto" w:line="240" w:before="0" w:after="0"/>
        <w:ind w:firstLine="709" w:end="0"/>
        <w:jc w:val="center"/>
        <w:rPr>
          <w:rFonts w:ascii="Times New Roman" w:hAnsi="Times New Roman" w:cs="Times New Roman"/>
          <w:color w:val="000000"/>
        </w:rPr>
      </w:pPr>
      <w:r>
        <w:rPr>
          <w:rFonts w:cs="Times New Roman" w:ascii="Times New Roman" w:hAnsi="Times New Roman"/>
          <w:b/>
          <w:bCs/>
          <w:color w:val="000000"/>
          <w:spacing w:val="1"/>
        </w:rPr>
        <w:t>2.  ЦЕНА КОНТРАКТА И ПОРЯДОК ОПЛАТЫ</w:t>
      </w:r>
    </w:p>
    <w:p>
      <w:pPr>
        <w:pStyle w:val="Normal"/>
        <w:spacing w:lineRule="auto" w:line="240" w:before="0" w:after="0"/>
        <w:ind w:firstLine="709" w:end="0"/>
        <w:contextualSpacing/>
        <w:jc w:val="both"/>
        <w:rPr>
          <w:rFonts w:ascii="Times New Roman" w:hAnsi="Times New Roman" w:cs="Times New Roman"/>
        </w:rPr>
      </w:pPr>
      <w:r>
        <w:rPr>
          <w:rFonts w:cs="Times New Roman" w:ascii="Times New Roman" w:hAnsi="Times New Roman"/>
          <w:color w:val="000000"/>
        </w:rPr>
        <w:t xml:space="preserve">2.1. Максимальное значении цены </w:t>
      </w:r>
      <w:r>
        <w:rPr>
          <w:rFonts w:cs="Times New Roman" w:ascii="Times New Roman" w:hAnsi="Times New Roman"/>
        </w:rPr>
        <w:t xml:space="preserve">Контракта составляет:                                                 (НДС не облагается / НДС - _____--%). </w:t>
      </w:r>
      <w:r>
        <w:rPr>
          <w:rFonts w:cs="Times New Roman" w:ascii="Times New Roman" w:hAnsi="Times New Roman"/>
          <w:color w:val="000000"/>
          <w:szCs w:val="24"/>
          <w:lang w:val="ru-RU"/>
        </w:rPr>
        <w:t>В цену контракта включены все расходы на оплату налогов, сборов, пошлин и т.д.</w:t>
      </w:r>
      <w:r>
        <w:rPr>
          <w:rFonts w:cs="Times New Roman" w:ascii="Times New Roman" w:hAnsi="Times New Roman"/>
          <w:lang w:val="ru-RU"/>
        </w:rPr>
        <w:t xml:space="preserve"> Стоимость единицы услуги  определена в приложении № 1 к настоящему Контракту.</w:t>
      </w:r>
    </w:p>
    <w:p>
      <w:pPr>
        <w:pStyle w:val="Normal"/>
        <w:spacing w:lineRule="auto" w:line="240" w:before="0" w:after="0"/>
        <w:ind w:firstLine="709" w:end="0"/>
        <w:contextualSpacing/>
        <w:jc w:val="both"/>
        <w:rPr>
          <w:rFonts w:ascii="Times New Roman" w:hAnsi="Times New Roman" w:cs="Times New Roman"/>
        </w:rPr>
      </w:pPr>
      <w:r>
        <w:rPr>
          <w:rFonts w:cs="Times New Roman" w:ascii="Times New Roman" w:hAnsi="Times New Roman"/>
        </w:rPr>
        <w:t>КБК 32203044240790049244.</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2.2. Оплата по Контракту осуществляется в рублях Российской Федерации.</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Источник финансирования – Федеральный бюджет Российской Федерации.</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2.3. В цену Контракта включаются все возможные расходы Исполнителя необходимые для оказания услуг</w:t>
      </w:r>
      <w:r>
        <w:rPr>
          <w:rFonts w:cs="Times New Roman" w:ascii="Times New Roman" w:hAnsi="Times New Roman"/>
          <w:bCs/>
        </w:rPr>
        <w:t xml:space="preserve">, в том числе расходы </w:t>
      </w:r>
      <w:r>
        <w:rPr>
          <w:rFonts w:cs="Times New Roman" w:ascii="Times New Roman" w:hAnsi="Times New Roman"/>
        </w:rPr>
        <w:t xml:space="preserve">на уплату налогов, сборов и других обязательных платежей. Цена Контракта является твердой и определяется на весь срок исполнения Контракта. </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709" w:leader="none"/>
        </w:tabs>
        <w:spacing w:lineRule="auto" w:line="240" w:before="0" w:after="0"/>
        <w:ind w:firstLine="709" w:end="0"/>
        <w:jc w:val="both"/>
        <w:rPr>
          <w:rFonts w:ascii="Liberation Serif;Times New Roman" w:hAnsi="Liberation Serif;Times New Roman" w:cs="Liberation Serif;Times New Roman"/>
          <w:lang w:eastAsia="ar-SA"/>
        </w:rPr>
      </w:pPr>
      <w:r>
        <w:rPr>
          <w:rFonts w:cs="Times New Roman" w:ascii="Times New Roman" w:hAnsi="Times New Roman"/>
          <w:color w:val="000000"/>
        </w:rPr>
        <w:t xml:space="preserve">2.4. </w:t>
      </w:r>
      <w:r>
        <w:rPr>
          <w:rFonts w:eastAsia="Times New Roman" w:cs="Times New Roman" w:ascii="Times New Roman" w:hAnsi="Times New Roman"/>
          <w:color w:val="000000"/>
          <w:lang w:eastAsia="ar-SA"/>
        </w:rPr>
        <w:t xml:space="preserve">Оплата производится Заказчиком по факту оказания Услуг, безналичным перечислением денежных средств на счет </w:t>
      </w:r>
      <w:r>
        <w:rPr>
          <w:rFonts w:eastAsia="Times New Roman" w:cs="Times New Roman" w:ascii="Times New Roman" w:hAnsi="Times New Roman"/>
          <w:color w:val="000000"/>
          <w:lang w:eastAsia="ru-RU"/>
        </w:rPr>
        <w:t>Исполнителя</w:t>
      </w:r>
      <w:r>
        <w:rPr>
          <w:rFonts w:eastAsia="Times New Roman" w:cs="Times New Roman" w:ascii="Times New Roman" w:hAnsi="Times New Roman"/>
          <w:color w:val="000000"/>
          <w:lang w:eastAsia="ar-SA"/>
        </w:rPr>
        <w:t xml:space="preserve"> платежными поручениями, в течение 7 (семи) рабочих дней с момента подписания Заказчиком документа о приемке</w:t>
      </w:r>
      <w:r>
        <w:rPr>
          <w:rFonts w:eastAsia="Times New Roman" w:cs="Times New Roman" w:ascii="Times New Roman" w:hAnsi="Times New Roman"/>
          <w:color w:val="000000"/>
          <w:lang w:eastAsia="ru-RU"/>
        </w:rPr>
        <w:t>.</w:t>
      </w:r>
    </w:p>
    <w:p>
      <w:pPr>
        <w:pStyle w:val="BodyText"/>
        <w:spacing w:before="0" w:after="0"/>
        <w:ind w:firstLine="567" w:end="0"/>
        <w:rPr/>
      </w:pPr>
      <w:r>
        <w:rPr>
          <w:rFonts w:cs="Liberation Serif;Times New Roman" w:ascii="Liberation Serif;Times New Roman" w:hAnsi="Liberation Serif;Times New Roman"/>
          <w:sz w:val="22"/>
          <w:szCs w:val="22"/>
        </w:rPr>
        <w:t>2.</w:t>
      </w:r>
      <w:r>
        <w:rPr>
          <w:rFonts w:cs="Liberation Serif;Times New Roman" w:ascii="Liberation Serif;Times New Roman" w:hAnsi="Liberation Serif;Times New Roman"/>
          <w:sz w:val="22"/>
          <w:szCs w:val="22"/>
        </w:rPr>
        <w:t>5</w:t>
      </w:r>
      <w:r>
        <w:rPr>
          <w:rFonts w:cs="Liberation Serif;Times New Roman" w:ascii="Liberation Serif;Times New Roman" w:hAnsi="Liberation Serif;Times New Roman"/>
          <w:sz w:val="22"/>
          <w:szCs w:val="22"/>
        </w:rPr>
        <w:t>. Заказчик считается исполнившим свое обязательство по оплате услуги со дня списания денежных средств с расчетного счета Заказчика в пользу Исполнител</w:t>
      </w:r>
      <w:r>
        <w:rPr>
          <w:rFonts w:cs="Liberation Serif;Times New Roman" w:ascii="Liberation Serif;Times New Roman" w:hAnsi="Liberation Serif;Times New Roman"/>
          <w:sz w:val="22"/>
          <w:szCs w:val="22"/>
          <w:lang w:eastAsia="ru-RU"/>
        </w:rPr>
        <w:t>я</w:t>
      </w:r>
      <w:r>
        <w:rPr>
          <w:rFonts w:cs="Liberation Serif;Times New Roman" w:ascii="Liberation Serif;Times New Roman" w:hAnsi="Liberation Serif;Times New Roman"/>
          <w:sz w:val="22"/>
          <w:szCs w:val="22"/>
        </w:rPr>
        <w:t>.</w:t>
      </w:r>
    </w:p>
    <w:p>
      <w:pPr>
        <w:pStyle w:val="BodyText"/>
        <w:widowControl w:val="false"/>
        <w:tabs>
          <w:tab w:val="clear" w:pos="708"/>
          <w:tab w:val="left" w:pos="709" w:leader="none"/>
        </w:tabs>
        <w:spacing w:before="0" w:after="0"/>
        <w:ind w:firstLine="567" w:end="0"/>
        <w:rPr/>
      </w:pPr>
      <w:r>
        <w:rPr>
          <w:rFonts w:cs="Liberation Serif;Times New Roman" w:ascii="Liberation Serif;Times New Roman" w:hAnsi="Liberation Serif;Times New Roman"/>
          <w:color w:val="000000"/>
          <w:sz w:val="22"/>
          <w:szCs w:val="22"/>
          <w:lang w:eastAsia="ru-RU"/>
        </w:rPr>
        <w:t>2.</w:t>
      </w:r>
      <w:r>
        <w:rPr>
          <w:rFonts w:cs="Liberation Serif;Times New Roman" w:ascii="Liberation Serif;Times New Roman" w:hAnsi="Liberation Serif;Times New Roman"/>
          <w:color w:val="000000"/>
          <w:sz w:val="22"/>
          <w:szCs w:val="22"/>
          <w:lang w:eastAsia="ru-RU"/>
        </w:rPr>
        <w:t>6</w:t>
      </w:r>
      <w:r>
        <w:rPr>
          <w:rFonts w:cs="Liberation Serif;Times New Roman" w:ascii="Liberation Serif;Times New Roman" w:hAnsi="Liberation Serif;Times New Roman"/>
          <w:color w:val="000000"/>
          <w:sz w:val="22"/>
          <w:szCs w:val="22"/>
          <w:lang w:eastAsia="ru-RU"/>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Исполнителя</w:t>
      </w:r>
      <w:r>
        <w:rPr>
          <w:rFonts w:cs="Liberation Serif;Times New Roman" w:ascii="Liberation Serif;Times New Roman" w:hAnsi="Liberation Serif;Times New Roman"/>
          <w:color w:val="000000"/>
          <w:sz w:val="22"/>
          <w:szCs w:val="22"/>
          <w:lang w:eastAsia="ar-SA"/>
        </w:rPr>
        <w:t xml:space="preserve">, он </w:t>
      </w:r>
      <w:r>
        <w:rPr>
          <w:rFonts w:cs="Liberation Serif;Times New Roman" w:ascii="Liberation Serif;Times New Roman" w:hAnsi="Liberation Serif;Times New Roman"/>
          <w:color w:val="000000"/>
          <w:sz w:val="22"/>
          <w:szCs w:val="22"/>
          <w:lang w:eastAsia="ru-RU"/>
        </w:rPr>
        <w:t xml:space="preserve">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pPr>
        <w:pStyle w:val="Normal"/>
        <w:widowControl w:val="false"/>
        <w:tabs>
          <w:tab w:val="clear" w:pos="708"/>
          <w:tab w:val="left" w:pos="709" w:leader="none"/>
        </w:tabs>
        <w:spacing w:lineRule="auto" w:line="240" w:before="0" w:after="0"/>
        <w:ind w:firstLine="709" w:end="0"/>
        <w:jc w:val="center"/>
        <w:rPr>
          <w:rFonts w:ascii="Times New Roman" w:hAnsi="Times New Roman" w:cs="Times New Roman"/>
          <w:b/>
          <w:color w:val="000000"/>
        </w:rPr>
      </w:pPr>
      <w:r>
        <w:rPr>
          <w:rFonts w:cs="Times New Roman" w:ascii="Times New Roman" w:hAnsi="Times New Roman"/>
          <w:b/>
          <w:bCs/>
          <w:color w:val="000000"/>
          <w:spacing w:val="2"/>
        </w:rPr>
        <w:t>3.  ПРАВА И ОБЯЗАННОСТИ СТОРОН</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b/>
          <w:color w:val="000000"/>
        </w:rPr>
        <w:t>3.1. Заказчик обязан:</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color w:val="000000"/>
        </w:rPr>
        <w:t>3.1.1.</w:t>
      </w:r>
      <w:r>
        <w:rPr>
          <w:rFonts w:cs="Times New Roman" w:ascii="Times New Roman" w:hAnsi="Times New Roman"/>
          <w:b/>
          <w:color w:val="000000"/>
        </w:rPr>
        <w:t> </w:t>
      </w:r>
      <w:r>
        <w:rPr>
          <w:rFonts w:cs="Times New Roman" w:ascii="Times New Roman" w:hAnsi="Times New Roman"/>
          <w:color w:val="000000"/>
        </w:rPr>
        <w:t xml:space="preserve">Принять фактически </w:t>
      </w:r>
      <w:r>
        <w:rPr>
          <w:rFonts w:cs="Times New Roman" w:ascii="Times New Roman" w:hAnsi="Times New Roman"/>
        </w:rPr>
        <w:t>оказанные услуги</w:t>
      </w:r>
      <w:r>
        <w:rPr>
          <w:rFonts w:cs="Times New Roman" w:ascii="Times New Roman" w:hAnsi="Times New Roman"/>
          <w:color w:val="000000"/>
        </w:rPr>
        <w:t xml:space="preserve"> в порядке и сроки, предусмотренные Контрактом.</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3.1.2. Производить оплату фактически оказанных услуг в порядке, установленном Контрактом.</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3.1.3. Определить из числа своих работников лицо, осуществляющее контроль и согласование оказанных Исполнителем услуг.</w:t>
      </w:r>
    </w:p>
    <w:p>
      <w:pPr>
        <w:pStyle w:val="Normal"/>
        <w:spacing w:lineRule="auto" w:line="240" w:before="0" w:after="0"/>
        <w:ind w:firstLine="709" w:end="0"/>
        <w:jc w:val="both"/>
        <w:rPr>
          <w:rFonts w:ascii="Times New Roman" w:hAnsi="Times New Roman" w:cs="Times New Roman"/>
          <w:b/>
          <w:color w:val="000000"/>
        </w:rPr>
      </w:pPr>
      <w:r>
        <w:rPr>
          <w:rFonts w:cs="Times New Roman" w:ascii="Times New Roman" w:hAnsi="Times New Roman"/>
        </w:rPr>
        <w:t>3.1.4. Обеспечить предоставление сотрудниками амбулаторных карт с медицинских учреждений, где сотруднику оказывают услуги по медицинскому обеспечению (оригинал или выписка или электронный документ).</w:t>
      </w:r>
    </w:p>
    <w:p>
      <w:pPr>
        <w:pStyle w:val="Normal"/>
        <w:spacing w:lineRule="auto" w:line="240" w:before="0" w:after="0"/>
        <w:ind w:firstLine="709" w:end="0"/>
        <w:jc w:val="both"/>
        <w:rPr>
          <w:rFonts w:ascii="Times New Roman" w:hAnsi="Times New Roman" w:cs="Times New Roman"/>
          <w:color w:val="000000"/>
          <w:sz w:val="20"/>
        </w:rPr>
      </w:pPr>
      <w:r>
        <w:rPr>
          <w:rFonts w:cs="Times New Roman" w:ascii="Times New Roman" w:hAnsi="Times New Roman"/>
          <w:b/>
          <w:color w:val="000000"/>
        </w:rPr>
        <w:t>3.2. Заказчик вправе:</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sz w:val="20"/>
        </w:rPr>
        <w:t xml:space="preserve">2.5. </w:t>
      </w:r>
      <w:r>
        <w:rPr>
          <w:rFonts w:cs="Times New Roman" w:ascii="Times New Roman" w:hAnsi="Times New Roman"/>
          <w:color w:val="000000"/>
          <w:sz w:val="20"/>
          <w:lang w:eastAsia="ar-SA"/>
        </w:rPr>
        <w:t xml:space="preserve">Оплата производится Заказчиком по факту оказания Услуг, безналичным перечислением денежных средств на счет </w:t>
      </w:r>
      <w:r>
        <w:rPr>
          <w:rFonts w:cs="Times New Roman" w:ascii="Times New Roman" w:hAnsi="Times New Roman"/>
          <w:color w:val="000000"/>
          <w:sz w:val="20"/>
        </w:rPr>
        <w:t>Исполнител</w:t>
      </w:r>
      <w:r>
        <w:rPr>
          <w:rFonts w:cs="Times New Roman" w:ascii="Times New Roman" w:hAnsi="Times New Roman"/>
          <w:color w:val="000000"/>
          <w:sz w:val="20"/>
          <w:lang w:eastAsia="ru-RU"/>
        </w:rPr>
        <w:t>я</w:t>
      </w:r>
      <w:r>
        <w:rPr>
          <w:rFonts w:cs="Times New Roman" w:ascii="Times New Roman" w:hAnsi="Times New Roman"/>
          <w:color w:val="000000"/>
          <w:sz w:val="20"/>
          <w:lang w:eastAsia="ar-SA"/>
        </w:rPr>
        <w:t xml:space="preserve"> платежными поручениями, в течение 7 (семи) рабочих дней с момента подписания Заказчиком документа о приемке</w:t>
      </w:r>
      <w:r>
        <w:rPr>
          <w:rFonts w:cs="Times New Roman" w:ascii="Times New Roman" w:hAnsi="Times New Roman"/>
          <w:color w:val="000000"/>
          <w:sz w:val="20"/>
        </w:rPr>
        <w:t>.</w:t>
      </w:r>
      <w:r>
        <w:rPr>
          <w:rFonts w:cs="Times New Roman" w:ascii="Times New Roman" w:hAnsi="Times New Roman"/>
          <w:color w:val="000000"/>
        </w:rPr>
        <w:t>3.2.1.</w:t>
      </w:r>
      <w:r>
        <w:rPr>
          <w:rFonts w:cs="Times New Roman" w:ascii="Times New Roman" w:hAnsi="Times New Roman"/>
          <w:b/>
          <w:color w:val="000000"/>
        </w:rPr>
        <w:t> </w:t>
      </w:r>
      <w:r>
        <w:rPr>
          <w:rFonts w:cs="Times New Roman" w:ascii="Times New Roman" w:hAnsi="Times New Roman"/>
          <w:color w:val="000000"/>
        </w:rPr>
        <w:t xml:space="preserve">Контролировать качество оказываемых </w:t>
      </w:r>
      <w:r>
        <w:rPr>
          <w:rFonts w:cs="Times New Roman" w:ascii="Times New Roman" w:hAnsi="Times New Roman"/>
        </w:rPr>
        <w:t xml:space="preserve">Исполнителем </w:t>
      </w:r>
      <w:r>
        <w:rPr>
          <w:rFonts w:cs="Times New Roman" w:ascii="Times New Roman" w:hAnsi="Times New Roman"/>
          <w:color w:val="000000"/>
        </w:rPr>
        <w:t>услуг.</w:t>
      </w:r>
    </w:p>
    <w:p>
      <w:pPr>
        <w:pStyle w:val="Normal"/>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3.2.2. В случае обнаружения недостатков при сдаче-приемке Услуг, потребовать от </w:t>
      </w:r>
      <w:r>
        <w:rPr>
          <w:rFonts w:cs="Times New Roman" w:ascii="Times New Roman" w:hAnsi="Times New Roman"/>
        </w:rPr>
        <w:t xml:space="preserve">Исполнителя </w:t>
      </w:r>
      <w:r>
        <w:rPr>
          <w:rFonts w:cs="Times New Roman" w:ascii="Times New Roman" w:hAnsi="Times New Roman"/>
          <w:color w:val="000000"/>
        </w:rPr>
        <w:t>безвозмездного устранения недостатков в возможно короткий срок.</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color w:val="000000"/>
        </w:rPr>
        <w:t xml:space="preserve">3.2.3. Осуществить оплату фактически оказываемых и принятых услуг за вычетом </w:t>
      </w:r>
      <w:r>
        <w:rPr>
          <w:rFonts w:cs="Times New Roman" w:ascii="Times New Roman" w:hAnsi="Times New Roman"/>
        </w:rPr>
        <w:t>соответствующего размера неустойки (штрафа, пени).</w:t>
      </w:r>
    </w:p>
    <w:p>
      <w:pPr>
        <w:pStyle w:val="Normal"/>
        <w:spacing w:lineRule="auto" w:line="240" w:before="0" w:after="0"/>
        <w:ind w:firstLine="709" w:end="0"/>
        <w:jc w:val="both"/>
        <w:rPr>
          <w:rFonts w:ascii="Times New Roman" w:hAnsi="Times New Roman" w:cs="Times New Roman"/>
          <w:color w:val="000000"/>
        </w:rPr>
      </w:pPr>
      <w:r>
        <w:rPr>
          <w:rFonts w:cs="Times New Roman" w:ascii="Times New Roman" w:hAnsi="Times New Roman"/>
        </w:rPr>
        <w:t>3.2.4. Заказчик вправе досрочно принять и оплатить услуги (часть услуг).</w:t>
      </w:r>
    </w:p>
    <w:p>
      <w:pPr>
        <w:pStyle w:val="Normal"/>
        <w:spacing w:lineRule="auto" w:line="240" w:before="0" w:after="0"/>
        <w:ind w:firstLine="709" w:end="0"/>
        <w:jc w:val="both"/>
        <w:rPr>
          <w:rFonts w:ascii="Times New Roman" w:hAnsi="Times New Roman" w:cs="Times New Roman"/>
          <w:b/>
          <w:color w:val="000000"/>
        </w:rPr>
      </w:pPr>
      <w:r>
        <w:rPr>
          <w:rFonts w:cs="Times New Roman" w:ascii="Times New Roman" w:hAnsi="Times New Roman"/>
          <w:color w:val="000000"/>
        </w:rPr>
        <w:t>3.2.5. </w:t>
      </w:r>
      <w:r>
        <w:rPr>
          <w:rFonts w:cs="Times New Roman" w:ascii="Times New Roman" w:hAnsi="Times New Roman"/>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cs="Times New Roman" w:ascii="Times New Roman" w:hAnsi="Times New Roman"/>
          <w:bCs/>
          <w:color w:val="000000"/>
        </w:rPr>
        <w:t>.</w:t>
      </w:r>
    </w:p>
    <w:p>
      <w:pPr>
        <w:pStyle w:val="Normal"/>
        <w:spacing w:lineRule="auto" w:line="240" w:before="0" w:after="0"/>
        <w:ind w:firstLine="709" w:end="0"/>
        <w:jc w:val="both"/>
        <w:rPr>
          <w:rFonts w:ascii="Times New Roman" w:hAnsi="Times New Roman" w:cs="Times New Roman"/>
          <w:color w:val="000000"/>
        </w:rPr>
      </w:pPr>
      <w:r>
        <w:rPr>
          <w:rFonts w:cs="Times New Roman" w:ascii="Times New Roman" w:hAnsi="Times New Roman"/>
          <w:b/>
          <w:color w:val="000000"/>
        </w:rPr>
        <w:t>3.3. Исполнитель обязан:</w:t>
      </w:r>
    </w:p>
    <w:p>
      <w:pPr>
        <w:pStyle w:val="Normal"/>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3.3.1. Своевременно и качественно выполнять Услуги, предусмотренные Контрактом.</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b/>
          <w:color w:val="000000"/>
        </w:rPr>
      </w:pPr>
      <w:r>
        <w:rPr>
          <w:rFonts w:cs="Times New Roman" w:ascii="Times New Roman" w:hAnsi="Times New Roman"/>
          <w:color w:val="000000"/>
        </w:rPr>
        <w:t>3.3.2. </w:t>
      </w:r>
      <w:r>
        <w:rPr>
          <w:rFonts w:cs="Times New Roman" w:ascii="Times New Roman" w:hAnsi="Times New Roman"/>
        </w:rPr>
        <w:t>Безвозмездно и в установленный Заказчиком срок устранить выявленные недостатки.</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b/>
          <w:color w:val="000000"/>
        </w:rPr>
        <w:t>3.4. Исполнитель вправе:</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3.4.1. Требовать оплаты надлежаще оказанных услуг.</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3.4.2. Привлекать к оказанию услуг третьих лиц (юридических и/или физических). Исполнитель несет ответственность перед Заказчиком за действия указанных третьих лиц как за свои собственные.</w:t>
      </w:r>
    </w:p>
    <w:p>
      <w:pPr>
        <w:pStyle w:val="Normal"/>
        <w:spacing w:lineRule="auto" w:line="240" w:before="0" w:after="0"/>
        <w:ind w:firstLine="709" w:end="0"/>
        <w:jc w:val="both"/>
        <w:rPr>
          <w:rFonts w:ascii="Times New Roman" w:hAnsi="Times New Roman" w:cs="Times New Roman"/>
          <w:b/>
          <w:bCs/>
          <w:color w:val="000000"/>
          <w:spacing w:val="1"/>
        </w:rPr>
      </w:pPr>
      <w:r>
        <w:rPr>
          <w:rFonts w:cs="Times New Roman" w:ascii="Times New Roman" w:hAnsi="Times New Roman"/>
        </w:rPr>
        <w:t>3.4.3.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tabs>
          <w:tab w:val="clear" w:pos="708"/>
          <w:tab w:val="left" w:pos="709" w:leader="none"/>
        </w:tabs>
        <w:spacing w:lineRule="auto" w:line="240" w:before="0" w:after="0"/>
        <w:ind w:firstLine="709" w:end="0"/>
        <w:jc w:val="center"/>
        <w:rPr>
          <w:rFonts w:ascii="Times New Roman" w:hAnsi="Times New Roman" w:cs="Times New Roman"/>
          <w:b/>
          <w:bCs/>
          <w:color w:val="000000"/>
          <w:spacing w:val="1"/>
        </w:rPr>
      </w:pPr>
      <w:r>
        <w:rPr>
          <w:rFonts w:cs="Times New Roman" w:ascii="Times New Roman" w:hAnsi="Times New Roman"/>
          <w:b/>
          <w:bCs/>
          <w:color w:val="000000"/>
          <w:spacing w:val="1"/>
        </w:rPr>
      </w:r>
    </w:p>
    <w:p>
      <w:pPr>
        <w:pStyle w:val="Normal"/>
        <w:widowControl w:val="false"/>
        <w:tabs>
          <w:tab w:val="clear" w:pos="708"/>
          <w:tab w:val="left" w:pos="709" w:leader="none"/>
        </w:tabs>
        <w:spacing w:lineRule="auto" w:line="240" w:before="0" w:after="0"/>
        <w:ind w:firstLine="709" w:end="0"/>
        <w:jc w:val="center"/>
        <w:rPr>
          <w:rFonts w:ascii="Liberation Serif;Times New Roman" w:hAnsi="Liberation Serif;Times New Roman" w:cs="Liberation Serif;Times New Roman"/>
          <w:color w:val="000000"/>
        </w:rPr>
      </w:pPr>
      <w:r>
        <w:rPr>
          <w:rFonts w:cs="Times New Roman" w:ascii="Times New Roman" w:hAnsi="Times New Roman"/>
          <w:b/>
          <w:bCs/>
          <w:color w:val="000000"/>
          <w:spacing w:val="1"/>
        </w:rPr>
        <w:t>4.  ПОРЯДОК СДАЧИ-ПРИЕМКИ УСЛУГ</w:t>
      </w:r>
    </w:p>
    <w:p>
      <w:pPr>
        <w:pStyle w:val="Normal"/>
        <w:spacing w:lineRule="auto" w:line="240" w:before="0" w:after="0"/>
        <w:ind w:firstLine="709" w:end="0"/>
        <w:jc w:val="both"/>
        <w:rPr>
          <w:rFonts w:ascii="Times New Roman" w:hAnsi="Times New Roman"/>
          <w:sz w:val="24"/>
          <w:szCs w:val="24"/>
        </w:rPr>
      </w:pPr>
      <w:r>
        <w:rPr>
          <w:rFonts w:cs="Liberation Serif;Times New Roman" w:ascii="Times New Roman" w:hAnsi="Times New Roman"/>
          <w:color w:val="000000"/>
          <w:sz w:val="24"/>
          <w:szCs w:val="24"/>
        </w:rPr>
        <w:t>4.1. </w:t>
      </w:r>
      <w:r>
        <w:rPr>
          <w:rFonts w:cs="Liberation Serif;Times New Roman" w:ascii="Times New Roman" w:hAnsi="Times New Roman"/>
          <w:sz w:val="24"/>
          <w:szCs w:val="24"/>
        </w:rPr>
        <w:t xml:space="preserve">Исполнитель ежемесячно не позднее 10 (десяти) рабочих дней с даты окончания месяца </w:t>
      </w:r>
      <w:r>
        <w:rPr>
          <w:rFonts w:eastAsia="Times New Roman" w:cs="Liberation Serif;Times New Roman" w:ascii="Times New Roman" w:hAnsi="Times New Roman"/>
          <w:color w:val="00000A"/>
          <w:sz w:val="24"/>
          <w:szCs w:val="24"/>
        </w:rPr>
        <w:t xml:space="preserve"> </w:t>
      </w:r>
      <w:r>
        <w:rPr>
          <w:rFonts w:eastAsia="Times New Roman" w:cs="Times New Roman" w:ascii="Times New Roman" w:hAnsi="Times New Roman"/>
          <w:color w:val="00000A"/>
          <w:sz w:val="24"/>
          <w:szCs w:val="24"/>
        </w:rPr>
        <w:t xml:space="preserve"> оформляет и передает Заказчику: счет, два экземпляра акта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4.2. Для проверки предоставленных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специалисты, эксперты, экспертные организации. Заказчик в течение 5 (пяти) рабочих дней со дня получения акта сдачи-приемки оказанных услуг обязан осуществить приемку оказанных услуг (проводит проверку сведений о медицинском обеспечении сотрудников, обоснованности их приема на лечение (освидетельствование, консультацию), качества и продолжительности их лечения, в том числе проверку первичной медицинской документации, достоверности тарифов за оказанные медицинские услуги) и при отсутствии претензий направляет Исполнителю подписанный акт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4.3. В случае отказа от приемки представленных услуг, документов Заказчик должен предоставить Исполнителю письменные замечания (комментарии), разъясняющие причину отказа от подписания акта сдачи-приемки оказанных услуг с подробным описанием, какие требования Контракта не были выполнены или должны быть доработаны. В этом случае Исполнитель должен в течение 5 (пяти) рабочих дней устранить выявленные недостатки и повторно направить Заказчику акт сдачи-приемки оказанных услуг.</w:t>
      </w:r>
    </w:p>
    <w:p>
      <w:pPr>
        <w:pStyle w:val="Normal"/>
        <w:spacing w:lineRule="auto" w:line="240" w:before="0" w:after="0"/>
        <w:ind w:firstLine="709" w:end="0"/>
        <w:jc w:val="both"/>
        <w:rPr>
          <w:rFonts w:ascii="Times New Roman" w:hAnsi="Times New Roman" w:cs="Times New Roman"/>
          <w:sz w:val="24"/>
          <w:szCs w:val="24"/>
        </w:rPr>
      </w:pPr>
      <w:r>
        <w:rPr>
          <w:rFonts w:eastAsia="Times New Roman" w:cs="Times New Roman" w:ascii="Times New Roman" w:hAnsi="Times New Roman"/>
          <w:color w:val="000000"/>
          <w:sz w:val="24"/>
          <w:szCs w:val="24"/>
        </w:rPr>
        <w:t>4.4. Излишне оплаченные Заказчиком суммы подлежат возврату либо учитываются при последующих расчетах.</w:t>
      </w:r>
    </w:p>
    <w:p>
      <w:pPr>
        <w:pStyle w:val="Normal"/>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r>
    </w:p>
    <w:p>
      <w:pPr>
        <w:pStyle w:val="Normal"/>
        <w:widowControl w:val="false"/>
        <w:tabs>
          <w:tab w:val="clear" w:pos="708"/>
          <w:tab w:val="left" w:pos="993" w:leader="none"/>
          <w:tab w:val="left" w:pos="1134" w:leader="none"/>
        </w:tabs>
        <w:spacing w:lineRule="auto" w:line="240" w:before="0" w:after="0"/>
        <w:ind w:firstLine="709" w:end="0"/>
        <w:jc w:val="center"/>
        <w:rPr>
          <w:rFonts w:ascii="Times New Roman" w:hAnsi="Times New Roman" w:cs="Times New Roman"/>
          <w:color w:val="000000"/>
        </w:rPr>
      </w:pPr>
      <w:r>
        <w:rPr>
          <w:rFonts w:cs="Times New Roman" w:ascii="Times New Roman" w:hAnsi="Times New Roman"/>
          <w:b/>
          <w:bCs/>
          <w:color w:val="000000"/>
          <w:spacing w:val="1"/>
        </w:rPr>
        <w:t>5.  ОТВЕТСТВЕННОСТЬ СТОРОН</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cs="Times New Roman" w:ascii="Times New Roman" w:hAnsi="Times New Roman"/>
        </w:rPr>
        <w:t xml:space="preserve">Исполнитель </w:t>
      </w:r>
      <w:r>
        <w:rPr>
          <w:rFonts w:cs="Times New Roman" w:ascii="Times New Roman" w:hAnsi="Times New Roman"/>
          <w:color w:val="000000"/>
        </w:rPr>
        <w:t>вправе потребовать уплаты неустоек (пеней, штрафов).</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Pr>
          <w:rStyle w:val="12"/>
          <w:rStyle w:val="FootnoteReference"/>
          <w:rFonts w:cs="Times New Roman" w:ascii="Times New Roman" w:hAnsi="Times New Roman"/>
          <w:color w:val="000000"/>
        </w:rPr>
        <w:footnoteReference w:id="2"/>
      </w:r>
      <w:r>
        <w:rPr>
          <w:rFonts w:cs="Times New Roman" w:ascii="Times New Roman" w:hAnsi="Times New Roman"/>
          <w:color w:val="000000"/>
        </w:rPr>
        <w:t xml:space="preserve"> составляющем 1000 (одна тысяча) рублей 00 копеек.</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5.2.3. Общая сумма начисленной неустойки (пени,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5.3. В случае просрочки исполнения </w:t>
      </w:r>
      <w:r>
        <w:rPr>
          <w:rFonts w:cs="Times New Roman" w:ascii="Times New Roman" w:hAnsi="Times New Roman"/>
        </w:rPr>
        <w:t xml:space="preserve">Исполнителем </w:t>
      </w:r>
      <w:r>
        <w:rPr>
          <w:rFonts w:cs="Times New Roman" w:ascii="Times New Roman" w:hAnsi="Times New Roman"/>
          <w:color w:val="000000"/>
        </w:rPr>
        <w:t xml:space="preserve">обязательств (в том числе гарантийных обязательств), предусмотренных Контрактом, а также в иных случаях неисполнения или ненадлежащего исполнения </w:t>
      </w:r>
      <w:r>
        <w:rPr>
          <w:rFonts w:cs="Times New Roman" w:ascii="Times New Roman" w:hAnsi="Times New Roman"/>
        </w:rPr>
        <w:t xml:space="preserve">Исполнителем </w:t>
      </w:r>
      <w:r>
        <w:rPr>
          <w:rFonts w:cs="Times New Roman" w:ascii="Times New Roman" w:hAnsi="Times New Roman"/>
          <w:color w:val="000000"/>
        </w:rPr>
        <w:t xml:space="preserve">обязательств, предусмотренных Контрактом, Заказчик направляет </w:t>
      </w:r>
      <w:r>
        <w:rPr>
          <w:rFonts w:cs="Times New Roman" w:ascii="Times New Roman" w:hAnsi="Times New Roman"/>
        </w:rPr>
        <w:t xml:space="preserve">Исполнителю </w:t>
      </w:r>
      <w:r>
        <w:rPr>
          <w:rFonts w:cs="Times New Roman" w:ascii="Times New Roman" w:hAnsi="Times New Roman"/>
          <w:color w:val="000000"/>
        </w:rPr>
        <w:t>требование об уплате неустоек (пеней, штрафов).</w:t>
      </w:r>
    </w:p>
    <w:p>
      <w:pPr>
        <w:pStyle w:val="Normal"/>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5.3.1. </w:t>
      </w:r>
      <w:r>
        <w:rPr>
          <w:rFonts w:cs="Times New Roman" w:ascii="Times New Roman" w:hAnsi="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5.3.2. За каждый факт неисполнения или ненадлежащего исполнения </w:t>
      </w:r>
      <w:r>
        <w:rPr>
          <w:rFonts w:cs="Times New Roman" w:ascii="Times New Roman" w:hAnsi="Times New Roman"/>
        </w:rPr>
        <w:t>Исполнителем</w:t>
      </w:r>
      <w:r>
        <w:rPr>
          <w:rFonts w:cs="Times New Roman" w:ascii="Times New Roman" w:hAnsi="Times New Roman"/>
          <w:color w:val="000000"/>
        </w:rPr>
        <w:t xml:space="preserve"> обязательств, предусмотренных Контрактом, заключенным по результатам определения </w:t>
      </w:r>
      <w:r>
        <w:rPr>
          <w:rFonts w:cs="Times New Roman" w:ascii="Times New Roman" w:hAnsi="Times New Roman"/>
        </w:rPr>
        <w:t>Исполнителя</w:t>
      </w:r>
      <w:r>
        <w:rPr>
          <w:rFonts w:cs="Times New Roman" w:ascii="Times New Roman" w:hAnsi="Times New Roman"/>
          <w:color w:val="000000"/>
        </w:rPr>
        <w:t xml:space="preserve"> в соответствии с пунктом 1 части 1 статьи 30 Федерального закона от 05.04.2013 </w:t>
        <w:br/>
        <w:t>№ 44-ФЗ «О контрактной системе в сфере закупок товаров, работ, услуг для обеспечения государственных и муниципальных нужд» (далее –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5.3.3. За каждый факт неисполнения или ненадлежащего исполнения </w:t>
      </w:r>
      <w:r>
        <w:rPr>
          <w:rFonts w:cs="Times New Roman" w:ascii="Times New Roman" w:hAnsi="Times New Roman"/>
        </w:rPr>
        <w:t>Исполнителем</w:t>
      </w:r>
      <w:r>
        <w:rPr>
          <w:rFonts w:cs="Times New Roman" w:ascii="Times New Roman" w:hAnsi="Times New Roman"/>
          <w:color w:val="00000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(этапа), за исключением случаев, предусмотренных п. 5.3.2, 5.3.4).</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5.3.5. Общая сумма начисленной неустойки (штрафов, пени) за неисполнение или ненадлежащее исполнение </w:t>
      </w:r>
      <w:r>
        <w:rPr>
          <w:rFonts w:cs="Times New Roman" w:ascii="Times New Roman" w:hAnsi="Times New Roman"/>
        </w:rPr>
        <w:t xml:space="preserve">Исполнителем </w:t>
      </w:r>
      <w:r>
        <w:rPr>
          <w:rFonts w:cs="Times New Roman" w:ascii="Times New Roman" w:hAnsi="Times New Roman"/>
          <w:color w:val="000000"/>
        </w:rPr>
        <w:t>обязательств, предусмотренных Контрактом, не может превышать цену Контракта.</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5.4. Под ненадлежащим исполнением </w:t>
      </w:r>
      <w:r>
        <w:rPr>
          <w:rFonts w:cs="Times New Roman" w:ascii="Times New Roman" w:hAnsi="Times New Roman"/>
        </w:rPr>
        <w:t xml:space="preserve">Исполнителем </w:t>
      </w:r>
      <w:r>
        <w:rPr>
          <w:rFonts w:cs="Times New Roman" w:ascii="Times New Roman" w:hAnsi="Times New Roman"/>
          <w:color w:val="000000"/>
        </w:rPr>
        <w:t xml:space="preserve">обязательств понимается </w:t>
      </w:r>
      <w:r>
        <w:rPr>
          <w:rFonts w:cs="Times New Roman" w:ascii="Times New Roman" w:hAnsi="Times New Roman"/>
        </w:rPr>
        <w:t>оказание услуг</w:t>
      </w:r>
      <w:r>
        <w:rPr>
          <w:rFonts w:cs="Times New Roman" w:ascii="Times New Roman" w:hAnsi="Times New Roman"/>
          <w:color w:val="000000"/>
        </w:rPr>
        <w:t xml:space="preserve">, не соответствующих </w:t>
      </w:r>
      <w:r>
        <w:rPr>
          <w:rFonts w:cs="Times New Roman" w:ascii="Times New Roman" w:hAnsi="Times New Roman"/>
        </w:rPr>
        <w:t>условиям, установленным Контрактом.</w:t>
      </w:r>
    </w:p>
    <w:p>
      <w:pPr>
        <w:pStyle w:val="Normal"/>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 xml:space="preserve">5.5. Стороны настоящего Контракта освобождаются от уплаты неустойки (штрафа, пеней), если докажут, что </w:t>
      </w:r>
      <w:r>
        <w:rPr>
          <w:rFonts w:cs="Times New Roman" w:ascii="Times New Roman" w:hAnsi="Times New Roman"/>
        </w:rPr>
        <w:t>неисполнение или ненадлежащее</w:t>
      </w:r>
      <w:r>
        <w:rPr>
          <w:rFonts w:cs="Times New Roman" w:ascii="Times New Roman" w:hAnsi="Times New Roman"/>
          <w:color w:val="000000"/>
        </w:rPr>
        <w:t xml:space="preserve"> исполнение соответствующего обязательства произошло вследствие непреодолимой силы или по вине другой Стороны.</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5.6.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обязана немедленно приступить к исполнению обязательств по Контракту, известив об этом в обязательном порядке в письменном виде в течение 5 (пяти) дней другую Сторону.</w:t>
      </w:r>
    </w:p>
    <w:p>
      <w:pPr>
        <w:pStyle w:val="Normal"/>
        <w:widowControl w:val="false"/>
        <w:autoSpaceDE w:val="false"/>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5.7.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widowControl w:val="false"/>
        <w:autoSpaceDE w:val="false"/>
        <w:spacing w:lineRule="auto" w:line="240" w:before="0" w:after="0"/>
        <w:ind w:firstLine="709" w:end="0"/>
        <w:jc w:val="both"/>
        <w:rPr>
          <w:rFonts w:ascii="Times New Roman" w:hAnsi="Times New Roman" w:cs="Times New Roman"/>
          <w:b/>
          <w:bCs/>
          <w:color w:val="000000"/>
          <w:spacing w:val="-11"/>
          <w:sz w:val="22"/>
          <w:szCs w:val="22"/>
        </w:rPr>
      </w:pPr>
      <w:r>
        <w:rPr>
          <w:rFonts w:cs="Times New Roman" w:ascii="Times New Roman" w:hAnsi="Times New Roman"/>
          <w:color w:val="000000"/>
        </w:rPr>
        <w:t>5.8. </w:t>
      </w:r>
      <w:r>
        <w:rPr>
          <w:rFonts w:cs="Times New Roman" w:ascii="Times New Roman" w:hAnsi="Times New Roman"/>
        </w:rPr>
        <w:t>Уплата неустойки (штрафа, пени) не освобождает Стороны от выполнения обязательств по Контракту.</w:t>
      </w:r>
    </w:p>
    <w:p>
      <w:pPr>
        <w:pStyle w:val="Style26"/>
        <w:tabs>
          <w:tab w:val="clear" w:pos="708"/>
          <w:tab w:val="left" w:pos="709" w:leader="none"/>
        </w:tabs>
        <w:spacing w:lineRule="auto" w:line="240" w:before="0" w:after="0"/>
        <w:ind w:firstLine="709" w:start="0" w:end="0"/>
        <w:contextualSpacing/>
        <w:jc w:val="both"/>
        <w:rPr>
          <w:rFonts w:ascii="Times New Roman" w:hAnsi="Times New Roman" w:cs="Times New Roman"/>
          <w:b/>
          <w:bCs/>
          <w:color w:val="000000"/>
          <w:spacing w:val="-11"/>
          <w:sz w:val="22"/>
          <w:szCs w:val="22"/>
        </w:rPr>
      </w:pPr>
      <w:r>
        <w:rPr>
          <w:rFonts w:cs="Times New Roman" w:ascii="Times New Roman" w:hAnsi="Times New Roman"/>
          <w:b/>
          <w:bCs/>
          <w:color w:val="000000"/>
          <w:spacing w:val="-11"/>
          <w:sz w:val="22"/>
          <w:szCs w:val="22"/>
        </w:rPr>
      </w:r>
    </w:p>
    <w:p>
      <w:pPr>
        <w:pStyle w:val="Style26"/>
        <w:tabs>
          <w:tab w:val="clear" w:pos="708"/>
          <w:tab w:val="left" w:pos="709" w:leader="none"/>
        </w:tabs>
        <w:spacing w:lineRule="auto" w:line="240" w:before="0" w:after="0"/>
        <w:ind w:firstLine="709" w:start="0" w:end="0"/>
        <w:contextualSpacing/>
        <w:jc w:val="center"/>
        <w:rPr>
          <w:rFonts w:ascii="Times New Roman" w:hAnsi="Times New Roman" w:cs="Times New Roman"/>
          <w:color w:val="000000"/>
        </w:rPr>
      </w:pPr>
      <w:r>
        <w:rPr>
          <w:rFonts w:cs="Times New Roman" w:ascii="Times New Roman" w:hAnsi="Times New Roman"/>
          <w:b/>
          <w:bCs/>
          <w:color w:val="000000"/>
          <w:spacing w:val="-11"/>
          <w:sz w:val="22"/>
          <w:szCs w:val="22"/>
        </w:rPr>
        <w:t>6.  ПОРЯДОК РАСТОРЖЕНИЯ КОНТРАКТА</w:t>
      </w:r>
    </w:p>
    <w:p>
      <w:pPr>
        <w:pStyle w:val="Normal"/>
        <w:tabs>
          <w:tab w:val="clear" w:pos="708"/>
          <w:tab w:val="left" w:pos="0" w:leader="none"/>
        </w:tabs>
        <w:spacing w:lineRule="auto" w:line="240" w:before="0" w:after="0"/>
        <w:ind w:firstLine="709" w:end="0"/>
        <w:jc w:val="both"/>
        <w:rPr>
          <w:rFonts w:ascii="Times New Roman" w:hAnsi="Times New Roman" w:cs="Times New Roman"/>
        </w:rPr>
      </w:pPr>
      <w:r>
        <w:rPr>
          <w:rFonts w:cs="Times New Roman" w:ascii="Times New Roman" w:hAnsi="Times New Roman"/>
          <w:color w:val="000000"/>
        </w:rPr>
        <w:t>6.1.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tabs>
          <w:tab w:val="clear" w:pos="708"/>
          <w:tab w:val="left" w:pos="0" w:leader="none"/>
        </w:tabs>
        <w:autoSpaceDE w:val="false"/>
        <w:spacing w:lineRule="auto" w:line="240" w:before="0" w:after="0"/>
        <w:ind w:firstLine="709" w:end="0"/>
        <w:jc w:val="both"/>
        <w:rPr>
          <w:rFonts w:ascii="Times New Roman" w:hAnsi="Times New Roman" w:cs="Times New Roman"/>
        </w:rPr>
      </w:pPr>
      <w:r>
        <w:rPr>
          <w:rFonts w:cs="Times New Roman" w:ascii="Times New Roman" w:hAnsi="Times New Roman"/>
        </w:rPr>
        <w:t>6.2.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(пять) дней с даты его получения.</w:t>
      </w:r>
    </w:p>
    <w:p>
      <w:pPr>
        <w:pStyle w:val="Normal"/>
        <w:tabs>
          <w:tab w:val="clear" w:pos="708"/>
          <w:tab w:val="left" w:pos="0" w:leader="none"/>
        </w:tabs>
        <w:spacing w:lineRule="auto" w:line="240" w:before="0" w:after="0"/>
        <w:ind w:firstLine="709" w:end="0"/>
        <w:jc w:val="both"/>
        <w:rPr>
          <w:rFonts w:ascii="Times New Roman" w:hAnsi="Times New Roman" w:cs="Times New Roman"/>
        </w:rPr>
      </w:pPr>
      <w:r>
        <w:rPr>
          <w:rFonts w:cs="Times New Roman" w:ascii="Times New Roman" w:hAnsi="Times New Roman"/>
        </w:rPr>
        <w:t xml:space="preserve">6.3. Расторжение </w:t>
      </w:r>
      <w:r>
        <w:rPr>
          <w:rFonts w:cs="Times New Roman" w:ascii="Times New Roman" w:hAnsi="Times New Roman"/>
          <w:color w:val="000000"/>
        </w:rPr>
        <w:t>Контракт</w:t>
      </w:r>
      <w:r>
        <w:rPr>
          <w:rFonts w:cs="Times New Roman" w:ascii="Times New Roman" w:hAnsi="Times New Roman"/>
        </w:rPr>
        <w:t>а по соглашению сторон производится путем подписания Сторонами соответствующего соглашения о расторжении.</w:t>
      </w:r>
    </w:p>
    <w:p>
      <w:pPr>
        <w:pStyle w:val="Normal"/>
        <w:tabs>
          <w:tab w:val="clear" w:pos="708"/>
          <w:tab w:val="left" w:pos="0" w:leader="none"/>
        </w:tabs>
        <w:spacing w:lineRule="auto" w:line="240" w:before="0" w:after="0"/>
        <w:ind w:firstLine="709" w:end="0"/>
        <w:jc w:val="both"/>
        <w:rPr>
          <w:rFonts w:ascii="Times New Roman" w:hAnsi="Times New Roman" w:cs="Times New Roman"/>
        </w:rPr>
      </w:pPr>
      <w:r>
        <w:rPr>
          <w:rFonts w:cs="Times New Roman" w:ascii="Times New Roman" w:hAnsi="Times New Roman"/>
        </w:rPr>
        <w:t xml:space="preserve">6.4. В случае расторжения </w:t>
      </w:r>
      <w:r>
        <w:rPr>
          <w:rFonts w:cs="Times New Roman" w:ascii="Times New Roman" w:hAnsi="Times New Roman"/>
          <w:color w:val="000000"/>
        </w:rPr>
        <w:t>Контракт</w:t>
      </w:r>
      <w:r>
        <w:rPr>
          <w:rFonts w:cs="Times New Roman" w:ascii="Times New Roman" w:hAnsi="Times New Roman"/>
        </w:rPr>
        <w:t>а Стороны производят сверку расчетов, которой подтверждается объем фактически оказанных Исполнителем услуг.</w:t>
      </w:r>
    </w:p>
    <w:p>
      <w:pPr>
        <w:pStyle w:val="Normal"/>
        <w:tabs>
          <w:tab w:val="clear" w:pos="708"/>
          <w:tab w:val="left" w:pos="0" w:leader="none"/>
        </w:tabs>
        <w:spacing w:lineRule="auto" w:line="240" w:before="0" w:after="0"/>
        <w:ind w:firstLine="709" w:end="0"/>
        <w:jc w:val="both"/>
        <w:rPr>
          <w:rFonts w:ascii="Times New Roman" w:hAnsi="Times New Roman" w:cs="Times New Roman"/>
          <w:b/>
          <w:bCs/>
          <w:spacing w:val="1"/>
        </w:rPr>
      </w:pPr>
      <w:r>
        <w:rPr>
          <w:rFonts w:cs="Times New Roman" w:ascii="Times New Roman" w:hAnsi="Times New Roman"/>
        </w:rPr>
        <w:t xml:space="preserve">6.5. Расторжение </w:t>
      </w:r>
      <w:r>
        <w:rPr>
          <w:rFonts w:cs="Times New Roman" w:ascii="Times New Roman" w:hAnsi="Times New Roman"/>
          <w:color w:val="000000"/>
        </w:rPr>
        <w:t>Контракт</w:t>
      </w:r>
      <w:r>
        <w:rPr>
          <w:rFonts w:cs="Times New Roman" w:ascii="Times New Roman" w:hAnsi="Times New Roman"/>
        </w:rPr>
        <w:t>а в одностороннем порядке осуществляется с соблюдением требований частей 8 - 25 статьи 95 Закона.</w:t>
      </w:r>
    </w:p>
    <w:p>
      <w:pPr>
        <w:pStyle w:val="Normal"/>
        <w:tabs>
          <w:tab w:val="clear" w:pos="708"/>
          <w:tab w:val="left" w:pos="709" w:leader="none"/>
          <w:tab w:val="left" w:pos="821" w:leader="none"/>
        </w:tabs>
        <w:spacing w:lineRule="auto" w:line="240" w:before="0" w:after="0"/>
        <w:ind w:firstLine="709" w:end="0"/>
        <w:jc w:val="center"/>
        <w:rPr>
          <w:rFonts w:ascii="Times New Roman" w:hAnsi="Times New Roman" w:cs="Times New Roman"/>
          <w:b/>
          <w:bCs/>
          <w:spacing w:val="1"/>
        </w:rPr>
      </w:pPr>
      <w:r>
        <w:rPr>
          <w:rFonts w:cs="Times New Roman" w:ascii="Times New Roman" w:hAnsi="Times New Roman"/>
          <w:b/>
          <w:bCs/>
          <w:spacing w:val="1"/>
        </w:rPr>
      </w:r>
    </w:p>
    <w:p>
      <w:pPr>
        <w:pStyle w:val="Normal"/>
        <w:tabs>
          <w:tab w:val="clear" w:pos="708"/>
          <w:tab w:val="left" w:pos="720" w:leader="none"/>
        </w:tabs>
        <w:spacing w:lineRule="auto" w:line="240" w:before="0" w:after="0"/>
        <w:ind w:firstLine="709" w:end="0"/>
        <w:jc w:val="center"/>
        <w:rPr>
          <w:rFonts w:ascii="Times New Roman" w:hAnsi="Times New Roman" w:cs="Times New Roman"/>
        </w:rPr>
      </w:pPr>
      <w:r>
        <w:rPr>
          <w:rFonts w:cs="Times New Roman" w:ascii="Times New Roman" w:hAnsi="Times New Roman"/>
          <w:b/>
          <w:bCs/>
          <w:color w:val="000000"/>
          <w:spacing w:val="2"/>
        </w:rPr>
        <w:t xml:space="preserve">7.  </w:t>
      </w:r>
      <w:r>
        <w:rPr>
          <w:rFonts w:cs="Times New Roman" w:ascii="Times New Roman" w:hAnsi="Times New Roman"/>
          <w:b/>
          <w:bCs/>
          <w:color w:val="000000"/>
          <w:spacing w:val="1"/>
        </w:rPr>
        <w:t>ПОРЯДОК УРЕГУЛИРОВАНИЯ СПОРОВ</w:t>
      </w:r>
    </w:p>
    <w:p>
      <w:pPr>
        <w:pStyle w:val="Normal"/>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 xml:space="preserve">7.1. В случае возникновения любых противоречий, претензий и разногласий, а также споров, связанных с исполнением </w:t>
      </w:r>
      <w:r>
        <w:rPr>
          <w:rFonts w:cs="Times New Roman" w:ascii="Times New Roman" w:hAnsi="Times New Roman"/>
          <w:color w:val="000000"/>
        </w:rPr>
        <w:t>Контракт</w:t>
      </w:r>
      <w:r>
        <w:rPr>
          <w:rFonts w:cs="Times New Roman" w:ascii="Times New Roman" w:hAnsi="Times New Roman"/>
        </w:rPr>
        <w:t>а, Стороны предпринимают усилия для урегулирования таких противоречий, претензий и разногласий в добровольном порядке путем переговоров.</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7.2. До передачи спора на разрешение суда Стороны примут меры к его урегулированию в претензионном порядке.</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7.3. Претензия должна быть направлена в письменном виде. По полученной претензии Сторона должна дать письменный ответ по существу в срок не позднее 5 (пяти) дней с даты ее получения. Оставление претензии без ответа в установленный срок означает признание требований претензии.</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7.4.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7.5. Если претензионные требования подлежат денежной оценке, в претензии указывается истребуемая сумма и ее полный и обоснованный расчет.</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7.6.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7.7. В претензии могут быть указаны иные сведения, которые, по мнению стороны, будут способствовать более быстрому и правильному ее рассмотрению, объективному урегулированию спора.</w:t>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b/>
          <w:bCs/>
          <w:color w:val="000000"/>
          <w:spacing w:val="2"/>
        </w:rPr>
      </w:pPr>
      <w:r>
        <w:rPr>
          <w:rFonts w:cs="Times New Roman" w:ascii="Times New Roman" w:hAnsi="Times New Roman"/>
        </w:rPr>
        <w:t>7.8. Все споры и разногласия, которые не будут решены путем переговоров, подлежат разрешению в Арбитражном суде Республики Мордовии в порядке, установленном законодательством Российской Федерации.</w:t>
      </w:r>
    </w:p>
    <w:p>
      <w:pPr>
        <w:pStyle w:val="Normal"/>
        <w:tabs>
          <w:tab w:val="clear" w:pos="708"/>
          <w:tab w:val="left" w:pos="709" w:leader="none"/>
        </w:tabs>
        <w:spacing w:lineRule="auto" w:line="240" w:before="0" w:after="0"/>
        <w:ind w:firstLine="709" w:end="0"/>
        <w:jc w:val="center"/>
        <w:rPr>
          <w:rFonts w:ascii="Times New Roman" w:hAnsi="Times New Roman" w:cs="Times New Roman"/>
          <w:b/>
          <w:bCs/>
          <w:color w:val="000000"/>
          <w:spacing w:val="2"/>
        </w:rPr>
      </w:pPr>
      <w:r>
        <w:rPr>
          <w:rFonts w:cs="Times New Roman" w:ascii="Times New Roman" w:hAnsi="Times New Roman"/>
          <w:b/>
          <w:bCs/>
          <w:color w:val="000000"/>
          <w:spacing w:val="2"/>
        </w:rPr>
      </w:r>
    </w:p>
    <w:p>
      <w:pPr>
        <w:pStyle w:val="Normal"/>
        <w:tabs>
          <w:tab w:val="clear" w:pos="708"/>
          <w:tab w:val="left" w:pos="709" w:leader="none"/>
        </w:tabs>
        <w:spacing w:lineRule="auto" w:line="240" w:before="0" w:after="0"/>
        <w:ind w:firstLine="709" w:end="0"/>
        <w:jc w:val="center"/>
        <w:rPr>
          <w:rFonts w:ascii="Times New Roman" w:hAnsi="Times New Roman" w:cs="Times New Roman"/>
          <w:color w:val="000000"/>
        </w:rPr>
      </w:pPr>
      <w:r>
        <w:rPr>
          <w:rFonts w:cs="Times New Roman" w:ascii="Times New Roman" w:hAnsi="Times New Roman"/>
          <w:b/>
          <w:bCs/>
          <w:color w:val="000000"/>
          <w:spacing w:val="2"/>
        </w:rPr>
        <w:t>8.  ИЗМЕНЕНИЕ КОНТРАКТА</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color w:val="000000"/>
        </w:rPr>
        <w:t>8.1. </w:t>
      </w:r>
      <w:r>
        <w:rPr>
          <w:rFonts w:cs="Times New Roman" w:ascii="Times New Roman" w:hAnsi="Times New Roman"/>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spacing w:lineRule="auto" w:line="240" w:before="0" w:after="0"/>
        <w:ind w:firstLine="709" w:end="0"/>
        <w:jc w:val="both"/>
        <w:rPr>
          <w:rFonts w:ascii="Times New Roman" w:hAnsi="Times New Roman" w:cs="Times New Roman"/>
          <w:bCs/>
        </w:rPr>
      </w:pPr>
      <w:r>
        <w:rPr>
          <w:rFonts w:cs="Times New Roman" w:ascii="Times New Roman" w:hAnsi="Times New Roman"/>
        </w:rPr>
        <w:t xml:space="preserve">- при снижении цены Контракта без изменения предусмотренных Контрактом объема </w:t>
      </w:r>
      <w:r>
        <w:rPr>
          <w:rFonts w:cs="Times New Roman" w:ascii="Times New Roman" w:hAnsi="Times New Roman"/>
          <w:color w:val="000000"/>
        </w:rPr>
        <w:t>Услуги</w:t>
      </w:r>
      <w:r>
        <w:rPr>
          <w:rFonts w:cs="Times New Roman" w:ascii="Times New Roman" w:hAnsi="Times New Roman"/>
        </w:rPr>
        <w:t xml:space="preserve">, качества оказываемой </w:t>
      </w:r>
      <w:r>
        <w:rPr>
          <w:rFonts w:cs="Times New Roman" w:ascii="Times New Roman" w:hAnsi="Times New Roman"/>
          <w:color w:val="000000"/>
        </w:rPr>
        <w:t>услуги</w:t>
      </w:r>
      <w:r>
        <w:rPr>
          <w:rFonts w:cs="Times New Roman" w:ascii="Times New Roman" w:hAnsi="Times New Roman"/>
        </w:rPr>
        <w:t xml:space="preserve"> и иных условий Контракта;</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bCs/>
        </w:rPr>
        <w:t xml:space="preserve">При уменьшении предусмотренных Контрактом объема </w:t>
      </w:r>
      <w:r>
        <w:rPr>
          <w:rFonts w:cs="Times New Roman" w:ascii="Times New Roman" w:hAnsi="Times New Roman"/>
          <w:color w:val="000000"/>
        </w:rPr>
        <w:t>Услуг</w:t>
      </w:r>
      <w:r>
        <w:rPr>
          <w:rFonts w:cs="Times New Roman" w:ascii="Times New Roman" w:hAnsi="Times New Roman"/>
          <w:bCs/>
        </w:rPr>
        <w:t xml:space="preserve"> Стороны Контракта обязаны уменьшить цену Контракта исходя из цены единицы </w:t>
      </w:r>
      <w:r>
        <w:rPr>
          <w:rFonts w:cs="Times New Roman" w:ascii="Times New Roman" w:hAnsi="Times New Roman"/>
          <w:color w:val="000000"/>
        </w:rPr>
        <w:t>Услуги</w:t>
      </w:r>
      <w:r>
        <w:rPr>
          <w:rFonts w:cs="Times New Roman" w:ascii="Times New Roman" w:hAnsi="Times New Roman"/>
        </w:rPr>
        <w:t>.</w:t>
      </w:r>
    </w:p>
    <w:p>
      <w:pPr>
        <w:pStyle w:val="Normal"/>
        <w:autoSpaceDE w:val="false"/>
        <w:spacing w:lineRule="auto" w:line="240" w:before="0" w:after="0"/>
        <w:ind w:firstLine="709" w:end="0"/>
        <w:jc w:val="both"/>
        <w:rPr>
          <w:rFonts w:ascii="Times New Roman" w:hAnsi="Times New Roman" w:cs="Times New Roman"/>
        </w:rPr>
      </w:pPr>
      <w:r>
        <w:rPr>
          <w:rFonts w:cs="Times New Roman" w:ascii="Times New Roman" w:hAnsi="Times New Roman"/>
        </w:rPr>
        <w:t xml:space="preserve">8.2. При исполнении </w:t>
      </w:r>
      <w:r>
        <w:rPr>
          <w:rFonts w:cs="Times New Roman" w:ascii="Times New Roman" w:hAnsi="Times New Roman"/>
          <w:color w:val="000000"/>
        </w:rPr>
        <w:t>Контракт</w:t>
      </w:r>
      <w:r>
        <w:rPr>
          <w:rFonts w:cs="Times New Roman" w:ascii="Times New Roman" w:hAnsi="Times New Roman"/>
        </w:rPr>
        <w:t xml:space="preserve">а не допускается перемена Исполнителя, за исключением случая, если новый Исполнитель является правопреемником Исполнителя по </w:t>
      </w:r>
      <w:r>
        <w:rPr>
          <w:rFonts w:cs="Times New Roman" w:ascii="Times New Roman" w:hAnsi="Times New Roman"/>
          <w:color w:val="000000"/>
        </w:rPr>
        <w:t>Контракт</w:t>
      </w:r>
      <w:r>
        <w:rPr>
          <w:rFonts w:cs="Times New Roman" w:ascii="Times New Roman" w:hAnsi="Times New Roman"/>
        </w:rPr>
        <w:t>у вследствие реорганизации юридического лица в форме преобразования, слияния или присоединения.</w:t>
      </w:r>
    </w:p>
    <w:p>
      <w:pPr>
        <w:pStyle w:val="Normal"/>
        <w:autoSpaceDE w:val="false"/>
        <w:spacing w:lineRule="auto" w:line="240" w:before="0" w:after="0"/>
        <w:ind w:firstLine="709" w:end="0"/>
        <w:jc w:val="both"/>
        <w:rPr>
          <w:rFonts w:ascii="Times New Roman" w:hAnsi="Times New Roman" w:cs="Times New Roman"/>
        </w:rPr>
      </w:pPr>
      <w:r>
        <w:rPr>
          <w:rFonts w:cs="Times New Roman" w:ascii="Times New Roman" w:hAnsi="Times New Roman"/>
        </w:rPr>
        <w:t xml:space="preserve">8.3. В случае перемены Заказчика права и обязанности Заказчика, предусмотренные </w:t>
      </w:r>
      <w:r>
        <w:rPr>
          <w:rFonts w:cs="Times New Roman" w:ascii="Times New Roman" w:hAnsi="Times New Roman"/>
          <w:color w:val="000000"/>
        </w:rPr>
        <w:t>Контракт</w:t>
      </w:r>
      <w:r>
        <w:rPr>
          <w:rFonts w:cs="Times New Roman" w:ascii="Times New Roman" w:hAnsi="Times New Roman"/>
        </w:rPr>
        <w:t>ом, переходят к новому Заказчику.</w:t>
      </w:r>
    </w:p>
    <w:p>
      <w:pPr>
        <w:pStyle w:val="Normal"/>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 xml:space="preserve">8.4. При исполнении </w:t>
      </w:r>
      <w:r>
        <w:rPr>
          <w:rFonts w:cs="Times New Roman" w:ascii="Times New Roman" w:hAnsi="Times New Roman"/>
          <w:color w:val="000000"/>
        </w:rPr>
        <w:t>Контракт</w:t>
      </w:r>
      <w:r>
        <w:rPr>
          <w:rFonts w:cs="Times New Roman" w:ascii="Times New Roman" w:hAnsi="Times New Roman"/>
        </w:rPr>
        <w:t xml:space="preserve">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rFonts w:cs="Times New Roman" w:ascii="Times New Roman" w:hAnsi="Times New Roman"/>
          <w:color w:val="000000"/>
        </w:rPr>
        <w:t>Контракт</w:t>
      </w:r>
      <w:r>
        <w:rPr>
          <w:rFonts w:cs="Times New Roman" w:ascii="Times New Roman" w:hAnsi="Times New Roman"/>
        </w:rPr>
        <w:t xml:space="preserve">е. </w:t>
      </w:r>
    </w:p>
    <w:p>
      <w:pPr>
        <w:pStyle w:val="Normal"/>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rPr>
        <w:t>8.5. В случае уменьшения Заказчику в соответствии с бюджетным законодательством ранее доведенных лимитов бюджетных обязательств, и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w:t>
      </w:r>
    </w:p>
    <w:p>
      <w:pPr>
        <w:pStyle w:val="Normal"/>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t>8.6. Изменения и дополнения Контракта совершаются только в письменной форме в виде дополнительного соглашения к Контракту, подлежат подписанию обеими Сторонами и являются его неотъемлемыми частями.</w:t>
      </w:r>
    </w:p>
    <w:p>
      <w:pPr>
        <w:pStyle w:val="Normal"/>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r>
    </w:p>
    <w:p>
      <w:pPr>
        <w:pStyle w:val="Normal"/>
        <w:tabs>
          <w:tab w:val="clear" w:pos="708"/>
          <w:tab w:val="left" w:pos="709" w:leader="none"/>
        </w:tabs>
        <w:spacing w:lineRule="auto" w:line="240" w:before="0" w:after="0"/>
        <w:ind w:firstLine="709" w:end="0"/>
        <w:jc w:val="center"/>
        <w:rPr>
          <w:rFonts w:ascii="Times New Roman" w:hAnsi="Times New Roman" w:cs="Times New Roman"/>
          <w:color w:val="000000"/>
        </w:rPr>
      </w:pPr>
      <w:r>
        <w:rPr>
          <w:rFonts w:cs="Times New Roman" w:ascii="Times New Roman" w:hAnsi="Times New Roman"/>
          <w:b/>
          <w:bCs/>
          <w:color w:val="000000"/>
          <w:spacing w:val="2"/>
        </w:rPr>
        <w:t>9.  ЗАКЛЮЧИТЕЛЬНЫЕ ПОЛОЖЕНИЯ</w:t>
      </w:r>
    </w:p>
    <w:p>
      <w:pPr>
        <w:pStyle w:val="Normal"/>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color w:val="000000"/>
        </w:rPr>
        <w:t>9.1. К</w:t>
      </w:r>
      <w:r>
        <w:rPr>
          <w:rFonts w:cs="Times New Roman" w:ascii="Times New Roman" w:hAnsi="Times New Roman"/>
        </w:rPr>
        <w:t>онтракт составлен в форме электронного документа и подписан электронно-цифровыми подписями уполномоченных лиц каждой из Сторон</w:t>
      </w:r>
      <w:r>
        <w:rPr>
          <w:rFonts w:cs="Times New Roman" w:ascii="Times New Roman" w:hAnsi="Times New Roman"/>
          <w:spacing w:val="-8"/>
        </w:rPr>
        <w:t>.</w:t>
      </w:r>
    </w:p>
    <w:p>
      <w:pPr>
        <w:pStyle w:val="Normal"/>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9.2. В случае изменения у какой-либо из Сторон юридического адреса, названия, банковских реквизитов и прочего она обязана в течение 1 (одного) дня письменно известить об этом другую Сторону.</w:t>
      </w:r>
    </w:p>
    <w:p>
      <w:pPr>
        <w:pStyle w:val="Normal"/>
        <w:tabs>
          <w:tab w:val="clear" w:pos="708"/>
          <w:tab w:val="left" w:pos="709" w:leader="none"/>
          <w:tab w:val="right" w:pos="10772" w:leader="none"/>
        </w:tabs>
        <w:spacing w:lineRule="auto" w:line="240" w:before="0" w:after="0"/>
        <w:ind w:firstLine="709" w:end="0"/>
        <w:jc w:val="both"/>
        <w:rPr>
          <w:rFonts w:ascii="Times New Roman" w:hAnsi="Times New Roman" w:cs="Times New Roman"/>
          <w:b/>
          <w:bCs/>
          <w:lang w:val="ru-RU"/>
        </w:rPr>
      </w:pPr>
      <w:r>
        <w:rPr>
          <w:rFonts w:cs="Times New Roman" w:ascii="Times New Roman" w:hAnsi="Times New Roman"/>
        </w:rPr>
        <w:t xml:space="preserve">9.3. Контракт вступает в силу со дня подписания его Сторонами. Дата окончания исполнения </w:t>
      </w:r>
      <w:r>
        <w:rPr>
          <w:rFonts w:cs="Times New Roman" w:ascii="Times New Roman" w:hAnsi="Times New Roman"/>
          <w:b/>
        </w:rPr>
        <w:t>31.12.2026</w:t>
      </w:r>
      <w:r>
        <w:rPr>
          <w:rFonts w:cs="Times New Roman" w:ascii="Times New Roman" w:hAnsi="Times New Roman"/>
          <w:b/>
          <w:lang w:val="ru-RU"/>
        </w:rPr>
        <w:t>.</w:t>
      </w:r>
    </w:p>
    <w:p>
      <w:pPr>
        <w:pStyle w:val="Normal"/>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b/>
          <w:bCs/>
          <w:lang w:val="ru-RU"/>
        </w:rPr>
        <w:t>31.12.2026</w:t>
      </w:r>
      <w:r>
        <w:rPr>
          <w:rFonts w:cs="Times New Roman" w:ascii="Times New Roman" w:hAnsi="Times New Roman"/>
          <w:b/>
          <w:lang w:val="ru-RU"/>
        </w:rPr>
        <w:t xml:space="preserve"> </w:t>
      </w:r>
      <w:r>
        <w:rPr>
          <w:rFonts w:cs="Times New Roman" w:ascii="Times New Roman" w:hAnsi="Times New Roman"/>
        </w:rPr>
        <w:t>обязательства Сторон по Контракту прекращаются, за исключением обязательств по осуществлению взаиморасчетов между Сторонами за фактически оказанные и принятые услуги на дату окончания срока действия Контракта, обязательств по возмещению убытков и выплате неустоек (штрафов, пеней), гарантийных обязательств, если они предусмотрены Контрактом.</w:t>
      </w:r>
    </w:p>
    <w:p>
      <w:pPr>
        <w:pStyle w:val="Normal"/>
        <w:widowControl w:val="false"/>
        <w:tabs>
          <w:tab w:val="clear" w:pos="708"/>
          <w:tab w:val="left" w:pos="0" w:leader="none"/>
        </w:tabs>
        <w:autoSpaceDE w:val="false"/>
        <w:spacing w:lineRule="auto" w:line="240" w:before="0" w:after="0"/>
        <w:ind w:firstLine="709" w:end="0"/>
        <w:jc w:val="both"/>
        <w:rPr>
          <w:rFonts w:ascii="Times New Roman" w:hAnsi="Times New Roman" w:cs="Times New Roman"/>
        </w:rPr>
      </w:pPr>
      <w:r>
        <w:rPr>
          <w:rFonts w:cs="Times New Roman" w:ascii="Times New Roman" w:hAnsi="Times New Roman"/>
        </w:rPr>
        <w:t>9.4. В случае, если в Контракте указана дата, при наступлении которой обязательства Сторон прекращаются, за исключением обязательств по оплате фактически оказанных и принятых Заказчиком услуг, обязательств по возмещению убытков и выплате неустоек (штрафа, пени), гарантийных обязательств, если они предусмотрены Контрактом, Стороны после наступления указанной даты не вправе требовать исполнения Контракта в части оказания и приемки услуг. При наступлении указанной даты (в случае, если она установлена) Заказчиком в двух экземплярах составляется Акт,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фактически оказанные и принятые Заказчиком услуги в соответствии с условиями Контракта.</w:t>
      </w:r>
    </w:p>
    <w:p>
      <w:pPr>
        <w:pStyle w:val="Normal"/>
        <w:tabs>
          <w:tab w:val="clear" w:pos="708"/>
          <w:tab w:val="left" w:pos="709" w:leader="none"/>
        </w:tabs>
        <w:spacing w:lineRule="auto" w:line="240" w:before="0" w:after="0"/>
        <w:ind w:firstLine="709" w:end="0"/>
        <w:jc w:val="both"/>
        <w:rPr>
          <w:rFonts w:ascii="Times New Roman" w:hAnsi="Times New Roman" w:cs="Times New Roman"/>
        </w:rPr>
      </w:pPr>
      <w:r>
        <w:rPr>
          <w:rFonts w:cs="Times New Roman" w:ascii="Times New Roman" w:hAnsi="Times New Roman"/>
        </w:rPr>
        <w:t xml:space="preserve">9.5. Все приложения к </w:t>
      </w:r>
      <w:r>
        <w:rPr>
          <w:rFonts w:cs="Times New Roman" w:ascii="Times New Roman" w:hAnsi="Times New Roman"/>
          <w:color w:val="000000"/>
        </w:rPr>
        <w:t>Контракт</w:t>
      </w:r>
      <w:r>
        <w:rPr>
          <w:rFonts w:cs="Times New Roman" w:ascii="Times New Roman" w:hAnsi="Times New Roman"/>
        </w:rPr>
        <w:t>у являются его неотъемлемыми частями и составляют единый документ.</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9.6. К настоящему Контракту прилагаются:</w:t>
      </w:r>
    </w:p>
    <w:p>
      <w:pPr>
        <w:pStyle w:val="Normal"/>
        <w:spacing w:lineRule="auto" w:line="240" w:before="0" w:after="0"/>
        <w:ind w:firstLine="709" w:end="0"/>
        <w:jc w:val="both"/>
        <w:rPr>
          <w:rFonts w:ascii="Times New Roman" w:hAnsi="Times New Roman" w:cs="Times New Roman"/>
        </w:rPr>
      </w:pPr>
      <w:r>
        <w:rPr>
          <w:rFonts w:cs="Times New Roman" w:ascii="Times New Roman" w:hAnsi="Times New Roman"/>
        </w:rPr>
        <w:t>9.6.1. Техническое задание (Приложение №1);</w:t>
      </w:r>
    </w:p>
    <w:p>
      <w:pPr>
        <w:pStyle w:val="Normal"/>
        <w:spacing w:lineRule="auto" w:line="240" w:before="0" w:after="0"/>
        <w:ind w:firstLine="709" w:end="0"/>
        <w:jc w:val="both"/>
        <w:rPr>
          <w:rFonts w:ascii="Times New Roman" w:hAnsi="Times New Roman" w:cs="Times New Roman"/>
          <w:b/>
          <w:bCs/>
        </w:rPr>
      </w:pPr>
      <w:r>
        <w:rPr>
          <w:rFonts w:cs="Times New Roman" w:ascii="Times New Roman" w:hAnsi="Times New Roman"/>
        </w:rPr>
        <w:t>9.6.2. Смета расходов (Приложение № 2);</w:t>
      </w:r>
    </w:p>
    <w:p>
      <w:pPr>
        <w:pStyle w:val="Normal"/>
        <w:spacing w:lineRule="auto" w:line="240" w:before="0" w:after="0"/>
        <w:jc w:val="both"/>
        <w:rPr>
          <w:rFonts w:ascii="Times New Roman" w:hAnsi="Times New Roman" w:cs="Times New Roman"/>
          <w:b/>
          <w:bCs/>
        </w:rPr>
      </w:pPr>
      <w:r>
        <w:rPr>
          <w:rFonts w:cs="Times New Roman" w:ascii="Times New Roman" w:hAnsi="Times New Roman"/>
          <w:b/>
          <w:bCs/>
        </w:rPr>
      </w:r>
    </w:p>
    <w:p>
      <w:pPr>
        <w:pStyle w:val="Normal"/>
        <w:spacing w:lineRule="auto" w:line="240" w:before="0" w:after="0"/>
        <w:jc w:val="both"/>
        <w:rPr>
          <w:rFonts w:ascii="Times New Roman" w:hAnsi="Times New Roman" w:cs="Times New Roman"/>
        </w:rPr>
      </w:pPr>
      <w:r>
        <w:rPr>
          <w:rFonts w:cs="Times New Roman" w:ascii="Times New Roman" w:hAnsi="Times New Roman"/>
          <w:b/>
          <w:bCs/>
        </w:rPr>
        <w:t>11</w:t>
      </w:r>
      <w:r>
        <w:rPr>
          <w:rFonts w:cs="Times New Roman" w:ascii="Times New Roman" w:hAnsi="Times New Roman"/>
        </w:rPr>
        <w:t>. ЮРИДИЧЕСКИЕ АДРЕСА И БАНКОВСКИЕ РЕКВИЗИТЫ СТОРОН</w:t>
      </w:r>
    </w:p>
    <w:p>
      <w:pPr>
        <w:pStyle w:val="Normal"/>
        <w:spacing w:lineRule="auto" w:line="240" w:before="0" w:after="0"/>
        <w:jc w:val="both"/>
        <w:rPr>
          <w:rFonts w:ascii="Times New Roman" w:hAnsi="Times New Roman" w:cs="Times New Roman"/>
        </w:rPr>
      </w:pPr>
      <w:r>
        <w:rPr>
          <w:rFonts w:cs="Times New Roman" w:ascii="Times New Roman" w:hAnsi="Times New Roman"/>
        </w:rPr>
      </w:r>
    </w:p>
    <w:tbl>
      <w:tblPr>
        <w:tblW w:w="5000" w:type="pct"/>
        <w:jc w:val="start"/>
        <w:tblInd w:w="0" w:type="dxa"/>
        <w:tblLayout w:type="fixed"/>
        <w:tblCellMar>
          <w:top w:w="0" w:type="dxa"/>
          <w:start w:w="108" w:type="dxa"/>
          <w:bottom w:w="0" w:type="dxa"/>
          <w:end w:w="108" w:type="dxa"/>
        </w:tblCellMar>
      </w:tblPr>
      <w:tblGrid>
        <w:gridCol w:w="5102"/>
        <w:gridCol w:w="5103"/>
      </w:tblGrid>
      <w:tr>
        <w:trPr>
          <w:trHeight w:val="8486" w:hRule="atLeast"/>
          <w:cantSplit w:val="true"/>
        </w:trPr>
        <w:tc>
          <w:tcPr>
            <w:tcW w:w="5102" w:type="dxa"/>
            <w:tcBorders/>
          </w:tcPr>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ЗАКАЗЧИК:</w:t>
            </w:r>
          </w:p>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Управление Федеральной службы</w:t>
            </w:r>
          </w:p>
          <w:p>
            <w:pPr>
              <w:pStyle w:val="Normal"/>
              <w:spacing w:lineRule="auto" w:line="240" w:before="0" w:after="0"/>
              <w:jc w:val="center"/>
              <w:rPr>
                <w:rFonts w:ascii="Times New Roman" w:hAnsi="Times New Roman" w:eastAsia="Times New Roman" w:cs="Times New Roman"/>
                <w:kern w:val="2"/>
                <w:lang w:eastAsia="ru-RU"/>
              </w:rPr>
            </w:pPr>
            <w:r>
              <w:rPr>
                <w:rFonts w:cs="Times New Roman" w:ascii="Times New Roman" w:hAnsi="Times New Roman"/>
                <w:b/>
                <w:color w:val="000000"/>
              </w:rPr>
              <w:t>судебных приставов по Республике Мордовия</w:t>
            </w:r>
          </w:p>
          <w:p>
            <w:pPr>
              <w:pStyle w:val="Normal"/>
              <w:spacing w:lineRule="auto" w:line="240" w:before="0" w:after="0"/>
              <w:rPr>
                <w:rFonts w:ascii="Times New Roman" w:hAnsi="Times New Roman" w:eastAsia="Times New Roman" w:cs="Times New Roman"/>
                <w:kern w:val="2"/>
                <w:lang w:eastAsia="ru-RU"/>
              </w:rPr>
            </w:pPr>
            <w:r>
              <w:rPr>
                <w:rFonts w:eastAsia="Times New Roman" w:cs="Times New Roman" w:ascii="Times New Roman" w:hAnsi="Times New Roman"/>
                <w:kern w:val="2"/>
                <w:lang w:eastAsia="ru-RU"/>
              </w:rPr>
              <w:t>430016,  г. Саранск,  ул. Терешковой, 1</w:t>
            </w:r>
          </w:p>
          <w:p>
            <w:pPr>
              <w:pStyle w:val="Normal"/>
              <w:spacing w:lineRule="auto" w:line="240" w:before="0" w:after="0"/>
              <w:rPr>
                <w:rFonts w:ascii="Times New Roman" w:hAnsi="Times New Roman" w:eastAsia="Times New Roman" w:cs="Times New Roman"/>
                <w:kern w:val="2"/>
                <w:lang w:eastAsia="ru-RU"/>
              </w:rPr>
            </w:pPr>
            <w:r>
              <w:rPr>
                <w:rFonts w:eastAsia="Times New Roman" w:cs="Times New Roman" w:ascii="Times New Roman" w:hAnsi="Times New Roman"/>
                <w:kern w:val="2"/>
                <w:lang w:eastAsia="ru-RU"/>
              </w:rPr>
              <w:t>ИНН 1326192290, КПП 132601001</w:t>
            </w:r>
          </w:p>
          <w:p>
            <w:pPr>
              <w:pStyle w:val="Normal"/>
              <w:spacing w:lineRule="auto" w:line="240" w:before="0" w:after="0"/>
              <w:rPr>
                <w:rFonts w:ascii="Times New Roman" w:hAnsi="Times New Roman" w:eastAsia="Times New Roman" w:cs="Times New Roman"/>
                <w:kern w:val="2"/>
                <w:lang w:eastAsia="ru-RU"/>
              </w:rPr>
            </w:pPr>
            <w:r>
              <w:rPr>
                <w:rFonts w:eastAsia="Times New Roman" w:cs="Times New Roman" w:ascii="Times New Roman" w:hAnsi="Times New Roman"/>
                <w:kern w:val="2"/>
                <w:lang w:eastAsia="ru-RU"/>
              </w:rPr>
              <w:t>Л/с № 03091785070</w:t>
            </w:r>
          </w:p>
          <w:p>
            <w:pPr>
              <w:pStyle w:val="Normal"/>
              <w:spacing w:lineRule="auto" w:line="240" w:before="0" w:after="0"/>
              <w:rPr>
                <w:rFonts w:ascii="Times New Roman" w:hAnsi="Times New Roman" w:eastAsia="Times New Roman" w:cs="Times New Roman"/>
                <w:kern w:val="2"/>
                <w:lang w:eastAsia="ru-RU"/>
              </w:rPr>
            </w:pPr>
            <w:r>
              <w:rPr>
                <w:rFonts w:eastAsia="Times New Roman" w:cs="Times New Roman" w:ascii="Times New Roman" w:hAnsi="Times New Roman"/>
                <w:kern w:val="2"/>
                <w:lang w:eastAsia="ru-RU"/>
              </w:rPr>
              <w:t xml:space="preserve">Казначейский счет </w:t>
            </w:r>
          </w:p>
          <w:p>
            <w:pPr>
              <w:pStyle w:val="Normal"/>
              <w:spacing w:lineRule="auto" w:line="240" w:before="0" w:after="0"/>
              <w:rPr>
                <w:rFonts w:ascii="Times New Roman" w:hAnsi="Times New Roman" w:eastAsia="Times New Roman" w:cs="Times New Roman"/>
                <w:kern w:val="2"/>
                <w:lang w:eastAsia="ru-RU"/>
              </w:rPr>
            </w:pPr>
            <w:r>
              <w:rPr>
                <w:rFonts w:eastAsia="Times New Roman" w:cs="Times New Roman" w:ascii="Times New Roman" w:hAnsi="Times New Roman"/>
                <w:kern w:val="2"/>
                <w:lang w:eastAsia="ru-RU"/>
              </w:rPr>
              <w:t xml:space="preserve">№ </w:t>
            </w:r>
            <w:r>
              <w:rPr>
                <w:rFonts w:eastAsia="Times New Roman" w:cs="Times New Roman" w:ascii="Times New Roman" w:hAnsi="Times New Roman"/>
                <w:kern w:val="2"/>
                <w:lang w:eastAsia="ru-RU"/>
              </w:rPr>
              <w:t>03211643000000013232</w:t>
            </w:r>
          </w:p>
          <w:p>
            <w:pPr>
              <w:pStyle w:val="Normal"/>
              <w:spacing w:lineRule="auto" w:line="240" w:before="0" w:after="0"/>
              <w:rPr>
                <w:rFonts w:ascii="Times New Roman" w:hAnsi="Times New Roman" w:eastAsia="Times New Roman" w:cs="Times New Roman"/>
                <w:kern w:val="2"/>
                <w:lang w:eastAsia="ru-RU"/>
              </w:rPr>
            </w:pPr>
            <w:r>
              <w:rPr>
                <w:rFonts w:eastAsia="Times New Roman" w:cs="Times New Roman" w:ascii="Times New Roman" w:hAnsi="Times New Roman"/>
                <w:kern w:val="2"/>
                <w:lang w:eastAsia="ru-RU"/>
              </w:rPr>
              <w:t xml:space="preserve">ЕКС (единый казначейский счет) </w:t>
            </w:r>
          </w:p>
          <w:p>
            <w:pPr>
              <w:pStyle w:val="Normal"/>
              <w:spacing w:lineRule="auto" w:line="240" w:before="0" w:after="0"/>
              <w:rPr>
                <w:rFonts w:ascii="Times New Roman" w:hAnsi="Times New Roman" w:eastAsia="Times New Roman" w:cs="Times New Roman"/>
                <w:kern w:val="2"/>
                <w:lang w:eastAsia="ru-RU"/>
              </w:rPr>
            </w:pPr>
            <w:r>
              <w:rPr>
                <w:rFonts w:eastAsia="Times New Roman" w:cs="Times New Roman" w:ascii="Times New Roman" w:hAnsi="Times New Roman"/>
                <w:kern w:val="2"/>
                <w:lang w:eastAsia="ru-RU"/>
              </w:rPr>
              <w:t xml:space="preserve">УФК № 40102810545370000024 </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kern w:val="2"/>
                <w:lang w:eastAsia="ru-RU"/>
              </w:rPr>
              <w:t>в ОКЦ № 1 ВВГУ Банка России//УФК по Нижегородской области, г. Нижний Новгород, БИК 012202102</w:t>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t>________________________________________</w:t>
            </w:r>
          </w:p>
          <w:p>
            <w:pPr>
              <w:pStyle w:val="Normal"/>
              <w:spacing w:lineRule="auto" w:line="240" w:before="0" w:after="0"/>
              <w:ind w:firstLine="52" w:end="0"/>
              <w:rPr>
                <w:rFonts w:ascii="Times New Roman" w:hAnsi="Times New Roman" w:eastAsia="Times New Roman" w:cs="Times New Roman"/>
                <w:lang w:eastAsia="ru-RU"/>
              </w:rPr>
            </w:pPr>
            <w:r>
              <w:rPr>
                <w:rFonts w:eastAsia="Times New Roman" w:cs="Times New Roman" w:ascii="Times New Roman" w:hAnsi="Times New Roman"/>
                <w:lang w:eastAsia="ru-RU"/>
              </w:rPr>
              <w:t>М.П.</w:t>
            </w:r>
          </w:p>
        </w:tc>
        <w:tc>
          <w:tcPr>
            <w:tcW w:w="5103" w:type="dxa"/>
            <w:tcBorders/>
          </w:tcPr>
          <w:p>
            <w:pPr>
              <w:pStyle w:val="Normal"/>
              <w:spacing w:lineRule="auto" w:line="240" w:before="0" w:after="0"/>
              <w:jc w:val="both"/>
              <w:rPr>
                <w:rFonts w:ascii="Times New Roman" w:hAnsi="Times New Roman" w:eastAsia="Times New Roman" w:cs="Times New Roman"/>
              </w:rPr>
            </w:pPr>
            <w:r>
              <w:rPr>
                <w:rFonts w:cs="Times New Roman" w:ascii="Times New Roman" w:hAnsi="Times New Roman"/>
                <w:b/>
                <w:color w:val="000000"/>
              </w:rPr>
              <w:t>ИСПОЛНИТЕЛЬ:</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auto" w:line="240" w:before="0" w:after="0"/>
        <w:jc w:val="end"/>
        <w:rPr>
          <w:rFonts w:ascii="Times New Roman" w:hAnsi="Times New Roman" w:eastAsia="Times New Roman" w:cs="Times New Roman"/>
        </w:rPr>
      </w:pPr>
      <w:r>
        <w:br w:type="page"/>
      </w:r>
      <w:r>
        <w:rPr>
          <w:rFonts w:cs="Times New Roman" w:ascii="Times New Roman" w:hAnsi="Times New Roman"/>
        </w:rPr>
        <w:t>Приложение № 1</w:t>
      </w:r>
    </w:p>
    <w:p>
      <w:pPr>
        <w:pStyle w:val="Normal"/>
        <w:tabs>
          <w:tab w:val="clear" w:pos="708"/>
          <w:tab w:val="left" w:pos="5955" w:leader="none"/>
        </w:tabs>
        <w:spacing w:lineRule="auto" w:line="240" w:before="0" w:after="0"/>
        <w:jc w:val="end"/>
        <w:rPr>
          <w:rFonts w:ascii="Times New Roman" w:hAnsi="Times New Roman" w:eastAsia="Times New Roman" w:cs="Times New Roman"/>
        </w:rPr>
      </w:pPr>
      <w:r>
        <w:rPr>
          <w:rFonts w:eastAsia="Times New Roman" w:cs="Times New Roman" w:ascii="Times New Roman" w:hAnsi="Times New Roman"/>
        </w:rPr>
        <w:t xml:space="preserve">  </w:t>
      </w:r>
      <w:r>
        <w:rPr>
          <w:rFonts w:cs="Times New Roman" w:ascii="Times New Roman" w:hAnsi="Times New Roman"/>
        </w:rPr>
        <w:t>к государственному контракту</w:t>
      </w:r>
    </w:p>
    <w:p>
      <w:pPr>
        <w:pStyle w:val="Normal"/>
        <w:tabs>
          <w:tab w:val="clear" w:pos="708"/>
          <w:tab w:val="left" w:pos="5955" w:leader="none"/>
        </w:tabs>
        <w:spacing w:lineRule="auto" w:line="240" w:before="0" w:after="0"/>
        <w:jc w:val="center"/>
        <w:rPr/>
      </w:pPr>
      <w:r>
        <w:rPr>
          <w:rFonts w:eastAsia="Times New Roman" w:cs="Times New Roman" w:ascii="Times New Roman" w:hAnsi="Times New Roman"/>
        </w:rPr>
        <w:t xml:space="preserve">                                                                                                                        </w:t>
      </w:r>
      <w:r>
        <w:rPr>
          <w:rFonts w:cs="Times New Roman" w:ascii="Times New Roman" w:hAnsi="Times New Roman"/>
        </w:rPr>
        <w:t>от «____» _______20___ г. №</w:t>
      </w:r>
      <w:r>
        <w:rPr>
          <w:rFonts w:eastAsia="Times New Roman" w:cs="Times New Roman" w:ascii="Times New Roman" w:hAnsi="Times New Roman"/>
        </w:rPr>
        <w:t xml:space="preserve"> ПМ26</w:t>
      </w:r>
      <w:r>
        <w:rPr>
          <w:rFonts w:eastAsia="Times New Roman" w:cs="Times New Roman" w:ascii="Times New Roman" w:hAnsi="Times New Roman"/>
          <w:b/>
        </w:rPr>
        <w:t>-</w:t>
      </w:r>
      <w:r>
        <w:rPr>
          <w:rFonts w:eastAsia="Times New Roman" w:cs="Times New Roman" w:ascii="Times New Roman" w:hAnsi="Times New Roman"/>
          <w:b/>
        </w:rPr>
        <w:t>2</w:t>
      </w:r>
    </w:p>
    <w:p>
      <w:pPr>
        <w:pStyle w:val="Normal"/>
        <w:spacing w:lineRule="auto" w:line="240" w:before="0" w:after="0"/>
        <w:jc w:val="center"/>
        <w:rPr>
          <w:rFonts w:ascii="Times New Roman" w:hAnsi="Times New Roman" w:cs="Times New Roman"/>
          <w:b/>
        </w:rPr>
      </w:pPr>
      <w:r>
        <w:rPr>
          <w:rFonts w:cs="Times New Roman" w:ascii="Times New Roman" w:hAnsi="Times New Roman"/>
          <w:b/>
        </w:rPr>
      </w:r>
    </w:p>
    <w:p>
      <w:pPr>
        <w:pStyle w:val="Normal"/>
        <w:spacing w:lineRule="auto" w:line="240" w:before="0" w:after="0"/>
        <w:jc w:val="center"/>
        <w:rPr>
          <w:rFonts w:ascii="Times New Roman" w:hAnsi="Times New Roman" w:cs="Times New Roman"/>
          <w:b/>
          <w:i/>
          <w:i/>
        </w:rPr>
      </w:pPr>
      <w:bookmarkStart w:id="0" w:name="_Hlk196732520"/>
      <w:bookmarkEnd w:id="0"/>
      <w:r>
        <w:rPr>
          <w:rFonts w:cs="Times New Roman" w:ascii="Times New Roman" w:hAnsi="Times New Roman"/>
          <w:b/>
        </w:rPr>
        <w:t>ТЕХНИЧЕСКОЕ ЗАДАНИЕ</w:t>
      </w:r>
    </w:p>
    <w:p>
      <w:pPr>
        <w:pStyle w:val="Normal"/>
        <w:spacing w:lineRule="auto" w:line="240" w:before="0" w:after="0"/>
        <w:jc w:val="center"/>
        <w:rPr>
          <w:rFonts w:ascii="Times New Roman" w:hAnsi="Times New Roman" w:cs="Times New Roman"/>
          <w:b/>
          <w:i/>
          <w:i/>
        </w:rPr>
      </w:pPr>
      <w:r>
        <w:rPr>
          <w:rFonts w:cs="Times New Roman" w:ascii="Times New Roman" w:hAnsi="Times New Roman"/>
          <w:b/>
          <w:i/>
        </w:rPr>
      </w:r>
    </w:p>
    <w:p>
      <w:pPr>
        <w:pStyle w:val="Normal"/>
        <w:numPr>
          <w:ilvl w:val="0"/>
          <w:numId w:val="4"/>
        </w:numPr>
        <w:tabs>
          <w:tab w:val="clear" w:pos="708"/>
          <w:tab w:val="left" w:pos="0" w:leader="none"/>
        </w:tabs>
        <w:spacing w:lineRule="auto" w:line="240" w:before="0" w:after="0"/>
        <w:ind w:firstLine="567" w:start="0" w:end="0"/>
        <w:jc w:val="both"/>
        <w:rPr>
          <w:rFonts w:ascii="Times New Roman" w:hAnsi="Times New Roman" w:cs="Times New Roman"/>
          <w:bCs/>
          <w:color w:val="000000"/>
          <w:sz w:val="22"/>
          <w:szCs w:val="22"/>
        </w:rPr>
      </w:pPr>
      <w:r>
        <w:rPr>
          <w:rFonts w:cs="Times New Roman" w:ascii="Times New Roman" w:hAnsi="Times New Roman"/>
          <w:b/>
        </w:rPr>
        <w:t>Основание для оказания услуг:</w:t>
      </w:r>
    </w:p>
    <w:p>
      <w:pPr>
        <w:pStyle w:val="Style26"/>
        <w:tabs>
          <w:tab w:val="clear" w:pos="708"/>
          <w:tab w:val="left" w:pos="0" w:leader="none"/>
          <w:tab w:val="left" w:pos="1276" w:leader="none"/>
        </w:tabs>
        <w:spacing w:lineRule="auto" w:line="240" w:before="0" w:after="0"/>
        <w:ind w:firstLine="567" w:start="0" w:end="0"/>
        <w:contextualSpacing/>
        <w:jc w:val="both"/>
        <w:rPr>
          <w:rFonts w:ascii="Times New Roman" w:hAnsi="Times New Roman" w:cs="Times New Roman"/>
          <w:b/>
          <w:bCs/>
          <w:color w:val="000001"/>
        </w:rPr>
      </w:pPr>
      <w:r>
        <w:rPr>
          <w:rFonts w:cs="Times New Roman" w:ascii="Times New Roman" w:hAnsi="Times New Roman"/>
          <w:bCs/>
          <w:color w:val="000000"/>
          <w:sz w:val="22"/>
          <w:szCs w:val="22"/>
        </w:rPr>
        <w:t xml:space="preserve">Приказ Министерства юстиции Российской Федерации от 02 апреля 2020г. №81 «Об утверждении порядка ежегодного прохождения сотрудниками органов принудительного исполнения Российской Федерации профилактических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w:t>
      </w:r>
    </w:p>
    <w:p>
      <w:pPr>
        <w:pStyle w:val="HEADERTEXT"/>
        <w:numPr>
          <w:ilvl w:val="0"/>
          <w:numId w:val="4"/>
        </w:numPr>
        <w:ind w:firstLine="567" w:start="0" w:end="0"/>
        <w:jc w:val="both"/>
        <w:rPr>
          <w:rFonts w:ascii="Times New Roman" w:hAnsi="Times New Roman" w:cs="Times New Roman"/>
          <w:bCs/>
          <w:color w:val="000001"/>
        </w:rPr>
      </w:pPr>
      <w:r>
        <w:rPr>
          <w:rFonts w:cs="Times New Roman" w:ascii="Times New Roman" w:hAnsi="Times New Roman"/>
          <w:b/>
          <w:bCs/>
          <w:color w:val="000001"/>
        </w:rPr>
        <w:t>Срок оказания услуг</w:t>
      </w:r>
      <w:r>
        <w:rPr>
          <w:rFonts w:cs="Times New Roman" w:ascii="Times New Roman" w:hAnsi="Times New Roman"/>
          <w:b/>
          <w:bCs/>
          <w:color w:val="000001"/>
          <w:lang w:val="en-US"/>
        </w:rPr>
        <w:t>:</w:t>
      </w:r>
    </w:p>
    <w:p>
      <w:pPr>
        <w:pStyle w:val="HEADERTEXT"/>
        <w:ind w:firstLine="567" w:end="0"/>
        <w:jc w:val="both"/>
        <w:rPr>
          <w:rFonts w:ascii="Times New Roman" w:hAnsi="Times New Roman" w:cs="Times New Roman"/>
          <w:b/>
        </w:rPr>
      </w:pPr>
      <w:r>
        <w:rPr>
          <w:rFonts w:cs="Times New Roman" w:ascii="Times New Roman" w:hAnsi="Times New Roman"/>
          <w:bCs/>
          <w:color w:val="000001"/>
        </w:rPr>
        <w:t>С даты подписания контракта по 30.10.2026 г. в соответствии с графиками, утвержденными Заказчиком.</w:t>
      </w:r>
    </w:p>
    <w:p>
      <w:pPr>
        <w:pStyle w:val="Normal"/>
        <w:numPr>
          <w:ilvl w:val="0"/>
          <w:numId w:val="4"/>
        </w:numPr>
        <w:tabs>
          <w:tab w:val="clear" w:pos="708"/>
          <w:tab w:val="left" w:pos="0" w:leader="none"/>
        </w:tabs>
        <w:spacing w:lineRule="auto" w:line="240" w:before="0" w:after="0"/>
        <w:ind w:firstLine="567" w:start="0" w:end="0"/>
        <w:jc w:val="both"/>
        <w:rPr>
          <w:rFonts w:ascii="Times New Roman" w:hAnsi="Times New Roman" w:eastAsia="Times New Roman" w:cs="Times New Roman"/>
          <w:bCs/>
          <w:color w:val="000000"/>
          <w:sz w:val="22"/>
          <w:szCs w:val="22"/>
        </w:rPr>
      </w:pPr>
      <w:r>
        <w:rPr>
          <w:rFonts w:cs="Times New Roman" w:ascii="Times New Roman" w:hAnsi="Times New Roman"/>
          <w:b/>
        </w:rPr>
        <w:t xml:space="preserve">Требования к качественным характеристикам услуг, требования к безопасности оказания услуг: </w:t>
      </w:r>
    </w:p>
    <w:p>
      <w:pPr>
        <w:pStyle w:val="Style26"/>
        <w:tabs>
          <w:tab w:val="clear" w:pos="708"/>
          <w:tab w:val="left" w:pos="0" w:leader="none"/>
          <w:tab w:val="left" w:pos="1276" w:leader="none"/>
        </w:tabs>
        <w:spacing w:lineRule="auto" w:line="240" w:before="0" w:after="0"/>
        <w:ind w:firstLine="567" w:start="0" w:end="0"/>
        <w:contextualSpacing/>
        <w:jc w:val="both"/>
        <w:rPr>
          <w:rFonts w:ascii="Times New Roman" w:hAnsi="Times New Roman" w:cs="Times New Roman"/>
          <w:bCs/>
          <w:color w:val="000000"/>
          <w:lang w:val="ru-RU"/>
        </w:rPr>
      </w:pPr>
      <w:r>
        <w:rPr>
          <w:rFonts w:eastAsia="Times New Roman" w:cs="Times New Roman" w:ascii="Times New Roman" w:hAnsi="Times New Roman"/>
          <w:bCs/>
          <w:color w:val="000000"/>
          <w:sz w:val="22"/>
          <w:szCs w:val="22"/>
        </w:rPr>
        <w:t xml:space="preserve"> </w:t>
      </w:r>
      <w:r>
        <w:rPr>
          <w:rFonts w:cs="Times New Roman" w:ascii="Times New Roman" w:hAnsi="Times New Roman"/>
          <w:bCs/>
          <w:color w:val="000000"/>
          <w:sz w:val="22"/>
          <w:szCs w:val="22"/>
        </w:rPr>
        <w:t>П</w:t>
      </w:r>
      <w:r>
        <w:rPr>
          <w:rFonts w:cs="Times New Roman" w:ascii="Times New Roman" w:hAnsi="Times New Roman"/>
          <w:bCs/>
          <w:color w:val="000000"/>
          <w:sz w:val="22"/>
          <w:szCs w:val="22"/>
          <w:lang w:val="ru-RU"/>
        </w:rPr>
        <w:t xml:space="preserve">рофилактический </w:t>
      </w:r>
      <w:r>
        <w:rPr>
          <w:rFonts w:cs="Times New Roman" w:ascii="Times New Roman" w:hAnsi="Times New Roman"/>
          <w:bCs/>
          <w:color w:val="000000"/>
          <w:sz w:val="22"/>
          <w:szCs w:val="22"/>
        </w:rPr>
        <w:t xml:space="preserve">медицинский осмотр </w:t>
      </w:r>
      <w:r>
        <w:rPr>
          <w:rFonts w:cs="Times New Roman" w:ascii="Times New Roman" w:hAnsi="Times New Roman"/>
          <w:bCs/>
          <w:color w:val="000000"/>
          <w:sz w:val="22"/>
          <w:szCs w:val="22"/>
          <w:lang w:val="ru-RU"/>
        </w:rPr>
        <w:t>сотрудников</w:t>
      </w:r>
      <w:r>
        <w:rPr>
          <w:rFonts w:cs="Times New Roman" w:ascii="Times New Roman" w:hAnsi="Times New Roman"/>
          <w:bCs/>
          <w:color w:val="000000"/>
          <w:sz w:val="22"/>
          <w:szCs w:val="22"/>
        </w:rPr>
        <w:t xml:space="preserve"> должен проводиться в помещениях, оборудованных необходимой техникой, квалифицированными, аттестованными специалистами в соответствии с установленными профессиональными стандартами, нормативами и правилами оказания медицинской помощи. </w:t>
      </w:r>
    </w:p>
    <w:p>
      <w:pPr>
        <w:pStyle w:val="Normal"/>
        <w:spacing w:lineRule="auto" w:line="240" w:before="0" w:after="0"/>
        <w:ind w:firstLine="540" w:end="0"/>
        <w:jc w:val="both"/>
        <w:rPr>
          <w:rFonts w:ascii="Times New Roman" w:hAnsi="Times New Roman" w:cs="Times New Roman"/>
          <w:bCs/>
          <w:color w:val="000000"/>
          <w:sz w:val="22"/>
          <w:szCs w:val="22"/>
        </w:rPr>
      </w:pPr>
      <w:r>
        <w:rPr>
          <w:rFonts w:cs="Times New Roman" w:ascii="Times New Roman" w:hAnsi="Times New Roman"/>
          <w:bCs/>
          <w:color w:val="000000"/>
          <w:lang w:val="ru-RU"/>
        </w:rPr>
        <w:t>Медицинский осмотр проводится с целью раннего (своевременного) выявления у сотрудников состояний, заболеваний и факторов риска их развития, немедицинского потребления наркотических средств и (или) психотропных веществ и их метаболитов, а также в целях определения групп здоровья и выработки рекомендаций.</w:t>
      </w:r>
    </w:p>
    <w:p>
      <w:pPr>
        <w:pStyle w:val="Style26"/>
        <w:tabs>
          <w:tab w:val="clear" w:pos="708"/>
          <w:tab w:val="left" w:pos="0" w:leader="none"/>
          <w:tab w:val="left" w:pos="1276" w:leader="none"/>
        </w:tabs>
        <w:spacing w:lineRule="auto" w:line="240" w:before="0" w:after="0"/>
        <w:ind w:firstLine="567" w:start="0" w:end="0"/>
        <w:contextualSpacing/>
        <w:jc w:val="both"/>
        <w:rPr>
          <w:rFonts w:ascii="Times New Roman" w:hAnsi="Times New Roman" w:eastAsia="Times New Roman" w:cs="Times New Roman"/>
          <w:color w:val="1D1B11"/>
          <w:lang w:eastAsia="ru-RU"/>
        </w:rPr>
      </w:pPr>
      <w:r>
        <w:rPr>
          <w:rFonts w:cs="Times New Roman" w:ascii="Times New Roman" w:hAnsi="Times New Roman"/>
          <w:bCs/>
          <w:color w:val="000000"/>
          <w:sz w:val="22"/>
          <w:szCs w:val="22"/>
        </w:rPr>
        <w:t>Проведение медицинского осмотра проводиться при предоставлении сотрудником медицинской карты (годовой выписки из медицинской карты)  из медицинской организации, к которой сотрудник прикреплен на медицинское обеспечение по форме N 025/у "Медицинская карта пациента, получающего медицинскую помощь в амбулаторных условиях", утвержденная приказом Минздрава России от 15.12.2014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Минюстом России 20.02.2015, регистрационный N 36160), с изменениями, внесенными приказом Минздрава России от 09.01.2018 N 2н (зарегистрирован Минюстом России 04.04.2018, регистрационный N 50614).</w:t>
      </w:r>
    </w:p>
    <w:p>
      <w:pPr>
        <w:pStyle w:val="Normal"/>
        <w:tabs>
          <w:tab w:val="clear" w:pos="708"/>
          <w:tab w:val="left" w:pos="0" w:leader="none"/>
          <w:tab w:val="left" w:pos="540" w:leader="none"/>
          <w:tab w:val="left" w:pos="1260" w:leader="none"/>
        </w:tabs>
        <w:spacing w:lineRule="auto" w:line="240" w:before="0" w:after="0"/>
        <w:ind w:firstLine="567" w:end="0"/>
        <w:jc w:val="both"/>
        <w:rPr>
          <w:rFonts w:ascii="Times New Roman" w:hAnsi="Times New Roman" w:eastAsia="MS Mincho;ＭＳ 明朝" w:cs="Times New Roman"/>
          <w:color w:val="1D1B11"/>
          <w:lang w:eastAsia="ru-RU"/>
        </w:rPr>
      </w:pPr>
      <w:r>
        <w:rPr>
          <w:rFonts w:eastAsia="Times New Roman" w:cs="Times New Roman" w:ascii="Times New Roman" w:hAnsi="Times New Roman"/>
          <w:color w:val="1D1B11"/>
          <w:lang w:eastAsia="ru-RU"/>
        </w:rPr>
        <w:t xml:space="preserve"> </w:t>
      </w:r>
      <w:r>
        <w:rPr>
          <w:rFonts w:eastAsia="MS Mincho;ＭＳ 明朝" w:cs="Times New Roman" w:ascii="Times New Roman" w:hAnsi="Times New Roman"/>
          <w:color w:val="1D1B11"/>
          <w:lang w:eastAsia="ru-RU"/>
        </w:rPr>
        <w:t>Проведение медицинских осмотров должно производиться в заранее согласованное время вне очереди по графику, утвержденному Заказчиком.</w:t>
      </w:r>
    </w:p>
    <w:p>
      <w:pPr>
        <w:pStyle w:val="Normal"/>
        <w:spacing w:lineRule="auto" w:line="240" w:before="0" w:after="0"/>
        <w:ind w:firstLine="540" w:end="0"/>
        <w:jc w:val="both"/>
        <w:rPr>
          <w:rFonts w:ascii="Times New Roman" w:hAnsi="Times New Roman" w:cs="Times New Roman"/>
          <w:b/>
          <w:sz w:val="22"/>
          <w:szCs w:val="22"/>
        </w:rPr>
      </w:pPr>
      <w:r>
        <w:rPr>
          <w:rFonts w:eastAsia="MS Mincho;ＭＳ 明朝" w:cs="Times New Roman" w:ascii="Times New Roman" w:hAnsi="Times New Roman"/>
          <w:color w:val="1D1B11"/>
          <w:lang w:eastAsia="ru-RU"/>
        </w:rPr>
        <w:t>На основании сведений о прохождении сотрудником медицинского осмотра врачом-терапевтом заполняется карта учета диспансеризации (профилактических медицинских осмотров)</w:t>
      </w:r>
      <w:r>
        <w:rPr>
          <w:rStyle w:val="Style15"/>
          <w:rStyle w:val="FootnoteReference"/>
          <w:rFonts w:cs="Times New Roman" w:ascii="Times New Roman" w:hAnsi="Times New Roman"/>
        </w:rPr>
        <w:footnoteReference w:id="3"/>
      </w:r>
      <w:r>
        <w:rPr>
          <w:rFonts w:eastAsia="MS Mincho;ＭＳ 明朝" w:cs="Times New Roman" w:ascii="Times New Roman" w:hAnsi="Times New Roman"/>
          <w:color w:val="1D1B11"/>
          <w:lang w:eastAsia="ru-RU"/>
        </w:rPr>
        <w:t>,</w:t>
      </w:r>
      <w:r>
        <w:rPr>
          <w:rFonts w:cs="Times New Roman" w:ascii="Times New Roman" w:hAnsi="Times New Roman"/>
        </w:rPr>
        <w:t xml:space="preserve"> </w:t>
      </w:r>
      <w:r>
        <w:rPr>
          <w:rFonts w:eastAsia="MS Mincho;ＭＳ 明朝" w:cs="Times New Roman" w:ascii="Times New Roman" w:hAnsi="Times New Roman"/>
          <w:color w:val="1D1B11"/>
          <w:lang w:eastAsia="ru-RU"/>
        </w:rPr>
        <w:t>которая подшивается в медицинскую карту сотрудника, либо в его медицинской карте заполняется эпикриз, в котором указываются: заболевания (подозрения на заболевания), выявленные при проведении медицинского осмотра, установление диспансерного наблюдения, выявленные при проведении медицинского осмотра факторы риска развития хронических неинфекционных заболеваний в соответствии с кодами Международной статистической классификации болезней и проблем, связанных со здоровьем (10-й пересмотр) и с учетом диагностических критериев факторов риска и других патологических состояний и заболеваний, повышающих вероятность развития хронических неинфекционных заболеваний, предусмотренных приложением N 3 к Порядку</w:t>
      </w:r>
      <w:r>
        <w:rPr>
          <w:rStyle w:val="Style15"/>
          <w:rStyle w:val="FootnoteReference"/>
          <w:rFonts w:cs="Times New Roman" w:ascii="Times New Roman" w:hAnsi="Times New Roman"/>
        </w:rPr>
        <w:footnoteReference w:id="4"/>
      </w:r>
      <w:r>
        <w:rPr>
          <w:rFonts w:eastAsia="MS Mincho;ＭＳ 明朝" w:cs="Times New Roman" w:ascii="Times New Roman" w:hAnsi="Times New Roman"/>
          <w:color w:val="1D1B11"/>
          <w:lang w:eastAsia="ru-RU"/>
        </w:rPr>
        <w:t>,</w:t>
      </w:r>
      <w:r>
        <w:rPr>
          <w:rFonts w:cs="Times New Roman" w:ascii="Times New Roman" w:hAnsi="Times New Roman"/>
        </w:rPr>
        <w:t xml:space="preserve"> </w:t>
      </w:r>
      <w:r>
        <w:rPr>
          <w:rFonts w:eastAsia="MS Mincho;ＭＳ 明朝" w:cs="Times New Roman" w:ascii="Times New Roman" w:hAnsi="Times New Roman"/>
          <w:color w:val="1D1B11"/>
          <w:lang w:eastAsia="ru-RU"/>
        </w:rPr>
        <w:t>группа состояния здоровья, назначенное лечение, направление на дополнительное обследование, не входящее в объем медицинского осмотра, направление для получения специализированной, в том числе высокотехнологичной, медицинской помощи (на санаторно-курортное лечение), фамилия, имя, отчество (при наличии) и подпись врача-терапевта, заполнившего эпикриз.</w:t>
      </w:r>
    </w:p>
    <w:p>
      <w:pPr>
        <w:pStyle w:val="Style26"/>
        <w:numPr>
          <w:ilvl w:val="0"/>
          <w:numId w:val="4"/>
        </w:numPr>
        <w:tabs>
          <w:tab w:val="clear" w:pos="708"/>
          <w:tab w:val="left" w:pos="709" w:leader="none"/>
          <w:tab w:val="left" w:pos="1276" w:leader="none"/>
        </w:tabs>
        <w:spacing w:lineRule="auto" w:line="240" w:before="0" w:after="0"/>
        <w:ind w:firstLine="567" w:start="0" w:end="0"/>
        <w:contextualSpacing/>
        <w:jc w:val="both"/>
        <w:rPr>
          <w:rFonts w:ascii="Times New Roman" w:hAnsi="Times New Roman" w:cs="Times New Roman"/>
        </w:rPr>
      </w:pPr>
      <w:r>
        <w:rPr>
          <w:rFonts w:cs="Times New Roman" w:ascii="Times New Roman" w:hAnsi="Times New Roman"/>
          <w:b/>
          <w:sz w:val="22"/>
          <w:szCs w:val="22"/>
        </w:rPr>
        <w:t>Порядок оказания медицинских услуг:</w:t>
      </w:r>
    </w:p>
    <w:p>
      <w:pPr>
        <w:pStyle w:val="Normal"/>
        <w:spacing w:lineRule="auto" w:line="240" w:before="0" w:after="0"/>
        <w:ind w:firstLine="567" w:end="0"/>
        <w:jc w:val="both"/>
        <w:rPr/>
      </w:pPr>
      <w:r>
        <w:rPr>
          <w:rFonts w:cs="Times New Roman" w:ascii="Times New Roman" w:hAnsi="Times New Roman"/>
        </w:rPr>
        <w:t>4.1. При оказании услуг по проведению профилактического медицинского осмотра работников Заказчика Исполнитель должен руководствоваться требованиями действующего законодательства РФ, в частности соблюдать положения, предусмотренные статьей 20 Федерального закона от 21.11.2011 N 323-ФЗ "Об основах охраны здоровья граждан в Российской Федерации"</w:t>
      </w:r>
      <w:r>
        <w:rPr>
          <w:rStyle w:val="Style15"/>
          <w:rStyle w:val="FootnoteReference"/>
          <w:rFonts w:cs="Times New Roman" w:ascii="Times New Roman" w:hAnsi="Times New Roman"/>
        </w:rPr>
        <w:footnoteReference w:id="5"/>
      </w:r>
      <w:r>
        <w:rPr>
          <w:rFonts w:cs="Times New Roman" w:ascii="Times New Roman" w:hAnsi="Times New Roman"/>
        </w:rPr>
        <w:t>.</w:t>
      </w:r>
    </w:p>
    <w:p>
      <w:pPr>
        <w:pStyle w:val="Normal"/>
        <w:spacing w:lineRule="auto" w:line="240" w:before="0" w:after="0"/>
        <w:ind w:firstLine="540" w:end="0"/>
        <w:jc w:val="both"/>
        <w:rPr/>
      </w:pPr>
      <w:r>
        <w:rPr>
          <w:rFonts w:cs="Times New Roman" w:ascii="Times New Roman" w:hAnsi="Times New Roman"/>
        </w:rPr>
        <w:t xml:space="preserve">4.2. </w:t>
      </w:r>
      <w:r>
        <w:rPr>
          <w:rFonts w:eastAsia="MS Mincho;ＭＳ 明朝" w:cs="Times New Roman" w:ascii="Times New Roman" w:hAnsi="Times New Roman"/>
          <w:color w:val="1D1B11"/>
          <w:lang w:eastAsia="ru-RU"/>
        </w:rPr>
        <w:t>Медицинский осмотр проводится в один или два этапа.</w:t>
      </w:r>
    </w:p>
    <w:p>
      <w:pPr>
        <w:pStyle w:val="Normal"/>
        <w:spacing w:lineRule="auto" w:line="240" w:before="0" w:after="0"/>
        <w:ind w:firstLine="540" w:end="0"/>
        <w:jc w:val="both"/>
        <w:rPr/>
      </w:pPr>
      <w:r>
        <w:rPr>
          <w:rFonts w:eastAsia="MS Mincho;ＭＳ 明朝" w:cs="Times New Roman" w:ascii="Times New Roman" w:hAnsi="Times New Roman"/>
          <w:color w:val="1D1B11"/>
          <w:lang w:eastAsia="ru-RU"/>
        </w:rPr>
        <w:t xml:space="preserve">4.2.1. </w:t>
      </w:r>
      <w:r>
        <w:rPr>
          <w:rFonts w:eastAsia="MS Mincho;ＭＳ 明朝" w:cs="Times New Roman" w:ascii="Times New Roman" w:hAnsi="Times New Roman"/>
          <w:b/>
          <w:i/>
          <w:color w:val="1D1B11"/>
          <w:lang w:eastAsia="ru-RU"/>
        </w:rPr>
        <w:t>Первый этап</w:t>
      </w:r>
      <w:r>
        <w:rPr>
          <w:rFonts w:eastAsia="MS Mincho;ＭＳ 明朝" w:cs="Times New Roman" w:ascii="Times New Roman" w:hAnsi="Times New Roman"/>
          <w:color w:val="1D1B11"/>
          <w:lang w:eastAsia="ru-RU"/>
        </w:rPr>
        <w:t xml:space="preserve"> проводится с целью выявления у сотрудника признаков хронических неинфекционных заболеваний, факторов риска их развития, потребления наркотических средств и (или) психотропных веществ и их метаболитов без назначения врача либо новых потенциально опасных психоактивных веществ,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медицинского осмотра и включает в себя:</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 опрос (анкетирование), направленный на выявление хронических неинфекционных заболеваний, факторов риска их развития, потребления наркотических средств и (или) психотропных веществ без назначения врача либо новых потенциально опасных психоактивных веществ;</w:t>
      </w:r>
    </w:p>
    <w:p>
      <w:pPr>
        <w:pStyle w:val="Normal"/>
        <w:spacing w:lineRule="auto" w:line="240" w:before="0" w:after="0"/>
        <w:ind w:firstLine="540" w:end="0"/>
        <w:jc w:val="both"/>
        <w:rPr/>
      </w:pPr>
      <w:r>
        <w:rPr>
          <w:rFonts w:cs="Times New Roman" w:ascii="Times New Roman" w:hAnsi="Times New Roman"/>
        </w:rPr>
        <w:t>2</w:t>
      </w:r>
      <w:r>
        <w:rPr>
          <w:rFonts w:eastAsia="MS Mincho;ＭＳ 明朝" w:cs="Times New Roman" w:ascii="Times New Roman" w:hAnsi="Times New Roman"/>
          <w:color w:val="1D1B11"/>
          <w:lang w:eastAsia="ru-RU"/>
        </w:rPr>
        <w:t>) антропометрию (измерение массы тела, рост стоя, окружности грудной клетки и талии), измерение силы мышц кисти, расчет индекса массы тела (ежегодно);</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3) исследование дыхательной функции (спирометрия и (или) спирография) (один раз в 2 года);</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 измерение артериального давления (ежегодно);</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5) измерение внутриглазного давления (ежегодно в возрасте 39 лет и старше);</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6) общий (клинический) анализ крови развернутый (ежегодно);</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7) общий (клинический) анализ мочи (ежегодно);</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8) исследование уровня глюкозы в крови (ежегодно);</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9) исследование уровня холестерина в крови (ежегодно);</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10) исследование кала на скрытую кровь (ежегодно в возрасте 45 лет и старше);</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11) анализ крови биохимический общетерапевтический (в объеме не менее определения уровня общего белка, креатинина, общего билирубина, аспартат-аминотрансаминазы, аланин-аминотрансаминазы, глюкозы, холестерина, натрия, калия) (в возрасте 39 лет и старше с периодичностью 1 раз в 6 лет вместо исследований, предусмотренных подпунктами 8 и 9 настоящего пункта);</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12) исследование уровня простатспецифического антигена в крови (мужчинам в возрасте 39 лет и старше - ежегодно, а также по назначению врача-хирурга и (или) врача-уролога мужчинам с подозрением на онкологическое заболевание предстательной железы по результатам опроса, осмотра, пальцевого исследования или ультразвукового исследования (далее - УЗИ) предстательной железы);</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13) флюорографию легких (ежегодно) (флюорография легких не проводится, если сотруднику в течение предшествующего календарного года либо года проведения медицинского осмотра проводилась флюорография, рентгенография (рентгеноскопия) или компьютерная томография органов грудной клетки);</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14) регистрацию электрокардиограммы (в возрасте до 35 лет - один раз в 2 года, в возрасте 35 лет и старше - ежегодно);</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15</w:t>
      </w:r>
      <w:r>
        <w:rPr>
          <w:rFonts w:eastAsia="MS Mincho;ＭＳ 明朝" w:cs="Times New Roman" w:ascii="Times New Roman" w:hAnsi="Times New Roman"/>
          <w:color w:val="1D1B11"/>
          <w:lang w:eastAsia="ru-RU"/>
        </w:rPr>
        <w:t>) УЗИ органов брюшной полости и малого таза на предмет исключения новообразований для сотрудников в возрасте 39 лет и старше (УЗИ поджелудочной железы и почек - 1 раз в 3 года; для мужчин дополнительно ежегодно УЗИ предстательной железы, УЗИ органов брюшной полости не проводится, если сотруднику в год проведения медицинского осмотра проводилась магнитно-резонансная или компьютерная томография органов брюшной полости);</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w:t>
      </w:r>
      <w:r>
        <w:rPr>
          <w:rFonts w:eastAsia="MS Mincho;ＭＳ 明朝" w:cs="Times New Roman" w:ascii="Times New Roman" w:hAnsi="Times New Roman"/>
          <w:color w:val="1D1B11"/>
          <w:lang w:eastAsia="ru-RU"/>
        </w:rPr>
        <w:t>6</w:t>
      </w:r>
      <w:r>
        <w:rPr>
          <w:rFonts w:eastAsia="MS Mincho;ＭＳ 明朝" w:cs="Times New Roman" w:ascii="Times New Roman" w:hAnsi="Times New Roman"/>
          <w:color w:val="1D1B11"/>
          <w:lang w:eastAsia="ru-RU"/>
        </w:rPr>
        <w:t>) осмотр врачами-специалистами (врачом-офтальмологом, врачом-неврологом, врачом-оториноларингологом, врачом-хирургом, врачом-стоматологом, врачом-психиатром, врачом-психиатром-наркологом, врачом-терапевтом, а для женщин также осмотр врачом-гинекологом (фельдшером), включая взятие мазка (соскоба) с поверхности шейки матки (наружного маточного зева) и цервикального канала на цитологическое исследование);</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1</w:t>
      </w:r>
      <w:r>
        <w:rPr>
          <w:rFonts w:eastAsia="MS Mincho;ＭＳ 明朝" w:cs="Times New Roman" w:ascii="Times New Roman" w:hAnsi="Times New Roman"/>
          <w:color w:val="1D1B11"/>
          <w:lang w:eastAsia="ru-RU"/>
        </w:rPr>
        <w:t>7)</w:t>
      </w:r>
      <w:r>
        <w:rPr>
          <w:rFonts w:eastAsia="MS Mincho;ＭＳ 明朝" w:cs="Times New Roman" w:ascii="Times New Roman" w:hAnsi="Times New Roman"/>
          <w:color w:val="1D1B11"/>
          <w:lang w:eastAsia="ru-RU"/>
        </w:rPr>
        <w:t xml:space="preserve"> осмотр врача-терапевта, включающий установление диагноза, определение группы состояния здоровья, группы диспансерного наблюдения, проведение краткого профилактического консультирования (с учетом заключений врачей-специалистов), в том числе рекомендации по здоровому питанию, уровню физической активности, отказу от курения табака и потребления алкоголя, определение медицинских показаний для обследований и консультаций в рамках второго этапа медицинского осмотра.</w:t>
      </w:r>
    </w:p>
    <w:p>
      <w:pPr>
        <w:pStyle w:val="Normal"/>
        <w:spacing w:lineRule="auto" w:line="240" w:before="0" w:after="0"/>
        <w:ind w:firstLine="540" w:end="0"/>
        <w:jc w:val="both"/>
        <w:rPr/>
      </w:pPr>
      <w:r>
        <w:rPr>
          <w:rFonts w:eastAsia="MS Mincho;ＭＳ 明朝" w:cs="Times New Roman" w:ascii="Times New Roman" w:hAnsi="Times New Roman"/>
          <w:color w:val="1D1B11"/>
          <w:lang w:eastAsia="ru-RU"/>
        </w:rPr>
        <w:t>1</w:t>
      </w:r>
      <w:r>
        <w:rPr>
          <w:rFonts w:eastAsia="MS Mincho;ＭＳ 明朝" w:cs="Times New Roman" w:ascii="Times New Roman" w:hAnsi="Times New Roman"/>
          <w:color w:val="1D1B11"/>
          <w:lang w:eastAsia="ru-RU"/>
        </w:rPr>
        <w:t>8</w:t>
      </w:r>
      <w:r>
        <w:rPr>
          <w:rFonts w:eastAsia="MS Mincho;ＭＳ 明朝" w:cs="Times New Roman" w:ascii="Times New Roman" w:hAnsi="Times New Roman"/>
          <w:color w:val="1D1B11"/>
          <w:lang w:eastAsia="ru-RU"/>
        </w:rPr>
        <w:t>) ХТИ наличия в организме человека наркотических средств, психотропных веществ и их метаболитов (опиаты, каннабиноиды, амфетамины, кокаин, барбитураты, метадон, фенциклидин) - ежегодно в соответствии с приказом Минздравсоцразвития России от 27.01.2006 N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 (зарегистрирован Минюстом России 26.02.2006, регистрационный N 7544) (далее - приказ Минздравсоцразвития России N 40). Справка о результатах ХТИ</w:t>
      </w:r>
      <w:r>
        <w:rPr>
          <w:rStyle w:val="Style15"/>
          <w:rStyle w:val="FootnoteReference"/>
          <w:rFonts w:eastAsia="MS Mincho;ＭＳ 明朝" w:cs="Times New Roman" w:ascii="Times New Roman" w:hAnsi="Times New Roman"/>
          <w:color w:val="1D1B11"/>
          <w:lang w:eastAsia="ru-RU"/>
        </w:rPr>
        <w:footnoteReference w:id="6"/>
      </w:r>
      <w:r>
        <w:rPr>
          <w:rFonts w:eastAsia="MS Mincho;ＭＳ 明朝" w:cs="Times New Roman" w:ascii="Times New Roman" w:hAnsi="Times New Roman"/>
          <w:color w:val="1D1B11"/>
          <w:lang w:eastAsia="ru-RU"/>
        </w:rPr>
        <w:t xml:space="preserve"> подшивается в медицинскую карту пациента, получающего медицинскую помощь в амбулаторных условиях</w:t>
      </w:r>
      <w:r>
        <w:rPr>
          <w:rStyle w:val="12"/>
          <w:rStyle w:val="FootnoteReference"/>
          <w:rFonts w:eastAsia="MS Mincho;ＭＳ 明朝" w:cs="Times New Roman" w:ascii="Times New Roman" w:hAnsi="Times New Roman"/>
          <w:color w:val="1D1B11"/>
          <w:lang w:eastAsia="ru-RU"/>
        </w:rPr>
        <w:footnoteReference w:id="7"/>
      </w:r>
      <w:r>
        <w:rPr>
          <w:rFonts w:eastAsia="MS Mincho;ＭＳ 明朝" w:cs="Times New Roman" w:ascii="Times New Roman" w:hAnsi="Times New Roman"/>
          <w:color w:val="1D1B11"/>
          <w:lang w:eastAsia="ru-RU"/>
        </w:rPr>
        <w:t xml:space="preserve"> (далее - медицинская карта сотрудника);</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4.2.2. Первый этап медицинского осмотра считается законченным в случае выполнения полного объема обследований, установленных для данного возраста и пола сотрудника, в том числе при отсутствии по результатам ХТИ в пробе биологического объекта наркотических средств и (или) психотропных веществ и их метаболитов.</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4.3.</w:t>
      </w:r>
      <w:r>
        <w:rPr>
          <w:rFonts w:eastAsia="MS Mincho;ＭＳ 明朝" w:cs="Times New Roman" w:ascii="Times New Roman" w:hAnsi="Times New Roman"/>
          <w:color w:val="1D1B11"/>
          <w:lang w:eastAsia="ru-RU"/>
        </w:rPr>
        <w:t xml:space="preserve"> Графики ежегодных медицинских осмотров сотрудников составляются подразделениями, отвечающими за организацию медико-санитарного обеспечения федерального органа принудительного исполнения и территориального органа принудительного исполнения (далее - уполномоченные подразделения), согласовываются и утверждаются организационными распорядительными документами, копии которых направляются в медицинские организации.</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w:t>
      </w:r>
      <w:r>
        <w:rPr>
          <w:rFonts w:eastAsia="MS Mincho;ＭＳ 明朝" w:cs="Times New Roman" w:ascii="Times New Roman" w:hAnsi="Times New Roman"/>
          <w:color w:val="1D1B11"/>
          <w:lang w:eastAsia="ru-RU"/>
        </w:rPr>
        <w:t>4.</w:t>
      </w:r>
      <w:r>
        <w:rPr>
          <w:rFonts w:eastAsia="MS Mincho;ＭＳ 明朝" w:cs="Times New Roman" w:ascii="Times New Roman" w:hAnsi="Times New Roman"/>
          <w:color w:val="1D1B11"/>
          <w:lang w:eastAsia="ru-RU"/>
        </w:rPr>
        <w:t xml:space="preserve"> При получении по результатам подтверждающих ХТИ пробы биологического объекта сотрудника отрицательного результата врачом-психиатром-наркологом в медицинскую карту вносится запись об отсутствии в исследованной пробе биологического объекта наркотических средств, психотропных веществ и их метаболитов.</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w:t>
      </w:r>
      <w:r>
        <w:rPr>
          <w:rFonts w:eastAsia="MS Mincho;ＭＳ 明朝" w:cs="Times New Roman" w:ascii="Times New Roman" w:hAnsi="Times New Roman"/>
          <w:color w:val="1D1B11"/>
          <w:lang w:eastAsia="ru-RU"/>
        </w:rPr>
        <w:t>5</w:t>
      </w:r>
      <w:r>
        <w:rPr>
          <w:rFonts w:eastAsia="MS Mincho;ＭＳ 明朝" w:cs="Times New Roman" w:ascii="Times New Roman" w:hAnsi="Times New Roman"/>
          <w:color w:val="1D1B11"/>
          <w:lang w:eastAsia="ru-RU"/>
        </w:rPr>
        <w:t>. Об установленном факте немедицинского потребления сотрудником наркотических средств и (или) психотропных веществ и их метаболитов либо о его отказе проходить медицинский осмотр, в том числе ХТИ (осмотр врача-психиатра-нарколога) руководитель (начальник) медицинской организации (лицо, его замещающее) письменно информирует руководителя федерального органа принудительного исполнения (руководителя территориального органа принудительного исполнения), о чем делается отметка в медицинской карте сотрудника.</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Контроль за прохождением сотрудниками медицинского осмотра, соблюдением сроков его прохождения осуществляется Заказчиком.</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w:t>
      </w:r>
      <w:r>
        <w:rPr>
          <w:rFonts w:eastAsia="MS Mincho;ＭＳ 明朝" w:cs="Times New Roman" w:ascii="Times New Roman" w:hAnsi="Times New Roman"/>
          <w:color w:val="1D1B11"/>
          <w:lang w:eastAsia="ru-RU"/>
        </w:rPr>
        <w:t>6.</w:t>
      </w:r>
      <w:r>
        <w:rPr>
          <w:rFonts w:eastAsia="MS Mincho;ＭＳ 明朝" w:cs="Times New Roman" w:ascii="Times New Roman" w:hAnsi="Times New Roman"/>
          <w:color w:val="1D1B11"/>
          <w:lang w:eastAsia="ru-RU"/>
        </w:rPr>
        <w:t xml:space="preserve"> Отказ сотрудника от проведения отдельных видов медицинских вмешательств, в том числе ХТИ, оформляется в виде письменного добровольного отказа сотрудника от медицинского вмешательства, который подшивается в его медицинскую карту.</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w:t>
      </w:r>
      <w:r>
        <w:rPr>
          <w:rFonts w:eastAsia="MS Mincho;ＭＳ 明朝" w:cs="Times New Roman" w:ascii="Times New Roman" w:hAnsi="Times New Roman"/>
          <w:color w:val="1D1B11"/>
          <w:lang w:eastAsia="ru-RU"/>
        </w:rPr>
        <w:t>7</w:t>
      </w:r>
      <w:r>
        <w:rPr>
          <w:rFonts w:eastAsia="MS Mincho;ＭＳ 明朝" w:cs="Times New Roman" w:ascii="Times New Roman" w:hAnsi="Times New Roman"/>
          <w:color w:val="1D1B11"/>
          <w:lang w:eastAsia="ru-RU"/>
        </w:rPr>
        <w:t>. Результаты осмотров врачами-специалистами и диагностических исследований вносятся в медицинскую карту сотрудника.</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w:t>
      </w:r>
      <w:r>
        <w:rPr>
          <w:rFonts w:eastAsia="MS Mincho;ＭＳ 明朝" w:cs="Times New Roman" w:ascii="Times New Roman" w:hAnsi="Times New Roman"/>
          <w:color w:val="1D1B11"/>
          <w:lang w:eastAsia="ru-RU"/>
        </w:rPr>
        <w:t>8</w:t>
      </w:r>
      <w:r>
        <w:rPr>
          <w:rFonts w:eastAsia="MS Mincho;ＭＳ 明朝" w:cs="Times New Roman" w:ascii="Times New Roman" w:hAnsi="Times New Roman"/>
          <w:color w:val="1D1B11"/>
          <w:lang w:eastAsia="ru-RU"/>
        </w:rPr>
        <w:t>. При наличии в медицинской карте сотрудника результатов исследований (осмотров врачами-специалистами), которые выполнялись в течение шести месяцев, предшествующих месяцу проведения медицинского осмотра, решение о необходимости повторных исследований (осмотров врачами-специалистами) в рамках медицинского осмотра принимается врачом-терапевтом индивидуально с учетом всех имеющихся результатов осмотров врачей-специалистов, диагностических исследований и состояния здоровья сотрудника.</w:t>
      </w:r>
    </w:p>
    <w:p>
      <w:pPr>
        <w:pStyle w:val="Normal"/>
        <w:spacing w:lineRule="auto" w:line="240" w:before="0" w:after="0"/>
        <w:ind w:firstLine="540" w:end="0"/>
        <w:jc w:val="both"/>
        <w:rPr/>
      </w:pPr>
      <w:r>
        <w:rPr>
          <w:rFonts w:eastAsia="MS Mincho;ＭＳ 明朝" w:cs="Times New Roman" w:ascii="Times New Roman" w:hAnsi="Times New Roman"/>
          <w:color w:val="1D1B11"/>
          <w:lang w:eastAsia="ru-RU"/>
        </w:rPr>
        <w:t>4.</w:t>
      </w:r>
      <w:r>
        <w:rPr>
          <w:rFonts w:eastAsia="MS Mincho;ＭＳ 明朝" w:cs="Times New Roman" w:ascii="Times New Roman" w:hAnsi="Times New Roman"/>
          <w:color w:val="1D1B11"/>
          <w:lang w:eastAsia="ru-RU"/>
        </w:rPr>
        <w:t>9</w:t>
      </w:r>
      <w:r>
        <w:rPr>
          <w:rFonts w:eastAsia="MS Mincho;ＭＳ 明朝" w:cs="Times New Roman" w:ascii="Times New Roman" w:hAnsi="Times New Roman"/>
          <w:color w:val="1D1B11"/>
          <w:lang w:eastAsia="ru-RU"/>
        </w:rPr>
        <w:t>. Сотрудник, находившийся в текущем году на лечении (обследовании) в стационарных условиях, а также прошедший в текущем году медицинское</w:t>
      </w:r>
      <w:r>
        <w:rPr>
          <w:rFonts w:cs="Times New Roman" w:ascii="Times New Roman" w:hAnsi="Times New Roman"/>
        </w:rPr>
        <w:t xml:space="preserve"> </w:t>
      </w:r>
      <w:r>
        <w:rPr>
          <w:rFonts w:eastAsia="MS Mincho;ＭＳ 明朝" w:cs="Times New Roman" w:ascii="Times New Roman" w:hAnsi="Times New Roman"/>
          <w:color w:val="1D1B11"/>
          <w:lang w:eastAsia="ru-RU"/>
        </w:rPr>
        <w:t>освидетельствование военно-врачебной комиссией, в рамках медицинского осмотра проходит только ХТИ. Решение о необходимости иных повторных исследований (осмотров врачами-специалистами) в рамках медицинского осмотра принимается врачом-терапевтом с учетом всех имеющихся результатов осмотров врачей-специалистов, диагностических исследований и состояния здоровья сотрудника.</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4.1</w:t>
      </w:r>
      <w:r>
        <w:rPr>
          <w:rFonts w:eastAsia="MS Mincho;ＭＳ 明朝" w:cs="Times New Roman" w:ascii="Times New Roman" w:hAnsi="Times New Roman"/>
          <w:color w:val="1D1B11"/>
          <w:lang w:eastAsia="ru-RU"/>
        </w:rPr>
        <w:t>0</w:t>
      </w:r>
      <w:r>
        <w:rPr>
          <w:rFonts w:eastAsia="MS Mincho;ＭＳ 明朝" w:cs="Times New Roman" w:ascii="Times New Roman" w:hAnsi="Times New Roman"/>
          <w:color w:val="1D1B11"/>
          <w:lang w:eastAsia="ru-RU"/>
        </w:rPr>
        <w:t>. Группы состояния здоровья сотрудника и группы диспансерного наблюдения (далее - группы здоровья) по результатам медицинского осмотра определяются с учетом критериев, предусмотренных пунктом 23 Порядка проведения профилактического медицинского осмотра и диспансеризации определенных групп взрослого населения, утвержденного приказом Минздрава России от 13.03.2019 N 124н (зарегистрирован Минюстом России 24.04.2019, регистрационный N 54495).</w:t>
      </w:r>
    </w:p>
    <w:p>
      <w:pPr>
        <w:pStyle w:val="Normal"/>
        <w:spacing w:lineRule="auto" w:line="240" w:before="0" w:after="0"/>
        <w:ind w:firstLine="540" w:end="0"/>
        <w:jc w:val="both"/>
        <w:rPr/>
      </w:pPr>
      <w:r>
        <w:rPr>
          <w:rFonts w:eastAsia="MS Mincho;ＭＳ 明朝" w:cs="Times New Roman" w:ascii="Times New Roman" w:hAnsi="Times New Roman"/>
          <w:color w:val="1D1B11"/>
          <w:lang w:eastAsia="ru-RU"/>
        </w:rPr>
        <w:t>4.1</w:t>
      </w:r>
      <w:r>
        <w:rPr>
          <w:rFonts w:eastAsia="MS Mincho;ＭＳ 明朝" w:cs="Times New Roman" w:ascii="Times New Roman" w:hAnsi="Times New Roman"/>
          <w:color w:val="1D1B11"/>
          <w:lang w:eastAsia="ru-RU"/>
        </w:rPr>
        <w:t>1</w:t>
      </w:r>
      <w:r>
        <w:rPr>
          <w:rFonts w:eastAsia="MS Mincho;ＭＳ 明朝" w:cs="Times New Roman" w:ascii="Times New Roman" w:hAnsi="Times New Roman"/>
          <w:color w:val="1D1B11"/>
          <w:lang w:eastAsia="ru-RU"/>
        </w:rPr>
        <w:t>. На основании сведений о прохождении сотрудником медицинского осмотра врачом-терапевтом заполняется карта учета диспансеризации (профилактических медицинских осмотров)</w:t>
      </w:r>
      <w:r>
        <w:rPr>
          <w:rStyle w:val="Style15"/>
          <w:rStyle w:val="FootnoteReference"/>
          <w:rFonts w:cs="Times New Roman" w:ascii="Times New Roman" w:hAnsi="Times New Roman"/>
        </w:rPr>
        <w:footnoteReference w:id="8"/>
      </w:r>
      <w:r>
        <w:rPr>
          <w:rFonts w:eastAsia="MS Mincho;ＭＳ 明朝" w:cs="Times New Roman" w:ascii="Times New Roman" w:hAnsi="Times New Roman"/>
          <w:color w:val="1D1B11"/>
          <w:lang w:eastAsia="ru-RU"/>
        </w:rPr>
        <w:t>,</w:t>
      </w:r>
      <w:r>
        <w:rPr>
          <w:rFonts w:cs="Times New Roman" w:ascii="Times New Roman" w:hAnsi="Times New Roman"/>
        </w:rPr>
        <w:t xml:space="preserve"> </w:t>
      </w:r>
      <w:r>
        <w:rPr>
          <w:rFonts w:eastAsia="MS Mincho;ＭＳ 明朝" w:cs="Times New Roman" w:ascii="Times New Roman" w:hAnsi="Times New Roman"/>
          <w:color w:val="1D1B11"/>
          <w:lang w:eastAsia="ru-RU"/>
        </w:rPr>
        <w:t>которая подшивается в медицинскую карту сотрудника, либо в его медицинской карте заполняется эпикриз, в котором указываются: заболевания (подозрения на заболевания), выявленные при проведении медицинского осмотра, установление диспансерного наблюдения, выявленные при проведении медицинского осмотра факторы риска развития хронических неинфекционных заболеваний в соответствии с кодами Международной статистической классификации болезней и проблем, связанных со здоровьем (10-й пересмотр) и с учетом диагностических критериев факторов риска и других патологических состояний и заболеваний, повышающих вероятность развития хронических неинфекционных заболеваний, предусмотренных приложением N 3 к Порядку, группа состояния здоровья, назначенное лечение, направление на дополнительное обследование, не входящее в объем медицинского осмотра, направление для получения специализированной, в том числе высокотехнологичной, медицинской помощи (на санаторно-курортное лечение), фамилия, имя, отчество (при наличии) и подпись врача-терапевта, заполнившего эпикриз.</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4.1</w:t>
      </w:r>
      <w:r>
        <w:rPr>
          <w:rFonts w:eastAsia="MS Mincho;ＭＳ 明朝" w:cs="Times New Roman" w:ascii="Times New Roman" w:hAnsi="Times New Roman"/>
          <w:color w:val="1D1B11"/>
          <w:lang w:eastAsia="ru-RU"/>
        </w:rPr>
        <w:t>2</w:t>
      </w:r>
      <w:r>
        <w:rPr>
          <w:rFonts w:eastAsia="MS Mincho;ＭＳ 明朝" w:cs="Times New Roman" w:ascii="Times New Roman" w:hAnsi="Times New Roman"/>
          <w:color w:val="1D1B11"/>
          <w:lang w:eastAsia="ru-RU"/>
        </w:rPr>
        <w:t>. Сотрудник, не прошедший медицинский осмотр в связи с его временной нетрудоспособностью, нахождением в отпуске или командировке, в сроки, предусмотренные графиком проведения медицинского осмотра, проходит медицинский осмотр в течение месяца после выхода на службу (возвращения из командировки).</w:t>
      </w:r>
    </w:p>
    <w:p>
      <w:pPr>
        <w:pStyle w:val="Normal"/>
        <w:spacing w:lineRule="auto" w:line="240" w:before="0" w:after="0"/>
        <w:ind w:firstLine="540" w:end="0"/>
        <w:jc w:val="both"/>
        <w:rPr/>
      </w:pPr>
      <w:r>
        <w:rPr>
          <w:rFonts w:eastAsia="MS Mincho;ＭＳ 明朝" w:cs="Times New Roman" w:ascii="Times New Roman" w:hAnsi="Times New Roman"/>
          <w:color w:val="1D1B11"/>
          <w:lang w:eastAsia="ru-RU"/>
        </w:rPr>
        <w:t>4.1</w:t>
      </w:r>
      <w:r>
        <w:rPr>
          <w:rFonts w:eastAsia="MS Mincho;ＭＳ 明朝" w:cs="Times New Roman" w:ascii="Times New Roman" w:hAnsi="Times New Roman"/>
          <w:color w:val="1D1B11"/>
          <w:lang w:eastAsia="ru-RU"/>
        </w:rPr>
        <w:t>3</w:t>
      </w:r>
      <w:r>
        <w:rPr>
          <w:rFonts w:eastAsia="MS Mincho;ＭＳ 明朝" w:cs="Times New Roman" w:ascii="Times New Roman" w:hAnsi="Times New Roman"/>
          <w:color w:val="1D1B11"/>
          <w:lang w:eastAsia="ru-RU"/>
        </w:rPr>
        <w:t>. Обмен данными о сотрудниках, а также обработка их персональных данных производятся с соблюдением требований, установленных законодательством Российской Федерации в области персональных данных</w:t>
      </w:r>
      <w:r>
        <w:rPr>
          <w:rStyle w:val="Style15"/>
          <w:rStyle w:val="FootnoteReference"/>
          <w:rFonts w:cs="Times New Roman" w:ascii="Times New Roman" w:hAnsi="Times New Roman"/>
        </w:rPr>
        <w:footnoteReference w:id="9"/>
      </w:r>
      <w:r>
        <w:rPr>
          <w:rFonts w:eastAsia="MS Mincho;ＭＳ 明朝" w:cs="Times New Roman" w:ascii="Times New Roman" w:hAnsi="Times New Roman"/>
          <w:color w:val="1D1B11"/>
          <w:lang w:eastAsia="ru-RU"/>
        </w:rPr>
        <w:t>, и соблюдением врачебной тайны</w:t>
      </w:r>
      <w:r>
        <w:rPr>
          <w:rStyle w:val="Style15"/>
          <w:rStyle w:val="FootnoteReference"/>
          <w:rFonts w:cs="Times New Roman" w:ascii="Times New Roman" w:hAnsi="Times New Roman"/>
        </w:rPr>
        <w:footnoteReference w:id="10"/>
      </w:r>
      <w:r>
        <w:rPr>
          <w:rFonts w:cs="Times New Roman" w:ascii="Times New Roman" w:hAnsi="Times New Roman"/>
        </w:rPr>
        <w:t xml:space="preserve">. </w:t>
      </w:r>
    </w:p>
    <w:p>
      <w:pPr>
        <w:pStyle w:val="Normal"/>
        <w:tabs>
          <w:tab w:val="clear" w:pos="708"/>
          <w:tab w:val="left" w:pos="466" w:leader="none"/>
          <w:tab w:val="left" w:pos="993" w:leader="none"/>
          <w:tab w:val="left" w:pos="1134" w:leader="none"/>
          <w:tab w:val="left" w:pos="1276" w:leader="none"/>
        </w:tabs>
        <w:spacing w:lineRule="auto" w:line="240" w:before="0" w:after="0"/>
        <w:ind w:firstLine="567" w:end="0"/>
        <w:jc w:val="both"/>
        <w:rPr>
          <w:rFonts w:ascii="Times New Roman" w:hAnsi="Times New Roman" w:cs="Times New Roman"/>
        </w:rPr>
      </w:pPr>
      <w:r>
        <w:rPr>
          <w:rFonts w:cs="Times New Roman" w:ascii="Times New Roman" w:hAnsi="Times New Roman"/>
        </w:rPr>
      </w:r>
    </w:p>
    <w:p>
      <w:pPr>
        <w:pStyle w:val="Style26"/>
        <w:numPr>
          <w:ilvl w:val="0"/>
          <w:numId w:val="4"/>
        </w:numPr>
        <w:tabs>
          <w:tab w:val="clear" w:pos="708"/>
          <w:tab w:val="left" w:pos="0" w:leader="none"/>
          <w:tab w:val="left" w:pos="1276" w:leader="none"/>
        </w:tabs>
        <w:spacing w:lineRule="auto" w:line="240" w:before="0" w:after="0"/>
        <w:ind w:firstLine="567" w:start="0" w:end="0"/>
        <w:contextualSpacing/>
        <w:jc w:val="both"/>
        <w:rPr>
          <w:rFonts w:ascii="Times New Roman" w:hAnsi="Times New Roman" w:eastAsia="MS Mincho;ＭＳ 明朝" w:cs="Times New Roman"/>
          <w:color w:val="1D1B11"/>
          <w:lang w:eastAsia="ru-RU"/>
        </w:rPr>
      </w:pPr>
      <w:r>
        <w:rPr>
          <w:rFonts w:cs="Times New Roman" w:ascii="Times New Roman" w:hAnsi="Times New Roman"/>
          <w:b/>
          <w:sz w:val="22"/>
          <w:szCs w:val="22"/>
        </w:rPr>
        <w:t>Общие требования по объему гарантий качества, требования по сроку оказанных услуг</w:t>
      </w:r>
      <w:r>
        <w:rPr>
          <w:rFonts w:cs="Times New Roman" w:ascii="Times New Roman" w:hAnsi="Times New Roman"/>
          <w:b/>
          <w:bCs/>
          <w:sz w:val="22"/>
          <w:szCs w:val="22"/>
        </w:rPr>
        <w:t xml:space="preserve">: </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Ежегодный профилактический медицинский осмотр проводится на основании поименных списков, разработанных на основании штатного расписания сотрудников, подлежащих медицинскому осмотру.</w:t>
      </w:r>
    </w:p>
    <w:p>
      <w:pPr>
        <w:pStyle w:val="Normal"/>
        <w:spacing w:lineRule="auto" w:line="240" w:before="0" w:after="0"/>
        <w:ind w:firstLine="540"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Исполнитель обязан иметь в наличии необходимое медицинское оборудование, профессионально-компетентные трудовые ресурсы при проведении профилактических медицинских осмотров, а также виды и количество осмотров врачей-специалистов, лабораторных и функциональных исследований (согласно виду работ, осуществляемому в организации) согласно Приказу №302н МЗиСР РФ.</w:t>
      </w:r>
    </w:p>
    <w:p>
      <w:pPr>
        <w:pStyle w:val="Normal"/>
        <w:tabs>
          <w:tab w:val="clear" w:pos="708"/>
          <w:tab w:val="left" w:pos="284" w:leader="none"/>
          <w:tab w:val="left" w:pos="1134" w:leader="none"/>
          <w:tab w:val="left" w:pos="1276" w:leader="none"/>
        </w:tabs>
        <w:spacing w:lineRule="auto" w:line="240" w:before="0" w:after="0"/>
        <w:ind w:firstLine="567" w:end="0"/>
        <w:contextualSpacing/>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Предоставляемая услуга должна соответствовать Техническому заданию по функциональным, техническим и качественным  показателям.</w:t>
      </w:r>
    </w:p>
    <w:p>
      <w:pPr>
        <w:pStyle w:val="Normal"/>
        <w:tabs>
          <w:tab w:val="clear" w:pos="708"/>
          <w:tab w:val="left" w:pos="0" w:leader="none"/>
          <w:tab w:val="left" w:pos="1134" w:leader="none"/>
          <w:tab w:val="left" w:pos="1276" w:leader="none"/>
        </w:tabs>
        <w:spacing w:lineRule="auto" w:line="240" w:before="0" w:after="0"/>
        <w:ind w:firstLine="567" w:end="0"/>
        <w:contextualSpacing/>
        <w:jc w:val="both"/>
        <w:rPr>
          <w:rFonts w:ascii="Times New Roman" w:hAnsi="Times New Roman" w:eastAsia="MS Mincho;ＭＳ 明朝" w:cs="Times New Roman"/>
          <w:bCs/>
          <w:color w:val="1D1B11"/>
          <w:lang w:eastAsia="ru-RU"/>
        </w:rPr>
      </w:pPr>
      <w:r>
        <w:rPr>
          <w:rFonts w:eastAsia="MS Mincho;ＭＳ 明朝" w:cs="Times New Roman" w:ascii="Times New Roman" w:hAnsi="Times New Roman"/>
          <w:bCs/>
          <w:color w:val="1D1B11"/>
          <w:lang w:eastAsia="ru-RU"/>
        </w:rPr>
      </w:r>
    </w:p>
    <w:p>
      <w:pPr>
        <w:pStyle w:val="Style26"/>
        <w:numPr>
          <w:ilvl w:val="0"/>
          <w:numId w:val="4"/>
        </w:numPr>
        <w:tabs>
          <w:tab w:val="clear" w:pos="708"/>
          <w:tab w:val="left" w:pos="0" w:leader="none"/>
        </w:tabs>
        <w:spacing w:lineRule="auto" w:line="240" w:before="0" w:after="0"/>
        <w:ind w:firstLine="567" w:start="0" w:end="0"/>
        <w:contextualSpacing/>
        <w:jc w:val="both"/>
        <w:rPr>
          <w:rFonts w:ascii="Times New Roman" w:hAnsi="Times New Roman" w:eastAsia="MS Mincho;ＭＳ 明朝" w:cs="Times New Roman"/>
          <w:color w:val="1D1B11"/>
          <w:lang w:eastAsia="ru-RU"/>
        </w:rPr>
      </w:pPr>
      <w:r>
        <w:rPr>
          <w:rFonts w:cs="Times New Roman" w:ascii="Times New Roman" w:hAnsi="Times New Roman"/>
          <w:b/>
          <w:bCs/>
          <w:sz w:val="22"/>
          <w:szCs w:val="22"/>
        </w:rPr>
        <w:t>Требования соответствия нормативным документам (лицензии, допуски, разрешения, согласования):</w:t>
      </w:r>
      <w:r>
        <w:rPr>
          <w:rFonts w:cs="Times New Roman" w:ascii="Times New Roman" w:hAnsi="Times New Roman"/>
          <w:sz w:val="22"/>
          <w:szCs w:val="22"/>
        </w:rPr>
        <w:t xml:space="preserve"> </w:t>
      </w:r>
    </w:p>
    <w:p>
      <w:pPr>
        <w:pStyle w:val="Normal"/>
        <w:tabs>
          <w:tab w:val="clear" w:pos="708"/>
          <w:tab w:val="left" w:pos="0" w:leader="none"/>
          <w:tab w:val="left" w:pos="1260" w:leader="none"/>
        </w:tabs>
        <w:spacing w:lineRule="auto" w:line="240" w:before="0" w:after="0"/>
        <w:ind w:firstLine="567" w:end="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Исполнитель должен иметь лицензию на право осуществления медицинской деятельности и по запросу Заказчика предоставить ее копию.</w:t>
      </w:r>
    </w:p>
    <w:p>
      <w:pPr>
        <w:pStyle w:val="Normal"/>
        <w:tabs>
          <w:tab w:val="clear" w:pos="708"/>
          <w:tab w:val="left" w:pos="0" w:leader="none"/>
          <w:tab w:val="left" w:pos="1134" w:leader="none"/>
          <w:tab w:val="left" w:pos="1276" w:leader="none"/>
        </w:tabs>
        <w:spacing w:lineRule="auto" w:line="240" w:before="0" w:after="0"/>
        <w:ind w:firstLine="567" w:end="0"/>
        <w:jc w:val="both"/>
        <w:rPr>
          <w:rFonts w:ascii="Times New Roman" w:hAnsi="Times New Roman" w:cs="Times New Roman"/>
          <w:lang w:eastAsia="ru-RU"/>
        </w:rPr>
      </w:pPr>
      <w:r>
        <w:rPr>
          <w:rFonts w:cs="Times New Roman" w:ascii="Times New Roman" w:hAnsi="Times New Roman"/>
          <w:lang w:eastAsia="ru-RU"/>
        </w:rPr>
        <w:t>Все применяемые при оказании Исполнителем услуги, материалы и оборудование, должны быть сертифицированы и разрешены к применению на территории Российской Федерации.</w:t>
      </w:r>
    </w:p>
    <w:p>
      <w:pPr>
        <w:pStyle w:val="Normal"/>
        <w:tabs>
          <w:tab w:val="clear" w:pos="708"/>
          <w:tab w:val="left" w:pos="0" w:leader="none"/>
          <w:tab w:val="left" w:pos="1134" w:leader="none"/>
          <w:tab w:val="left" w:pos="1276" w:leader="none"/>
        </w:tabs>
        <w:spacing w:lineRule="auto" w:line="240" w:before="0" w:after="0"/>
        <w:ind w:firstLine="567" w:end="0"/>
        <w:jc w:val="both"/>
        <w:rPr>
          <w:rFonts w:ascii="Times New Roman" w:hAnsi="Times New Roman" w:cs="Times New Roman"/>
          <w:lang w:eastAsia="ru-RU"/>
        </w:rPr>
      </w:pPr>
      <w:r>
        <w:rPr>
          <w:rFonts w:cs="Times New Roman" w:ascii="Times New Roman" w:hAnsi="Times New Roman"/>
          <w:lang w:eastAsia="ru-RU"/>
        </w:rPr>
      </w:r>
    </w:p>
    <w:p>
      <w:pPr>
        <w:pStyle w:val="Style26"/>
        <w:numPr>
          <w:ilvl w:val="0"/>
          <w:numId w:val="4"/>
        </w:numPr>
        <w:tabs>
          <w:tab w:val="clear" w:pos="708"/>
          <w:tab w:val="left" w:pos="0" w:leader="none"/>
          <w:tab w:val="left" w:pos="1276" w:leader="none"/>
        </w:tabs>
        <w:spacing w:lineRule="auto" w:line="240" w:before="0" w:after="0"/>
        <w:ind w:firstLine="567" w:start="0" w:end="0"/>
        <w:contextualSpacing/>
        <w:jc w:val="both"/>
        <w:rPr>
          <w:rFonts w:ascii="Times New Roman" w:hAnsi="Times New Roman" w:cs="Times New Roman"/>
          <w:b/>
          <w:lang w:eastAsia="ru-RU"/>
        </w:rPr>
      </w:pPr>
      <w:r>
        <w:rPr>
          <w:rFonts w:cs="Times New Roman" w:ascii="Times New Roman" w:hAnsi="Times New Roman"/>
          <w:b/>
          <w:color w:val="000000"/>
          <w:sz w:val="22"/>
          <w:szCs w:val="22"/>
        </w:rPr>
        <w:t xml:space="preserve">Требования к медицинскому учреждению: </w:t>
      </w:r>
    </w:p>
    <w:p>
      <w:pPr>
        <w:pStyle w:val="Normal"/>
        <w:tabs>
          <w:tab w:val="clear" w:pos="708"/>
          <w:tab w:val="left" w:pos="567" w:leader="none"/>
        </w:tabs>
        <w:spacing w:lineRule="auto" w:line="240" w:before="0" w:after="0"/>
        <w:ind w:firstLine="567" w:end="0"/>
        <w:jc w:val="both"/>
        <w:rPr/>
      </w:pPr>
      <w:r>
        <w:rPr>
          <w:rFonts w:cs="Times New Roman" w:ascii="Times New Roman" w:hAnsi="Times New Roman"/>
          <w:b/>
          <w:lang w:eastAsia="ru-RU"/>
        </w:rPr>
        <w:t>7.1.</w:t>
      </w:r>
      <w:r>
        <w:rPr>
          <w:rFonts w:cs="Times New Roman" w:ascii="Times New Roman" w:hAnsi="Times New Roman"/>
          <w:lang w:eastAsia="ru-RU"/>
        </w:rPr>
        <w:t xml:space="preserve"> Провести медицинский осмотр на качественно высоком уровне в соответствии с существующими технологиями и медицинскими стандартами.</w:t>
      </w:r>
    </w:p>
    <w:p>
      <w:pPr>
        <w:pStyle w:val="Normal"/>
        <w:tabs>
          <w:tab w:val="clear" w:pos="708"/>
          <w:tab w:val="left" w:pos="567" w:leader="none"/>
        </w:tabs>
        <w:spacing w:lineRule="auto" w:line="240" w:before="0" w:after="0"/>
        <w:ind w:firstLine="567" w:end="0"/>
        <w:jc w:val="both"/>
        <w:rPr/>
      </w:pPr>
      <w:r>
        <w:rPr>
          <w:rFonts w:cs="Times New Roman" w:ascii="Times New Roman" w:hAnsi="Times New Roman"/>
          <w:b/>
          <w:lang w:eastAsia="ru-RU"/>
        </w:rPr>
        <w:t>7.2</w:t>
      </w:r>
      <w:r>
        <w:rPr>
          <w:rFonts w:cs="Times New Roman" w:ascii="Times New Roman" w:hAnsi="Times New Roman"/>
          <w:lang w:eastAsia="ru-RU"/>
        </w:rPr>
        <w:t>.  Обеспечить своевременность  и полноту  проведения медицинского осмотра. Обеспечить подачу еженедельных сведений о проведенных профилактических медицинских осмотрах по установленной форме.</w:t>
      </w:r>
    </w:p>
    <w:p>
      <w:pPr>
        <w:pStyle w:val="Normal"/>
        <w:tabs>
          <w:tab w:val="clear" w:pos="708"/>
          <w:tab w:val="left" w:pos="567" w:leader="none"/>
        </w:tabs>
        <w:spacing w:lineRule="auto" w:line="240" w:before="0" w:after="0"/>
        <w:ind w:firstLine="567" w:end="0"/>
        <w:jc w:val="both"/>
        <w:rPr/>
      </w:pPr>
      <w:r>
        <w:rPr>
          <w:rFonts w:cs="Times New Roman" w:ascii="Times New Roman" w:hAnsi="Times New Roman"/>
          <w:b/>
          <w:lang w:eastAsia="ru-RU"/>
        </w:rPr>
        <w:t>7.3.</w:t>
      </w:r>
      <w:r>
        <w:rPr>
          <w:rFonts w:cs="Times New Roman" w:ascii="Times New Roman" w:hAnsi="Times New Roman"/>
          <w:lang w:eastAsia="ru-RU"/>
        </w:rPr>
        <w:t xml:space="preserve"> Обеспечить проведение медицинского осмотра, лабораторных исследований и функциональных исследований включая маммографические и рентгенографические исследования.</w:t>
      </w:r>
    </w:p>
    <w:p>
      <w:pPr>
        <w:pStyle w:val="Normal"/>
        <w:tabs>
          <w:tab w:val="clear" w:pos="708"/>
          <w:tab w:val="left" w:pos="567" w:leader="none"/>
        </w:tabs>
        <w:spacing w:lineRule="auto" w:line="240" w:before="0" w:after="0"/>
        <w:ind w:firstLine="567" w:end="0"/>
        <w:jc w:val="both"/>
        <w:rPr/>
      </w:pPr>
      <w:r>
        <w:rPr>
          <w:rFonts w:cs="Times New Roman" w:ascii="Times New Roman" w:hAnsi="Times New Roman"/>
          <w:b/>
          <w:lang w:eastAsia="ru-RU"/>
        </w:rPr>
        <w:t>7.4.</w:t>
      </w:r>
      <w:r>
        <w:rPr>
          <w:rFonts w:cs="Times New Roman" w:ascii="Times New Roman" w:hAnsi="Times New Roman"/>
          <w:lang w:eastAsia="ru-RU"/>
        </w:rPr>
        <w:t xml:space="preserve"> В течение 3 дней информировать Заказчика в письменном виде  о следующих событиях:</w:t>
      </w:r>
    </w:p>
    <w:p>
      <w:pPr>
        <w:pStyle w:val="Normal"/>
        <w:tabs>
          <w:tab w:val="clear" w:pos="708"/>
          <w:tab w:val="left" w:pos="567" w:leader="none"/>
        </w:tabs>
        <w:spacing w:lineRule="auto" w:line="240" w:before="0" w:after="0"/>
        <w:ind w:firstLine="567" w:end="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 xml:space="preserve">- о профессиональной пригодности работника; </w:t>
      </w:r>
    </w:p>
    <w:p>
      <w:pPr>
        <w:pStyle w:val="Normal"/>
        <w:tabs>
          <w:tab w:val="clear" w:pos="708"/>
          <w:tab w:val="left" w:pos="567" w:leader="none"/>
        </w:tabs>
        <w:spacing w:lineRule="auto" w:line="240" w:before="0" w:after="0"/>
        <w:ind w:firstLine="567" w:end="0"/>
        <w:jc w:val="both"/>
        <w:rPr>
          <w:rFonts w:ascii="Times New Roman" w:hAnsi="Times New Roman" w:cs="Times New Roman"/>
          <w:lang w:eastAsia="ru-RU"/>
        </w:rPr>
      </w:pPr>
      <w:r>
        <w:rPr>
          <w:rFonts w:cs="Times New Roman" w:ascii="Times New Roman" w:hAnsi="Times New Roman"/>
          <w:lang w:eastAsia="ru-RU"/>
        </w:rPr>
        <w:t>- о выявлении у работника заболевания (состояния), являющегося противопоказанием для продолжения его трудовой деятельности;</w:t>
      </w:r>
    </w:p>
    <w:p>
      <w:pPr>
        <w:pStyle w:val="Normal"/>
        <w:tabs>
          <w:tab w:val="clear" w:pos="708"/>
          <w:tab w:val="left" w:pos="567" w:leader="none"/>
        </w:tabs>
        <w:spacing w:lineRule="auto" w:line="240" w:before="0" w:after="0"/>
        <w:ind w:firstLine="567" w:end="0"/>
        <w:jc w:val="both"/>
        <w:rPr>
          <w:rFonts w:ascii="Times New Roman" w:hAnsi="Times New Roman" w:cs="Times New Roman"/>
          <w:lang w:eastAsia="ru-RU"/>
        </w:rPr>
      </w:pPr>
      <w:r>
        <w:rPr>
          <w:rFonts w:cs="Times New Roman" w:ascii="Times New Roman" w:hAnsi="Times New Roman"/>
          <w:lang w:eastAsia="ru-RU"/>
        </w:rPr>
        <w:t>- о необходимости дополнительного обследования и лечения работника по результатам проведенного периодического медицинского осмотра.</w:t>
      </w:r>
    </w:p>
    <w:p>
      <w:pPr>
        <w:pStyle w:val="Normal"/>
        <w:tabs>
          <w:tab w:val="clear" w:pos="708"/>
          <w:tab w:val="left" w:pos="567" w:leader="none"/>
        </w:tabs>
        <w:spacing w:lineRule="auto" w:line="240" w:before="0" w:after="0"/>
        <w:ind w:firstLine="567" w:end="0"/>
        <w:jc w:val="both"/>
        <w:rPr/>
      </w:pPr>
      <w:r>
        <w:rPr>
          <w:rFonts w:cs="Times New Roman" w:ascii="Times New Roman" w:hAnsi="Times New Roman"/>
          <w:b/>
          <w:lang w:eastAsia="ru-RU"/>
        </w:rPr>
        <w:t>7.5</w:t>
      </w:r>
      <w:r>
        <w:rPr>
          <w:rFonts w:cs="Times New Roman" w:ascii="Times New Roman" w:hAnsi="Times New Roman"/>
          <w:lang w:eastAsia="ru-RU"/>
        </w:rPr>
        <w:t>. Поставить в известность Заказчика об истечении срока действия лицензии, на медицинскую деятельность по проведению профилактического медицинского осмотра за три месяца до окончания срока ее действия.</w:t>
      </w:r>
    </w:p>
    <w:p>
      <w:pPr>
        <w:pStyle w:val="Normal"/>
        <w:tabs>
          <w:tab w:val="clear" w:pos="708"/>
          <w:tab w:val="left" w:pos="567" w:leader="none"/>
        </w:tabs>
        <w:spacing w:lineRule="auto" w:line="240" w:before="0" w:after="0"/>
        <w:ind w:firstLine="567" w:end="0"/>
        <w:jc w:val="both"/>
        <w:rPr/>
      </w:pPr>
      <w:r>
        <w:rPr>
          <w:rFonts w:cs="Times New Roman" w:ascii="Times New Roman" w:hAnsi="Times New Roman"/>
          <w:b/>
          <w:lang w:eastAsia="ru-RU"/>
        </w:rPr>
        <w:t>7.6</w:t>
      </w:r>
      <w:r>
        <w:rPr>
          <w:rFonts w:cs="Times New Roman" w:ascii="Times New Roman" w:hAnsi="Times New Roman"/>
          <w:lang w:eastAsia="ru-RU"/>
        </w:rPr>
        <w:t>. Подтвердить наличие медицинского оборудования, необходимого для проведения профилактического медицинского осмотра.</w:t>
      </w:r>
    </w:p>
    <w:p>
      <w:pPr>
        <w:pStyle w:val="Normal"/>
        <w:tabs>
          <w:tab w:val="clear" w:pos="708"/>
          <w:tab w:val="left" w:pos="567" w:leader="none"/>
        </w:tabs>
        <w:spacing w:lineRule="auto" w:line="240" w:before="0" w:after="0"/>
        <w:ind w:firstLine="567" w:end="0"/>
        <w:jc w:val="both"/>
        <w:rPr/>
      </w:pPr>
      <w:r>
        <w:rPr>
          <w:rFonts w:cs="Times New Roman" w:ascii="Times New Roman" w:hAnsi="Times New Roman"/>
          <w:b/>
          <w:lang w:eastAsia="ru-RU"/>
        </w:rPr>
        <w:t>7.7</w:t>
      </w:r>
      <w:r>
        <w:rPr>
          <w:rFonts w:cs="Times New Roman" w:ascii="Times New Roman" w:hAnsi="Times New Roman"/>
          <w:lang w:eastAsia="ru-RU"/>
        </w:rPr>
        <w:t>. Обеспечить своевременность  и полноту  проведения профилактического медицинского осмотра постоянно действующей врачебной  комиссией врачами-специалистами, прошедшими в установленном порядке повышение квалификации и обязательные лабораторные и функциональные исследования</w:t>
      </w:r>
      <w:r>
        <w:rPr>
          <w:rFonts w:cs="Times New Roman" w:ascii="Times New Roman" w:hAnsi="Times New Roman"/>
          <w:b/>
          <w:i/>
          <w:lang w:eastAsia="ru-RU"/>
        </w:rPr>
        <w:t xml:space="preserve"> по первому этапу профилактического медицинского осмотра:</w:t>
      </w:r>
    </w:p>
    <w:tbl>
      <w:tblPr>
        <w:tblW w:w="10606" w:type="dxa"/>
        <w:jc w:val="start"/>
        <w:tblInd w:w="-75" w:type="dxa"/>
        <w:tblLayout w:type="fixed"/>
        <w:tblCellMar>
          <w:top w:w="0" w:type="dxa"/>
          <w:start w:w="108" w:type="dxa"/>
          <w:bottom w:w="0" w:type="dxa"/>
          <w:end w:w="108" w:type="dxa"/>
        </w:tblCellMar>
      </w:tblPr>
      <w:tblGrid>
        <w:gridCol w:w="534"/>
        <w:gridCol w:w="1559"/>
        <w:gridCol w:w="577"/>
        <w:gridCol w:w="7936"/>
      </w:tblGrid>
      <w:tr>
        <w:trPr/>
        <w:tc>
          <w:tcPr>
            <w:tcW w:w="2093" w:type="dxa"/>
            <w:gridSpan w:val="2"/>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center"/>
              <w:rPr>
                <w:rFonts w:ascii="Times New Roman" w:hAnsi="Times New Roman" w:cs="Times New Roman"/>
                <w:b/>
                <w:i/>
                <w:i/>
                <w:lang w:eastAsia="ru-RU"/>
              </w:rPr>
            </w:pPr>
            <w:r>
              <w:rPr>
                <w:rFonts w:cs="Times New Roman" w:ascii="Times New Roman" w:hAnsi="Times New Roman"/>
                <w:b/>
                <w:i/>
                <w:lang w:eastAsia="ru-RU"/>
              </w:rPr>
              <w:t>Обязательный перечень врачей-специалистов</w:t>
            </w:r>
          </w:p>
        </w:tc>
        <w:tc>
          <w:tcPr>
            <w:tcW w:w="8513" w:type="dxa"/>
            <w:gridSpan w:val="2"/>
            <w:tcBorders>
              <w:top w:val="single" w:sz="4" w:space="0" w:color="000000"/>
              <w:start w:val="single" w:sz="4" w:space="0" w:color="000000"/>
              <w:bottom w:val="single" w:sz="4" w:space="0" w:color="000000"/>
              <w:end w:val="single" w:sz="4" w:space="0" w:color="000000"/>
            </w:tcBorders>
          </w:tcPr>
          <w:p>
            <w:pPr>
              <w:pStyle w:val="Normal"/>
              <w:tabs>
                <w:tab w:val="clear" w:pos="708"/>
                <w:tab w:val="left" w:pos="993" w:leader="none"/>
                <w:tab w:val="left" w:pos="1134" w:leader="none"/>
                <w:tab w:val="left" w:pos="1276" w:leader="none"/>
              </w:tabs>
              <w:spacing w:lineRule="auto" w:line="240" w:before="0" w:after="0"/>
              <w:jc w:val="center"/>
              <w:rPr>
                <w:rFonts w:ascii="Times New Roman" w:hAnsi="Times New Roman" w:cs="Times New Roman"/>
                <w:b/>
                <w:i/>
                <w:i/>
                <w:lang w:eastAsia="ru-RU"/>
              </w:rPr>
            </w:pPr>
            <w:r>
              <w:rPr>
                <w:rFonts w:cs="Times New Roman" w:ascii="Times New Roman" w:hAnsi="Times New Roman"/>
                <w:b/>
                <w:i/>
                <w:lang w:eastAsia="ru-RU"/>
              </w:rPr>
              <w:t>Перечень обязательных лабораторных и функциональных исследований</w:t>
            </w:r>
          </w:p>
        </w:tc>
      </w:tr>
      <w:tr>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center"/>
              <w:rPr>
                <w:rFonts w:ascii="Times New Roman" w:hAnsi="Times New Roman" w:cs="Times New Roman"/>
                <w:b/>
                <w:i/>
                <w:i/>
                <w:lang w:eastAsia="ru-RU"/>
              </w:rPr>
            </w:pPr>
            <w:r>
              <w:rPr>
                <w:rFonts w:cs="Times New Roman" w:ascii="Times New Roman" w:hAnsi="Times New Roman"/>
                <w:b/>
                <w:i/>
                <w:lang w:eastAsia="ru-RU"/>
              </w:rPr>
              <w:t>№</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s>
              <w:spacing w:lineRule="auto" w:line="240" w:before="0" w:after="0"/>
              <w:jc w:val="center"/>
              <w:rPr>
                <w:rFonts w:ascii="Times New Roman" w:hAnsi="Times New Roman" w:cs="Times New Roman"/>
                <w:b/>
                <w:i/>
                <w:i/>
                <w:lang w:eastAsia="ru-RU"/>
              </w:rPr>
            </w:pPr>
            <w:r>
              <w:rPr>
                <w:rFonts w:cs="Times New Roman" w:ascii="Times New Roman" w:hAnsi="Times New Roman"/>
                <w:b/>
                <w:i/>
                <w:lang w:eastAsia="ru-RU"/>
              </w:rPr>
              <w:t>специальность</w:t>
            </w:r>
          </w:p>
        </w:tc>
        <w:tc>
          <w:tcPr>
            <w:tcW w:w="57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center"/>
              <w:rPr>
                <w:rFonts w:ascii="Times New Roman" w:hAnsi="Times New Roman" w:cs="Times New Roman"/>
                <w:b/>
                <w:i/>
                <w:i/>
                <w:lang w:eastAsia="ru-RU"/>
              </w:rPr>
            </w:pPr>
            <w:r>
              <w:rPr>
                <w:rFonts w:cs="Times New Roman" w:ascii="Times New Roman" w:hAnsi="Times New Roman"/>
                <w:b/>
                <w:i/>
                <w:lang w:eastAsia="ru-RU"/>
              </w:rPr>
              <w:t>№</w:t>
            </w:r>
          </w:p>
        </w:tc>
        <w:tc>
          <w:tcPr>
            <w:tcW w:w="793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93" w:leader="none"/>
                <w:tab w:val="left" w:pos="1134" w:leader="none"/>
                <w:tab w:val="left" w:pos="1276" w:leader="none"/>
              </w:tabs>
              <w:spacing w:lineRule="auto" w:line="240" w:before="0" w:after="0"/>
              <w:jc w:val="center"/>
              <w:rPr>
                <w:rFonts w:ascii="Times New Roman" w:hAnsi="Times New Roman" w:cs="Times New Roman"/>
                <w:b/>
                <w:i/>
                <w:i/>
                <w:lang w:eastAsia="ru-RU"/>
              </w:rPr>
            </w:pPr>
            <w:r>
              <w:rPr>
                <w:rFonts w:cs="Times New Roman" w:ascii="Times New Roman" w:hAnsi="Times New Roman"/>
                <w:b/>
                <w:i/>
                <w:lang w:eastAsia="ru-RU"/>
              </w:rPr>
              <w:t>описание</w:t>
            </w:r>
          </w:p>
        </w:tc>
      </w:tr>
      <w:tr>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1</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терапевт</w:t>
            </w:r>
          </w:p>
          <w:p>
            <w:pPr>
              <w:pStyle w:val="Normal"/>
              <w:tabs>
                <w:tab w:val="clear" w:pos="708"/>
                <w:tab w:val="left" w:pos="993" w:leader="none"/>
                <w:tab w:val="left" w:pos="1134"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7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1</w:t>
            </w:r>
          </w:p>
        </w:tc>
        <w:tc>
          <w:tcPr>
            <w:tcW w:w="793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опрос (анкетирование), направленный на выявление хронических неинфекционных заболеваний, факторов риска их развития, потребления наркотических средств и (или) психотропных веществ без назначения врача либо новых потенциально опасных психоактивных веществ</w:t>
            </w:r>
          </w:p>
        </w:tc>
      </w:tr>
      <w:tr>
        <w:trPr>
          <w:trHeight w:val="534" w:hRule="atLeas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2</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невролог</w:t>
              <w:tab/>
            </w:r>
          </w:p>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7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2</w:t>
            </w:r>
          </w:p>
        </w:tc>
        <w:tc>
          <w:tcPr>
            <w:tcW w:w="793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антропометрию (измерение массы тела, рост стоя, окружности грудной клетки и талии), измерение силы мышц кисти, расчет индекса массы тела (ежегодно)</w:t>
            </w:r>
          </w:p>
        </w:tc>
      </w:tr>
      <w:tr>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3</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отоларинголог</w:t>
            </w:r>
          </w:p>
        </w:tc>
        <w:tc>
          <w:tcPr>
            <w:tcW w:w="57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3</w:t>
            </w:r>
          </w:p>
        </w:tc>
        <w:tc>
          <w:tcPr>
            <w:tcW w:w="793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ind w:firstLine="33" w:end="0"/>
              <w:jc w:val="both"/>
              <w:rPr>
                <w:rFonts w:ascii="Times New Roman" w:hAnsi="Times New Roman" w:cs="Times New Roman"/>
              </w:rPr>
            </w:pPr>
            <w:r>
              <w:rPr>
                <w:rFonts w:cs="Times New Roman" w:ascii="Times New Roman" w:hAnsi="Times New Roman"/>
              </w:rPr>
              <w:t>исследование дыхательной функции (спирометрия и (или) спирография) (один раз в 2 года)</w:t>
            </w:r>
          </w:p>
        </w:tc>
      </w:tr>
      <w:tr>
        <w:trPr>
          <w:trHeight w:val="284" w:hRule="exac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4</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офтальмолог</w:t>
            </w:r>
          </w:p>
        </w:tc>
        <w:tc>
          <w:tcPr>
            <w:tcW w:w="57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4</w:t>
            </w:r>
          </w:p>
        </w:tc>
        <w:tc>
          <w:tcPr>
            <w:tcW w:w="793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измерение артериального давления (ежегодно)</w:t>
            </w:r>
          </w:p>
        </w:tc>
      </w:tr>
      <w:tr>
        <w:trPr>
          <w:trHeight w:val="343" w:hRule="exac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5</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хирург</w:t>
            </w:r>
          </w:p>
        </w:tc>
        <w:tc>
          <w:tcPr>
            <w:tcW w:w="57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5</w:t>
            </w:r>
          </w:p>
        </w:tc>
        <w:tc>
          <w:tcPr>
            <w:tcW w:w="793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измерение внутриглазного давления (ежегодно в возрасте 39 лет и старше)</w:t>
            </w:r>
          </w:p>
        </w:tc>
      </w:tr>
      <w:tr>
        <w:trPr>
          <w:trHeight w:val="284" w:hRule="exac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6</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стоматолог</w:t>
            </w:r>
          </w:p>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7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6</w:t>
            </w:r>
          </w:p>
        </w:tc>
        <w:tc>
          <w:tcPr>
            <w:tcW w:w="793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общий (клинический) анализ крови развернутый (ежегодно)</w:t>
            </w:r>
          </w:p>
        </w:tc>
      </w:tr>
      <w:tr>
        <w:trPr>
          <w:trHeight w:val="284" w:hRule="exac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7</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психиатр</w:t>
              <w:tab/>
            </w:r>
          </w:p>
        </w:tc>
        <w:tc>
          <w:tcPr>
            <w:tcW w:w="57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7</w:t>
            </w:r>
          </w:p>
        </w:tc>
        <w:tc>
          <w:tcPr>
            <w:tcW w:w="793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общий (клинический) анализ мочи (ежегодно)</w:t>
            </w:r>
          </w:p>
        </w:tc>
      </w:tr>
      <w:tr>
        <w:trPr>
          <w:trHeight w:val="284" w:hRule="exac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8</w:t>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p>
            <w:pPr>
              <w:pStyle w:val="Normal"/>
              <w:tabs>
                <w:tab w:val="clear" w:pos="708"/>
                <w:tab w:val="left" w:pos="993" w:leader="none"/>
                <w:tab w:val="left" w:pos="1134" w:leader="none"/>
                <w:tab w:val="left" w:pos="1276"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7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8</w:t>
            </w:r>
          </w:p>
        </w:tc>
        <w:tc>
          <w:tcPr>
            <w:tcW w:w="793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исследование уровня глюкозы в крови (ежегодно)</w:t>
            </w:r>
          </w:p>
        </w:tc>
      </w:tr>
      <w:tr>
        <w:trPr>
          <w:trHeight w:val="736" w:hRule="exac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7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9</w:t>
            </w:r>
          </w:p>
        </w:tc>
        <w:tc>
          <w:tcPr>
            <w:tcW w:w="793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исследование уровня холестерина в крови (ежегодно)</w:t>
            </w:r>
          </w:p>
        </w:tc>
      </w:tr>
      <w:tr>
        <w:trPr>
          <w:trHeight w:val="243" w:hRule="exact"/>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7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10</w:t>
            </w:r>
          </w:p>
        </w:tc>
        <w:tc>
          <w:tcPr>
            <w:tcW w:w="793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исследование кала на скрытую кровь (ежегодно в возрасте 45 лет и старше)</w:t>
            </w:r>
          </w:p>
        </w:tc>
      </w:tr>
      <w:tr>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7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11</w:t>
            </w:r>
          </w:p>
        </w:tc>
        <w:tc>
          <w:tcPr>
            <w:tcW w:w="793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исследование уровня простатспецифического антигена в крови (мужчинам в возрасте 39 лет и старше - ежегодно, а также по назначению врача-хирурга и (или) врача-уролога мужчинам с подозрением на онкологическое заболевание предстательной железы по результатам опроса, осмотра, пальцевого исследования или ультразвукового исследования (далее - УЗИ) предстательной железы)</w:t>
            </w:r>
          </w:p>
        </w:tc>
      </w:tr>
      <w:tr>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7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12</w:t>
            </w:r>
          </w:p>
        </w:tc>
        <w:tc>
          <w:tcPr>
            <w:tcW w:w="793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ind w:firstLine="33" w:end="0"/>
              <w:jc w:val="both"/>
              <w:rPr>
                <w:rFonts w:ascii="Times New Roman" w:hAnsi="Times New Roman" w:cs="Times New Roman"/>
              </w:rPr>
            </w:pPr>
            <w:r>
              <w:rPr>
                <w:rFonts w:cs="Times New Roman" w:ascii="Times New Roman" w:hAnsi="Times New Roman"/>
              </w:rPr>
              <w:t>флюорографию легких (ежегодно) (флюорография легких не проводится, если сотруднику в течение предшествующего календарного года либо года проведения медицинского осмотра проводилась флюорография, рентгенография (рентгеноскопия) или компьютерная томография органов грудной клетки)</w:t>
            </w:r>
          </w:p>
        </w:tc>
      </w:tr>
      <w:tr>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7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13</w:t>
            </w:r>
          </w:p>
        </w:tc>
        <w:tc>
          <w:tcPr>
            <w:tcW w:w="793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регистрацию электрокардиограммы (в возрасте до 35 лет - один раз в 2 года, в возрасте 35 лет и старше - ежегодно);</w:t>
            </w:r>
          </w:p>
        </w:tc>
      </w:tr>
      <w:tr>
        <w:trPr/>
        <w:tc>
          <w:tcPr>
            <w:tcW w:w="534"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1559"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r>
          </w:p>
        </w:tc>
        <w:tc>
          <w:tcPr>
            <w:tcW w:w="577" w:type="dxa"/>
            <w:tcBorders>
              <w:top w:val="single" w:sz="4" w:space="0" w:color="000000"/>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1</w:t>
            </w:r>
            <w:r>
              <w:rPr>
                <w:rFonts w:cs="Times New Roman" w:ascii="Times New Roman" w:hAnsi="Times New Roman"/>
                <w:lang w:eastAsia="ru-RU"/>
              </w:rPr>
              <w:t>4</w:t>
            </w:r>
          </w:p>
        </w:tc>
        <w:tc>
          <w:tcPr>
            <w:tcW w:w="793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jc w:val="both"/>
              <w:rPr>
                <w:rFonts w:ascii="Times New Roman" w:hAnsi="Times New Roman" w:cs="Times New Roman"/>
              </w:rPr>
            </w:pPr>
            <w:r>
              <w:rPr>
                <w:rFonts w:cs="Times New Roman" w:ascii="Times New Roman" w:hAnsi="Times New Roman"/>
              </w:rPr>
              <w:t>УЗИ органов брюшной полости и малого таза на предмет исключения новообразований для сотрудников в возрасте 39 лет и старше (УЗИ поджелудочной железы и почек - 1 раз в 3 года; для мужчин дополнительно ежегодно УЗИ предстательной железы; УЗИ органов брюшной полости не проводится, если сотруднику в год проведения медицинского осмотра проводилась магнитно-резонансная или компьютерная томография органов брюшной полости)</w:t>
            </w:r>
          </w:p>
        </w:tc>
      </w:tr>
      <w:tr>
        <w:trPr>
          <w:trHeight w:val="953" w:hRule="atLeast"/>
        </w:trPr>
        <w:tc>
          <w:tcPr>
            <w:tcW w:w="534" w:type="dxa"/>
            <w:tcBorders>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cs="Times New Roman"/>
                <w:lang w:eastAsia="ru-RU"/>
              </w:rPr>
            </w:pPr>
            <w:r>
              <w:rPr>
                <w:rFonts w:cs="Times New Roman" w:ascii="Times New Roman" w:hAnsi="Times New Roman"/>
                <w:lang w:eastAsia="ru-RU"/>
              </w:rPr>
              <w:t>9</w:t>
            </w:r>
          </w:p>
        </w:tc>
        <w:tc>
          <w:tcPr>
            <w:tcW w:w="1559" w:type="dxa"/>
            <w:tcBorders>
              <w:start w:val="single" w:sz="4" w:space="0" w:color="000000"/>
              <w:bottom w:val="single" w:sz="4" w:space="0" w:color="000000"/>
            </w:tcBorders>
          </w:tcPr>
          <w:p>
            <w:pPr>
              <w:pStyle w:val="Normal"/>
              <w:tabs>
                <w:tab w:val="clear" w:pos="708"/>
                <w:tab w:val="left" w:pos="993" w:leader="none"/>
                <w:tab w:val="left" w:pos="1134" w:leader="none"/>
                <w:tab w:val="left" w:pos="1276" w:leader="none"/>
              </w:tabs>
              <w:snapToGrid w:val="false"/>
              <w:spacing w:lineRule="auto" w:line="240" w:before="0" w:after="0"/>
              <w:jc w:val="both"/>
              <w:rPr>
                <w:rFonts w:ascii="Times New Roman" w:hAnsi="Times New Roman" w:eastAsia="MS Mincho;ＭＳ 明朝" w:cs="Times New Roman"/>
                <w:color w:val="1D1B11"/>
                <w:lang w:eastAsia="ru-RU"/>
              </w:rPr>
            </w:pPr>
            <w:r>
              <w:rPr>
                <w:rFonts w:eastAsia="MS Mincho;ＭＳ 明朝" w:cs="Times New Roman" w:ascii="Times New Roman" w:hAnsi="Times New Roman"/>
                <w:color w:val="1D1B11"/>
                <w:lang w:eastAsia="ru-RU"/>
              </w:rPr>
              <w:t>Врач психиатр-нарколог</w:t>
            </w:r>
          </w:p>
        </w:tc>
        <w:tc>
          <w:tcPr>
            <w:tcW w:w="577" w:type="dxa"/>
            <w:tcBorders>
              <w:start w:val="single" w:sz="4" w:space="0" w:color="000000"/>
              <w:bottom w:val="single" w:sz="4" w:space="0" w:color="000000"/>
            </w:tcBorders>
          </w:tcPr>
          <w:p>
            <w:pPr>
              <w:pStyle w:val="Normal"/>
              <w:tabs>
                <w:tab w:val="clear" w:pos="708"/>
                <w:tab w:val="left" w:pos="993" w:leader="none"/>
                <w:tab w:val="left" w:pos="1134" w:leader="none"/>
                <w:tab w:val="left" w:pos="1276" w:leader="none"/>
              </w:tabs>
              <w:spacing w:lineRule="auto" w:line="240" w:before="0" w:after="0"/>
              <w:jc w:val="both"/>
              <w:rPr/>
            </w:pPr>
            <w:r>
              <w:rPr>
                <w:rFonts w:eastAsia="Times New Roman" w:cs="Times New Roman" w:ascii="Times New Roman" w:hAnsi="Times New Roman"/>
                <w:lang w:eastAsia="ru-RU"/>
              </w:rPr>
              <w:t xml:space="preserve">  </w:t>
            </w:r>
            <w:r>
              <w:rPr>
                <w:rFonts w:cs="Times New Roman" w:ascii="Times New Roman" w:hAnsi="Times New Roman"/>
                <w:lang w:eastAsia="ru-RU"/>
              </w:rPr>
              <w:t>1</w:t>
            </w:r>
            <w:r>
              <w:rPr>
                <w:rFonts w:cs="Times New Roman" w:ascii="Times New Roman" w:hAnsi="Times New Roman"/>
                <w:lang w:eastAsia="ru-RU"/>
              </w:rPr>
              <w:t>5</w:t>
            </w:r>
          </w:p>
        </w:tc>
        <w:tc>
          <w:tcPr>
            <w:tcW w:w="7936" w:type="dxa"/>
            <w:tcBorders>
              <w:start w:val="single" w:sz="4" w:space="0" w:color="000000"/>
              <w:bottom w:val="single" w:sz="4" w:space="0" w:color="000000"/>
              <w:end w:val="single" w:sz="4" w:space="0" w:color="000000"/>
            </w:tcBorders>
          </w:tcPr>
          <w:p>
            <w:pPr>
              <w:pStyle w:val="Normal"/>
              <w:tabs>
                <w:tab w:val="clear" w:pos="708"/>
                <w:tab w:val="left" w:pos="0" w:leader="none"/>
              </w:tabs>
              <w:spacing w:lineRule="auto" w:line="240" w:before="0" w:after="0"/>
              <w:ind w:firstLine="540" w:end="0"/>
              <w:jc w:val="both"/>
              <w:rPr/>
            </w:pPr>
            <w:r>
              <w:rPr>
                <w:rFonts w:eastAsia="MS Mincho;ＭＳ 明朝" w:cs="Times New Roman" w:ascii="Times New Roman" w:hAnsi="Times New Roman"/>
                <w:color w:val="1D1B11"/>
                <w:lang w:eastAsia="ru-RU"/>
              </w:rPr>
              <w:t>ХТИ наличия в организме человека наркотических средств, психотропных веществ и их метаболитов (опиаты, каннабиноиды, амфетамины, кокаин, барбитураты, метадон, фенциклидин) - ежегодно в соответствии с приказом Минздравсоцразвития России от 27.01.2006 N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 (зарегистрирован Минюстом России 26.02.2006, регистрационный N 7544) (далее - приказ Минздравсоцразвития России N 40). Справка о результатах ХТИ</w:t>
            </w:r>
            <w:r>
              <w:rPr>
                <w:rStyle w:val="Style15"/>
                <w:rStyle w:val="FootnoteReference"/>
                <w:rFonts w:cs="Times New Roman" w:ascii="Times New Roman" w:hAnsi="Times New Roman"/>
              </w:rPr>
              <w:footnoteReference w:id="11"/>
            </w:r>
            <w:r>
              <w:rPr>
                <w:rFonts w:cs="Times New Roman" w:ascii="Times New Roman" w:hAnsi="Times New Roman"/>
              </w:rPr>
              <w:t xml:space="preserve"> </w:t>
            </w:r>
            <w:r>
              <w:rPr>
                <w:rFonts w:eastAsia="MS Mincho;ＭＳ 明朝" w:cs="Times New Roman" w:ascii="Times New Roman" w:hAnsi="Times New Roman"/>
                <w:color w:val="1D1B11"/>
                <w:lang w:eastAsia="ru-RU"/>
              </w:rPr>
              <w:t>подшивается в медицинскую карту пациента, получающего медицинскую помощь в амбулаторных условиях</w:t>
            </w:r>
            <w:r>
              <w:rPr>
                <w:rStyle w:val="12"/>
                <w:rStyle w:val="FootnoteReference"/>
                <w:rFonts w:eastAsia="MS Mincho;ＭＳ 明朝" w:cs="Times New Roman" w:ascii="Times New Roman" w:hAnsi="Times New Roman"/>
                <w:color w:val="1D1B11"/>
                <w:lang w:eastAsia="ru-RU"/>
              </w:rPr>
              <w:footnoteReference w:id="12"/>
            </w:r>
            <w:r>
              <w:rPr>
                <w:rFonts w:eastAsia="MS Mincho;ＭＳ 明朝" w:cs="Times New Roman" w:ascii="Times New Roman" w:hAnsi="Times New Roman"/>
                <w:color w:val="1D1B11"/>
                <w:lang w:eastAsia="ru-RU"/>
              </w:rPr>
              <w:t xml:space="preserve"> (далее - медицинская карта сотрудника);</w:t>
            </w:r>
          </w:p>
        </w:tc>
      </w:tr>
    </w:tbl>
    <w:p>
      <w:pPr>
        <w:pStyle w:val="Normal"/>
        <w:numPr>
          <w:ilvl w:val="0"/>
          <w:numId w:val="0"/>
        </w:numPr>
        <w:tabs>
          <w:tab w:val="clear" w:pos="708"/>
          <w:tab w:val="left" w:pos="0" w:leader="none"/>
          <w:tab w:val="left" w:pos="1276" w:leader="none"/>
        </w:tabs>
        <w:spacing w:lineRule="auto" w:line="240" w:before="0" w:after="0"/>
        <w:ind w:hanging="0" w:start="0" w:end="0"/>
        <w:jc w:val="both"/>
        <w:rPr>
          <w:rFonts w:ascii="Times New Roman" w:hAnsi="Times New Roman" w:cs="Times New Roman"/>
          <w:b/>
          <w:i/>
          <w:i/>
          <w:lang w:eastAsia="ru-RU"/>
        </w:rPr>
      </w:pPr>
      <w:r>
        <w:rPr>
          <w:rFonts w:cs="Times New Roman" w:ascii="Times New Roman" w:hAnsi="Times New Roman"/>
          <w:lang w:eastAsia="ru-RU"/>
        </w:rPr>
      </w:r>
    </w:p>
    <w:p>
      <w:pPr>
        <w:pStyle w:val="Style26"/>
        <w:numPr>
          <w:ilvl w:val="0"/>
          <w:numId w:val="0"/>
        </w:numPr>
        <w:tabs>
          <w:tab w:val="clear" w:pos="708"/>
          <w:tab w:val="left" w:pos="1276" w:leader="none"/>
        </w:tabs>
        <w:spacing w:lineRule="auto" w:line="240" w:before="0" w:after="0"/>
        <w:ind w:hanging="0" w:start="0" w:end="0"/>
        <w:contextualSpacing/>
        <w:jc w:val="both"/>
        <w:rPr>
          <w:rFonts w:ascii="Times New Roman" w:hAnsi="Times New Roman" w:eastAsia="Times New Roman" w:cs="Times New Roman"/>
          <w:b/>
          <w:lang w:eastAsia="ru-RU"/>
        </w:rPr>
      </w:pPr>
      <w:r>
        <w:rPr>
          <w:rFonts w:cs="Times New Roman" w:ascii="Times New Roman" w:hAnsi="Times New Roman"/>
          <w:b/>
          <w:sz w:val="22"/>
          <w:szCs w:val="22"/>
          <w:lang w:eastAsia="ru-RU"/>
        </w:rPr>
        <w:t xml:space="preserve">7. </w:t>
      </w:r>
      <w:r>
        <w:rPr>
          <w:rFonts w:cs="Times New Roman" w:ascii="Times New Roman" w:hAnsi="Times New Roman"/>
          <w:b/>
          <w:sz w:val="22"/>
          <w:szCs w:val="22"/>
          <w:lang w:eastAsia="ru-RU"/>
        </w:rPr>
        <w:t>Место оказания услуг:</w:t>
      </w:r>
      <w:r>
        <w:rPr>
          <w:rFonts w:cs="Times New Roman" w:ascii="Times New Roman" w:hAnsi="Times New Roman"/>
          <w:sz w:val="22"/>
          <w:szCs w:val="22"/>
          <w:lang w:eastAsia="ru-RU"/>
        </w:rPr>
        <w:t xml:space="preserve"> г. </w:t>
      </w:r>
      <w:r>
        <w:rPr>
          <w:rFonts w:cs="Times New Roman" w:ascii="Times New Roman" w:hAnsi="Times New Roman"/>
          <w:sz w:val="22"/>
          <w:szCs w:val="22"/>
          <w:lang w:val="ru-RU" w:eastAsia="ru-RU"/>
        </w:rPr>
        <w:t>Саранск</w:t>
      </w:r>
    </w:p>
    <w:p>
      <w:pPr>
        <w:pStyle w:val="Normal"/>
        <w:numPr>
          <w:ilvl w:val="0"/>
          <w:numId w:val="0"/>
        </w:numPr>
        <w:tabs>
          <w:tab w:val="clear" w:pos="708"/>
          <w:tab w:val="left" w:pos="993" w:leader="none"/>
          <w:tab w:val="left" w:pos="1276" w:leader="none"/>
        </w:tabs>
        <w:spacing w:lineRule="auto" w:line="240" w:before="0" w:after="0"/>
        <w:ind w:hanging="0" w:start="0" w:end="0"/>
        <w:jc w:val="both"/>
        <w:rPr>
          <w:rFonts w:ascii="Times New Roman" w:hAnsi="Times New Roman" w:cs="Times New Roman"/>
          <w:lang w:eastAsia="ru-RU"/>
        </w:rPr>
      </w:pPr>
      <w:r>
        <w:rPr>
          <w:rFonts w:eastAsia="Times New Roman" w:cs="Times New Roman" w:ascii="Times New Roman" w:hAnsi="Times New Roman"/>
          <w:b/>
          <w:lang w:eastAsia="ru-RU"/>
        </w:rPr>
        <w:t xml:space="preserve">8. </w:t>
      </w:r>
      <w:r>
        <w:rPr>
          <w:rFonts w:eastAsia="Times New Roman" w:cs="Times New Roman" w:ascii="Times New Roman" w:hAnsi="Times New Roman"/>
          <w:b/>
          <w:lang w:eastAsia="ru-RU"/>
        </w:rPr>
        <w:t xml:space="preserve"> </w:t>
      </w:r>
      <w:r>
        <w:rPr>
          <w:rFonts w:cs="Times New Roman" w:ascii="Times New Roman" w:hAnsi="Times New Roman"/>
          <w:b/>
          <w:lang w:eastAsia="ru-RU"/>
        </w:rPr>
        <w:t xml:space="preserve">Количественные характеристики объекта закупки: </w:t>
      </w:r>
    </w:p>
    <w:p>
      <w:pPr>
        <w:pStyle w:val="Normal"/>
        <w:tabs>
          <w:tab w:val="clear" w:pos="708"/>
          <w:tab w:val="left" w:pos="567" w:leader="none"/>
        </w:tabs>
        <w:spacing w:lineRule="auto" w:line="240" w:before="0" w:after="0"/>
        <w:ind w:firstLine="567" w:end="0"/>
        <w:jc w:val="both"/>
        <w:rPr>
          <w:rFonts w:ascii="Times New Roman" w:hAnsi="Times New Roman" w:cs="Times New Roman"/>
          <w:lang w:eastAsia="ru-RU"/>
        </w:rPr>
      </w:pPr>
      <w:r>
        <w:rPr>
          <w:rFonts w:cs="Times New Roman" w:ascii="Times New Roman" w:hAnsi="Times New Roman"/>
          <w:lang w:eastAsia="ru-RU"/>
        </w:rPr>
        <w:t xml:space="preserve">Количество услуг проводимых в ходе профилактического медицинского медосмотра сотрудников невозможно определить. Количество сотрудников планируемых к прохождению медосмотра– </w:t>
      </w:r>
      <w:r>
        <w:rPr>
          <w:rFonts w:cs="Times New Roman" w:ascii="Times New Roman" w:hAnsi="Times New Roman"/>
          <w:lang w:eastAsia="ru-RU"/>
        </w:rPr>
        <w:t>20</w:t>
      </w:r>
      <w:r>
        <w:rPr>
          <w:rFonts w:cs="Times New Roman" w:ascii="Times New Roman" w:hAnsi="Times New Roman"/>
          <w:lang w:eastAsia="ru-RU"/>
        </w:rPr>
        <w:t xml:space="preserve"> человек.</w:t>
      </w:r>
    </w:p>
    <w:p>
      <w:pPr>
        <w:pStyle w:val="Normal"/>
        <w:tabs>
          <w:tab w:val="clear" w:pos="708"/>
          <w:tab w:val="left" w:pos="567" w:leader="none"/>
        </w:tabs>
        <w:spacing w:lineRule="auto" w:line="240" w:before="0" w:after="0"/>
        <w:ind w:firstLine="567" w:end="0"/>
        <w:jc w:val="both"/>
        <w:rPr>
          <w:rFonts w:ascii="Times New Roman" w:hAnsi="Times New Roman" w:cs="Times New Roman"/>
          <w:lang w:eastAsia="ru-RU"/>
        </w:rPr>
      </w:pPr>
      <w:r>
        <w:rPr>
          <w:rFonts w:cs="Times New Roman" w:ascii="Times New Roman" w:hAnsi="Times New Roman"/>
          <w:lang w:eastAsia="ru-RU"/>
        </w:rPr>
      </w:r>
      <w:bookmarkStart w:id="1" w:name="_Hlk196732520"/>
      <w:bookmarkStart w:id="2" w:name="_Hlk196732520"/>
      <w:bookmarkEnd w:id="2"/>
    </w:p>
    <w:p>
      <w:pPr>
        <w:pStyle w:val="Normal"/>
        <w:tabs>
          <w:tab w:val="clear" w:pos="708"/>
          <w:tab w:val="left" w:pos="567" w:leader="none"/>
        </w:tabs>
        <w:spacing w:lineRule="auto" w:line="240" w:before="0" w:after="0"/>
        <w:ind w:firstLine="567" w:end="0"/>
        <w:jc w:val="both"/>
        <w:rPr>
          <w:rFonts w:ascii="Times New Roman" w:hAnsi="Times New Roman" w:cs="Times New Roman"/>
          <w:lang w:eastAsia="ru-RU"/>
        </w:rPr>
      </w:pPr>
      <w:r>
        <w:rPr>
          <w:rFonts w:cs="Times New Roman" w:ascii="Times New Roman" w:hAnsi="Times New Roman"/>
          <w:lang w:eastAsia="ru-RU"/>
        </w:rPr>
      </w:r>
    </w:p>
    <w:tbl>
      <w:tblPr>
        <w:tblW w:w="5000" w:type="pct"/>
        <w:jc w:val="start"/>
        <w:tblInd w:w="0" w:type="dxa"/>
        <w:tblLayout w:type="fixed"/>
        <w:tblCellMar>
          <w:top w:w="0" w:type="dxa"/>
          <w:start w:w="108" w:type="dxa"/>
          <w:bottom w:w="0" w:type="dxa"/>
          <w:end w:w="108" w:type="dxa"/>
        </w:tblCellMar>
      </w:tblPr>
      <w:tblGrid>
        <w:gridCol w:w="5102"/>
        <w:gridCol w:w="5103"/>
      </w:tblGrid>
      <w:tr>
        <w:trPr>
          <w:cantSplit w:val="true"/>
        </w:trPr>
        <w:tc>
          <w:tcPr>
            <w:tcW w:w="5102" w:type="dxa"/>
            <w:tcBorders/>
          </w:tcPr>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ЗАКАЗЧИК:</w:t>
            </w:r>
          </w:p>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Управление Федеральной службы</w:t>
            </w:r>
          </w:p>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судебных приставов по Республике Мордовия</w:t>
            </w:r>
          </w:p>
        </w:tc>
        <w:tc>
          <w:tcPr>
            <w:tcW w:w="5103" w:type="dxa"/>
            <w:tcBorders/>
          </w:tcPr>
          <w:p>
            <w:pPr>
              <w:pStyle w:val="Normal"/>
              <w:spacing w:lineRule="auto" w:line="240" w:before="0" w:after="0"/>
              <w:jc w:val="center"/>
              <w:rPr>
                <w:b/>
                <w:sz w:val="22"/>
                <w:szCs w:val="22"/>
              </w:rPr>
            </w:pPr>
            <w:r>
              <w:rPr>
                <w:rFonts w:cs="Times New Roman" w:ascii="Times New Roman" w:hAnsi="Times New Roman"/>
                <w:b/>
                <w:color w:val="000000"/>
              </w:rPr>
              <w:t>ИСПОЛНИТЕЛЬ:</w:t>
            </w:r>
          </w:p>
          <w:p>
            <w:pPr>
              <w:pStyle w:val="Style29"/>
              <w:jc w:val="center"/>
              <w:rPr>
                <w:b/>
                <w:sz w:val="22"/>
                <w:szCs w:val="22"/>
              </w:rPr>
            </w:pPr>
            <w:r>
              <w:rPr>
                <w:b/>
                <w:sz w:val="22"/>
                <w:szCs w:val="22"/>
              </w:rPr>
            </w:r>
          </w:p>
        </w:tc>
      </w:tr>
      <w:tr>
        <w:trPr>
          <w:cantSplit w:val="true"/>
        </w:trPr>
        <w:tc>
          <w:tcPr>
            <w:tcW w:w="5102" w:type="dxa"/>
            <w:tcBorders/>
          </w:tcPr>
          <w:p>
            <w:pPr>
              <w:pStyle w:val="Normal"/>
              <w:spacing w:lineRule="auto" w:line="240" w:before="0" w:after="0"/>
              <w:jc w:val="both"/>
              <w:rPr>
                <w:rFonts w:ascii="Times New Roman" w:hAnsi="Times New Roman" w:cs="Times New Roman"/>
                <w:color w:val="000000"/>
              </w:rPr>
            </w:pPr>
            <w:r>
              <w:rPr>
                <w:rFonts w:eastAsia="Times New Roman" w:cs="Times New Roman" w:ascii="Times New Roman" w:hAnsi="Times New Roman"/>
                <w:color w:val="000000"/>
              </w:rPr>
              <w:t xml:space="preserve"> </w:t>
            </w:r>
          </w:p>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jc w:val="both"/>
              <w:rPr>
                <w:color w:val="000000"/>
                <w:sz w:val="22"/>
                <w:szCs w:val="22"/>
                <w:lang w:val="ru-RU" w:eastAsia="ru-RU"/>
              </w:rPr>
            </w:pPr>
            <w:r>
              <w:rPr>
                <w:rFonts w:cs="Times New Roman" w:ascii="Times New Roman" w:hAnsi="Times New Roman"/>
                <w:color w:val="000000"/>
              </w:rPr>
              <w:t>«___»___________________ 20    г.</w:t>
            </w:r>
          </w:p>
          <w:p>
            <w:pPr>
              <w:pStyle w:val="BodyText"/>
              <w:spacing w:before="0" w:after="0"/>
              <w:rPr>
                <w:color w:val="000000"/>
                <w:sz w:val="22"/>
                <w:szCs w:val="22"/>
                <w:lang w:val="ru-RU" w:eastAsia="ru-RU"/>
              </w:rPr>
            </w:pPr>
            <w:r>
              <w:rPr>
                <w:color w:val="000000"/>
                <w:sz w:val="22"/>
                <w:szCs w:val="22"/>
                <w:lang w:val="ru-RU" w:eastAsia="ru-RU"/>
              </w:rPr>
              <w:t>М.П.</w:t>
            </w:r>
          </w:p>
        </w:tc>
        <w:tc>
          <w:tcPr>
            <w:tcW w:w="5103" w:type="dxa"/>
            <w:tcBorders/>
          </w:tcPr>
          <w:p>
            <w:pPr>
              <w:pStyle w:val="Style29"/>
              <w:snapToGrid w:val="false"/>
              <w:rPr/>
            </w:pPr>
            <w:r>
              <w:rPr/>
            </w:r>
          </w:p>
          <w:p>
            <w:pPr>
              <w:pStyle w:val="BodyText"/>
              <w:spacing w:before="0" w:after="0"/>
              <w:rPr>
                <w:color w:val="000000"/>
                <w:sz w:val="22"/>
                <w:szCs w:val="22"/>
                <w:lang w:val="ru-RU" w:eastAsia="ru-RU"/>
              </w:rPr>
            </w:pPr>
            <w:r>
              <w:rPr>
                <w:color w:val="000000"/>
                <w:sz w:val="22"/>
                <w:szCs w:val="22"/>
                <w:lang w:val="ru-RU" w:eastAsia="ru-RU"/>
              </w:rPr>
              <w:t>М.П.</w:t>
            </w:r>
          </w:p>
        </w:tc>
      </w:tr>
    </w:tbl>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r>
    </w:p>
    <w:p>
      <w:pPr>
        <w:pStyle w:val="Normal"/>
        <w:widowControl w:val="false"/>
        <w:tabs>
          <w:tab w:val="clear" w:pos="708"/>
          <w:tab w:val="left" w:pos="709" w:leader="none"/>
        </w:tabs>
        <w:spacing w:lineRule="auto" w:line="240" w:before="0" w:after="0"/>
        <w:ind w:firstLine="709" w:end="0"/>
        <w:jc w:val="both"/>
        <w:rPr>
          <w:rFonts w:ascii="Times New Roman" w:hAnsi="Times New Roman" w:cs="Times New Roman"/>
          <w:color w:val="000000"/>
        </w:rPr>
      </w:pPr>
      <w:r>
        <w:rPr>
          <w:rFonts w:cs="Times New Roman" w:ascii="Times New Roman" w:hAnsi="Times New Roman"/>
          <w:color w:val="000000"/>
        </w:rPr>
      </w:r>
      <w:r>
        <w:br w:type="page"/>
      </w:r>
    </w:p>
    <w:p>
      <w:pPr>
        <w:pStyle w:val="Normal"/>
        <w:spacing w:lineRule="auto" w:line="240" w:before="0" w:after="0"/>
        <w:jc w:val="end"/>
        <w:rPr>
          <w:rFonts w:ascii="Times New Roman" w:hAnsi="Times New Roman" w:cs="Times New Roman"/>
        </w:rPr>
      </w:pPr>
      <w:r>
        <w:rPr>
          <w:rFonts w:cs="Times New Roman" w:ascii="Times New Roman" w:hAnsi="Times New Roman"/>
        </w:rPr>
        <w:t>Приложение № 2</w:t>
      </w:r>
    </w:p>
    <w:p>
      <w:pPr>
        <w:pStyle w:val="Normal"/>
        <w:tabs>
          <w:tab w:val="clear" w:pos="708"/>
          <w:tab w:val="left" w:pos="5955" w:leader="none"/>
        </w:tabs>
        <w:spacing w:lineRule="auto" w:line="240" w:before="0" w:after="0"/>
        <w:jc w:val="end"/>
        <w:rPr>
          <w:rFonts w:ascii="Times New Roman" w:hAnsi="Times New Roman" w:eastAsia="Times New Roman" w:cs="Times New Roman"/>
        </w:rPr>
      </w:pPr>
      <w:r>
        <w:rPr>
          <w:rFonts w:cs="Times New Roman" w:ascii="Times New Roman" w:hAnsi="Times New Roman"/>
        </w:rPr>
        <w:t>к государственному контракту</w:t>
      </w:r>
    </w:p>
    <w:p>
      <w:pPr>
        <w:pStyle w:val="Normal"/>
        <w:tabs>
          <w:tab w:val="clear" w:pos="708"/>
          <w:tab w:val="left" w:pos="5955" w:leader="none"/>
        </w:tabs>
        <w:spacing w:lineRule="auto" w:line="240" w:before="0" w:after="0"/>
        <w:jc w:val="center"/>
        <w:rPr/>
      </w:pPr>
      <w:r>
        <w:rPr>
          <w:rFonts w:eastAsia="Times New Roman" w:cs="Times New Roman" w:ascii="Times New Roman" w:hAnsi="Times New Roman"/>
        </w:rPr>
        <w:t xml:space="preserve">                                                                                                                      </w:t>
      </w:r>
      <w:r>
        <w:rPr>
          <w:rFonts w:cs="Times New Roman" w:ascii="Times New Roman" w:hAnsi="Times New Roman"/>
        </w:rPr>
        <w:t xml:space="preserve">от «____» _______20___ г. № </w:t>
      </w:r>
      <w:r>
        <w:rPr>
          <w:rFonts w:eastAsia="Times New Roman" w:cs="Times New Roman" w:ascii="Times New Roman" w:hAnsi="Times New Roman"/>
        </w:rPr>
        <w:t>ПМ2</w:t>
      </w:r>
      <w:r>
        <w:rPr>
          <w:rFonts w:eastAsia="Times New Roman" w:cs="Times New Roman" w:ascii="Times New Roman" w:hAnsi="Times New Roman"/>
        </w:rPr>
        <w:t>6-2</w:t>
      </w:r>
    </w:p>
    <w:p>
      <w:pPr>
        <w:pStyle w:val="Normal"/>
        <w:spacing w:lineRule="auto" w:line="240" w:before="0" w:after="0"/>
        <w:jc w:val="center"/>
        <w:rPr>
          <w:rFonts w:ascii="Times New Roman" w:hAnsi="Times New Roman" w:cs="Times New Roman"/>
          <w:b/>
        </w:rPr>
      </w:pPr>
      <w:r>
        <w:rPr>
          <w:rFonts w:cs="Times New Roman" w:ascii="Times New Roman" w:hAnsi="Times New Roman"/>
          <w:b/>
        </w:rPr>
      </w:r>
    </w:p>
    <w:p>
      <w:pPr>
        <w:pStyle w:val="Normal"/>
        <w:spacing w:lineRule="auto" w:line="240" w:before="0" w:after="0"/>
        <w:jc w:val="center"/>
        <w:rPr>
          <w:rFonts w:ascii="Times New Roman" w:hAnsi="Times New Roman" w:cs="Times New Roman"/>
          <w:b/>
        </w:rPr>
      </w:pPr>
      <w:r>
        <w:rPr>
          <w:rFonts w:cs="Times New Roman" w:ascii="Times New Roman" w:hAnsi="Times New Roman"/>
          <w:i/>
        </w:rPr>
      </w:r>
    </w:p>
    <w:tbl>
      <w:tblPr>
        <w:tblW w:w="10580" w:type="dxa"/>
        <w:jc w:val="start"/>
        <w:tblInd w:w="-75" w:type="dxa"/>
        <w:tblLayout w:type="fixed"/>
        <w:tblCellMar>
          <w:top w:w="0" w:type="dxa"/>
          <w:start w:w="108" w:type="dxa"/>
          <w:bottom w:w="0" w:type="dxa"/>
          <w:end w:w="108" w:type="dxa"/>
        </w:tblCellMar>
      </w:tblPr>
      <w:tblGrid>
        <w:gridCol w:w="430"/>
        <w:gridCol w:w="4492"/>
        <w:gridCol w:w="1664"/>
        <w:gridCol w:w="1663"/>
        <w:gridCol w:w="2331"/>
      </w:tblGrid>
      <w:tr>
        <w:trPr/>
        <w:tc>
          <w:tcPr>
            <w:tcW w:w="430" w:type="dxa"/>
            <w:tcBorders>
              <w:top w:val="single" w:sz="4" w:space="0" w:color="000000"/>
              <w:start w:val="single" w:sz="4" w:space="0" w:color="000000"/>
              <w:bottom w:val="single" w:sz="4" w:space="0" w:color="000000"/>
            </w:tcBorders>
          </w:tcPr>
          <w:p>
            <w:pPr>
              <w:pStyle w:val="Normal"/>
              <w:tabs>
                <w:tab w:val="clear" w:pos="708"/>
                <w:tab w:val="left" w:pos="567" w:leader="none"/>
              </w:tabs>
              <w:spacing w:lineRule="auto" w:line="240" w:before="0" w:after="0"/>
              <w:jc w:val="both"/>
              <w:rPr/>
            </w:pPr>
            <w:r>
              <w:rPr>
                <w:rFonts w:cs="Times New Roman" w:ascii="Times New Roman" w:hAnsi="Times New Roman"/>
                <w:lang w:eastAsia="ru-RU"/>
              </w:rPr>
              <w:t>№</w:t>
            </w:r>
            <w:r>
              <w:rPr>
                <w:rFonts w:eastAsia="Times New Roman" w:cs="Times New Roman" w:ascii="Times New Roman" w:hAnsi="Times New Roman"/>
                <w:lang w:eastAsia="ru-RU"/>
              </w:rPr>
              <w:t xml:space="preserve"> </w:t>
            </w:r>
            <w:r>
              <w:rPr>
                <w:rFonts w:cs="Times New Roman" w:ascii="Times New Roman" w:hAnsi="Times New Roman"/>
                <w:lang w:eastAsia="ru-RU"/>
              </w:rPr>
              <w:t>п/п</w:t>
            </w:r>
          </w:p>
        </w:tc>
        <w:tc>
          <w:tcPr>
            <w:tcW w:w="4492" w:type="dxa"/>
            <w:tcBorders>
              <w:top w:val="single" w:sz="4" w:space="0" w:color="000000"/>
              <w:start w:val="single" w:sz="4" w:space="0" w:color="000000"/>
              <w:bottom w:val="single" w:sz="4" w:space="0" w:color="000000"/>
            </w:tcBorders>
          </w:tcPr>
          <w:p>
            <w:pPr>
              <w:pStyle w:val="Normal"/>
              <w:tabs>
                <w:tab w:val="clear" w:pos="708"/>
                <w:tab w:val="left" w:pos="567"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Наименование услуги</w:t>
            </w:r>
          </w:p>
        </w:tc>
        <w:tc>
          <w:tcPr>
            <w:tcW w:w="1664" w:type="dxa"/>
            <w:tcBorders>
              <w:top w:val="single" w:sz="4" w:space="0" w:color="000000"/>
              <w:start w:val="single" w:sz="4" w:space="0" w:color="000000"/>
              <w:bottom w:val="single" w:sz="4" w:space="0" w:color="000000"/>
            </w:tcBorders>
          </w:tcPr>
          <w:p>
            <w:pPr>
              <w:pStyle w:val="Normal"/>
              <w:tabs>
                <w:tab w:val="clear" w:pos="708"/>
                <w:tab w:val="left" w:pos="567"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 xml:space="preserve">Ед. изм. </w:t>
            </w:r>
          </w:p>
        </w:tc>
        <w:tc>
          <w:tcPr>
            <w:tcW w:w="1663" w:type="dxa"/>
            <w:tcBorders>
              <w:top w:val="single" w:sz="4" w:space="0" w:color="000000"/>
              <w:start w:val="single" w:sz="4" w:space="0" w:color="000000"/>
              <w:bottom w:val="single" w:sz="4" w:space="0" w:color="000000"/>
            </w:tcBorders>
          </w:tcPr>
          <w:p>
            <w:pPr>
              <w:pStyle w:val="Normal"/>
              <w:tabs>
                <w:tab w:val="clear" w:pos="708"/>
                <w:tab w:val="left" w:pos="567"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Кол-во</w:t>
            </w:r>
          </w:p>
        </w:tc>
        <w:tc>
          <w:tcPr>
            <w:tcW w:w="2331"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567"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Стоимость 1 осмотра, руб.</w:t>
            </w:r>
          </w:p>
        </w:tc>
      </w:tr>
      <w:tr>
        <w:trPr/>
        <w:tc>
          <w:tcPr>
            <w:tcW w:w="430" w:type="dxa"/>
            <w:tcBorders>
              <w:start w:val="single" w:sz="4" w:space="0" w:color="000000"/>
              <w:bottom w:val="single" w:sz="4" w:space="0" w:color="000000"/>
            </w:tcBorders>
          </w:tcPr>
          <w:p>
            <w:pPr>
              <w:pStyle w:val="Normal"/>
              <w:tabs>
                <w:tab w:val="clear" w:pos="708"/>
                <w:tab w:val="left" w:pos="567"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1</w:t>
            </w:r>
          </w:p>
        </w:tc>
        <w:tc>
          <w:tcPr>
            <w:tcW w:w="4492" w:type="dxa"/>
            <w:tcBorders>
              <w:start w:val="single" w:sz="4" w:space="0" w:color="000000"/>
              <w:bottom w:val="single" w:sz="4" w:space="0" w:color="000000"/>
            </w:tcBorders>
          </w:tcPr>
          <w:p>
            <w:pPr>
              <w:pStyle w:val="Normal"/>
              <w:tabs>
                <w:tab w:val="clear" w:pos="708"/>
                <w:tab w:val="left" w:pos="567" w:leader="none"/>
              </w:tabs>
              <w:spacing w:lineRule="auto" w:line="240" w:before="0" w:after="0"/>
              <w:jc w:val="both"/>
              <w:rPr>
                <w:rFonts w:ascii="Times New Roman" w:hAnsi="Times New Roman" w:cs="Times New Roman"/>
                <w:lang w:eastAsia="ru-RU"/>
              </w:rPr>
            </w:pPr>
            <w:r>
              <w:rPr>
                <w:rFonts w:cs="Times New Roman" w:ascii="Times New Roman" w:hAnsi="Times New Roman"/>
                <w:lang w:eastAsia="ru-RU"/>
              </w:rPr>
              <w:t>Проведение профилактического медицинского осмотра мужчин от 39 лет и до 45 лет (1 этап)</w:t>
            </w:r>
          </w:p>
        </w:tc>
        <w:tc>
          <w:tcPr>
            <w:tcW w:w="1664" w:type="dxa"/>
            <w:tcBorders>
              <w:start w:val="single" w:sz="4" w:space="0" w:color="000000"/>
              <w:bottom w:val="single" w:sz="4" w:space="0" w:color="000000"/>
            </w:tcBorders>
          </w:tcPr>
          <w:p>
            <w:pPr>
              <w:pStyle w:val="Normal"/>
              <w:tabs>
                <w:tab w:val="clear" w:pos="708"/>
                <w:tab w:val="left" w:pos="567" w:leader="none"/>
              </w:tabs>
              <w:spacing w:lineRule="auto" w:line="240" w:before="0" w:after="0"/>
              <w:jc w:val="center"/>
              <w:rPr>
                <w:rFonts w:ascii="Times New Roman" w:hAnsi="Times New Roman" w:cs="Times New Roman"/>
                <w:lang w:eastAsia="ru-RU"/>
              </w:rPr>
            </w:pPr>
            <w:r>
              <w:rPr>
                <w:rFonts w:cs="Times New Roman" w:ascii="Times New Roman" w:hAnsi="Times New Roman"/>
                <w:lang w:eastAsia="ru-RU"/>
              </w:rPr>
              <w:t>Чел.</w:t>
            </w:r>
          </w:p>
        </w:tc>
        <w:tc>
          <w:tcPr>
            <w:tcW w:w="1663" w:type="dxa"/>
            <w:tcBorders>
              <w:start w:val="single" w:sz="4" w:space="0" w:color="000000"/>
              <w:bottom w:val="single" w:sz="4" w:space="0" w:color="000000"/>
            </w:tcBorders>
          </w:tcPr>
          <w:p>
            <w:pPr>
              <w:pStyle w:val="Normal"/>
              <w:tabs>
                <w:tab w:val="clear" w:pos="708"/>
                <w:tab w:val="left" w:pos="567" w:leader="none"/>
              </w:tabs>
              <w:spacing w:lineRule="auto" w:line="240" w:before="0" w:after="0"/>
              <w:jc w:val="center"/>
              <w:rPr>
                <w:rFonts w:ascii="Times New Roman" w:hAnsi="Times New Roman" w:cs="Times New Roman"/>
                <w:lang w:eastAsia="ru-RU"/>
              </w:rPr>
            </w:pPr>
            <w:r>
              <w:rPr>
                <w:rFonts w:cs="Times New Roman" w:ascii="Times New Roman" w:hAnsi="Times New Roman"/>
                <w:lang w:eastAsia="ru-RU"/>
              </w:rPr>
              <w:t>20</w:t>
            </w:r>
          </w:p>
        </w:tc>
        <w:tc>
          <w:tcPr>
            <w:tcW w:w="2331" w:type="dxa"/>
            <w:tcBorders>
              <w:start w:val="single" w:sz="4" w:space="0" w:color="000000"/>
              <w:bottom w:val="single" w:sz="4" w:space="0" w:color="000000"/>
              <w:end w:val="single" w:sz="4" w:space="0" w:color="000000"/>
            </w:tcBorders>
          </w:tcPr>
          <w:p>
            <w:pPr>
              <w:pStyle w:val="Normal"/>
              <w:tabs>
                <w:tab w:val="clear" w:pos="708"/>
                <w:tab w:val="left" w:pos="567" w:leader="none"/>
              </w:tabs>
              <w:snapToGrid w:val="false"/>
              <w:spacing w:lineRule="auto" w:line="240" w:before="0" w:after="0"/>
              <w:jc w:val="center"/>
              <w:rPr>
                <w:rFonts w:ascii="Times New Roman" w:hAnsi="Times New Roman" w:cs="Times New Roman"/>
              </w:rPr>
            </w:pPr>
            <w:r>
              <w:rPr>
                <w:rFonts w:cs="Times New Roman" w:ascii="Times New Roman" w:hAnsi="Times New Roman"/>
              </w:rPr>
            </w:r>
          </w:p>
        </w:tc>
      </w:tr>
    </w:tbl>
    <w:p>
      <w:pPr>
        <w:pStyle w:val="Normal"/>
        <w:tabs>
          <w:tab w:val="clear" w:pos="708"/>
          <w:tab w:val="left" w:pos="567" w:leader="none"/>
        </w:tabs>
        <w:spacing w:lineRule="auto" w:line="240" w:before="0" w:after="0"/>
        <w:ind w:firstLine="567" w:end="0"/>
        <w:jc w:val="both"/>
        <w:rPr>
          <w:rFonts w:ascii="Times New Roman" w:hAnsi="Times New Roman" w:cs="Times New Roman"/>
          <w:lang w:eastAsia="ru-RU"/>
        </w:rPr>
      </w:pPr>
      <w:r>
        <w:rPr>
          <w:rFonts w:cs="Times New Roman" w:ascii="Times New Roman" w:hAnsi="Times New Roman"/>
          <w:lang w:eastAsia="ru-RU"/>
        </w:rPr>
      </w:r>
    </w:p>
    <w:tbl>
      <w:tblPr>
        <w:tblW w:w="5000" w:type="pct"/>
        <w:jc w:val="start"/>
        <w:tblInd w:w="0" w:type="dxa"/>
        <w:tblLayout w:type="fixed"/>
        <w:tblCellMar>
          <w:top w:w="0" w:type="dxa"/>
          <w:start w:w="108" w:type="dxa"/>
          <w:bottom w:w="0" w:type="dxa"/>
          <w:end w:w="108" w:type="dxa"/>
        </w:tblCellMar>
      </w:tblPr>
      <w:tblGrid>
        <w:gridCol w:w="5102"/>
        <w:gridCol w:w="5103"/>
      </w:tblGrid>
      <w:tr>
        <w:trPr>
          <w:cantSplit w:val="true"/>
        </w:trPr>
        <w:tc>
          <w:tcPr>
            <w:tcW w:w="5102" w:type="dxa"/>
            <w:tcBorders/>
          </w:tcPr>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ЗАКАЗЧИК:</w:t>
            </w:r>
          </w:p>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Управление Федеральной службы</w:t>
            </w:r>
          </w:p>
          <w:p>
            <w:pPr>
              <w:pStyle w:val="Normal"/>
              <w:spacing w:lineRule="auto" w:line="240" w:before="0" w:after="0"/>
              <w:jc w:val="center"/>
              <w:rPr>
                <w:rFonts w:ascii="Times New Roman" w:hAnsi="Times New Roman" w:cs="Times New Roman"/>
                <w:b/>
                <w:color w:val="000000"/>
              </w:rPr>
            </w:pPr>
            <w:r>
              <w:rPr>
                <w:rFonts w:cs="Times New Roman" w:ascii="Times New Roman" w:hAnsi="Times New Roman"/>
                <w:b/>
                <w:color w:val="000000"/>
              </w:rPr>
              <w:t>судебных приставов по Республике Мордовия</w:t>
            </w:r>
          </w:p>
        </w:tc>
        <w:tc>
          <w:tcPr>
            <w:tcW w:w="5103" w:type="dxa"/>
            <w:tcBorders/>
          </w:tcPr>
          <w:p>
            <w:pPr>
              <w:pStyle w:val="Normal"/>
              <w:spacing w:lineRule="auto" w:line="240" w:before="0" w:after="0"/>
              <w:jc w:val="center"/>
              <w:rPr>
                <w:b/>
                <w:sz w:val="22"/>
                <w:szCs w:val="22"/>
              </w:rPr>
            </w:pPr>
            <w:r>
              <w:rPr>
                <w:rFonts w:cs="Times New Roman" w:ascii="Times New Roman" w:hAnsi="Times New Roman"/>
                <w:b/>
                <w:color w:val="000000"/>
              </w:rPr>
              <w:t>ИСПОЛНИТЕЛЬ:</w:t>
            </w:r>
          </w:p>
          <w:p>
            <w:pPr>
              <w:pStyle w:val="Style29"/>
              <w:jc w:val="center"/>
              <w:rPr>
                <w:b/>
                <w:sz w:val="22"/>
                <w:szCs w:val="22"/>
              </w:rPr>
            </w:pPr>
            <w:r>
              <w:rPr>
                <w:b/>
                <w:sz w:val="22"/>
                <w:szCs w:val="22"/>
              </w:rPr>
            </w:r>
          </w:p>
          <w:p>
            <w:pPr>
              <w:pStyle w:val="Normal"/>
              <w:spacing w:lineRule="auto" w:line="240" w:before="0" w:after="0"/>
              <w:ind w:firstLine="704" w:end="0"/>
              <w:jc w:val="center"/>
              <w:rPr>
                <w:rFonts w:ascii="Times New Roman" w:hAnsi="Times New Roman" w:cs="Times New Roman"/>
                <w:b/>
                <w:color w:val="000000"/>
                <w:sz w:val="22"/>
                <w:szCs w:val="22"/>
              </w:rPr>
            </w:pPr>
            <w:r>
              <w:rPr>
                <w:rFonts w:cs="Times New Roman" w:ascii="Times New Roman" w:hAnsi="Times New Roman"/>
                <w:b/>
                <w:color w:val="000000"/>
                <w:sz w:val="22"/>
                <w:szCs w:val="22"/>
              </w:rPr>
            </w:r>
          </w:p>
        </w:tc>
      </w:tr>
      <w:tr>
        <w:trPr>
          <w:cantSplit w:val="true"/>
        </w:trPr>
        <w:tc>
          <w:tcPr>
            <w:tcW w:w="5102" w:type="dxa"/>
            <w:tcBorders/>
          </w:tcPr>
          <w:p>
            <w:pPr>
              <w:pStyle w:val="Normal"/>
              <w:snapToGrid w:val="false"/>
              <w:spacing w:lineRule="auto" w:line="240" w:before="0" w:after="0"/>
              <w:jc w:val="both"/>
              <w:rPr>
                <w:rFonts w:ascii="Times New Roman" w:hAnsi="Times New Roman" w:cs="Times New Roman"/>
                <w:b/>
                <w:color w:val="000000"/>
                <w:sz w:val="22"/>
                <w:szCs w:val="22"/>
              </w:rPr>
            </w:pPr>
            <w:r>
              <w:rPr>
                <w:rFonts w:cs="Times New Roman" w:ascii="Times New Roman" w:hAnsi="Times New Roman"/>
                <w:b/>
                <w:color w:val="000000"/>
                <w:sz w:val="22"/>
                <w:szCs w:val="22"/>
              </w:rPr>
            </w:r>
          </w:p>
          <w:p>
            <w:pPr>
              <w:pStyle w:val="Normal"/>
              <w:spacing w:lineRule="auto" w:line="240" w:before="0" w:after="0"/>
              <w:ind w:firstLine="704" w:end="0"/>
              <w:jc w:val="both"/>
              <w:rPr>
                <w:rFonts w:ascii="Times New Roman" w:hAnsi="Times New Roman" w:cs="Times New Roman"/>
                <w:b/>
                <w:color w:val="000000"/>
                <w:sz w:val="22"/>
                <w:szCs w:val="22"/>
              </w:rPr>
            </w:pPr>
            <w:r>
              <w:rPr>
                <w:rFonts w:cs="Times New Roman" w:ascii="Times New Roman" w:hAnsi="Times New Roman"/>
                <w:b/>
                <w:color w:val="000000"/>
                <w:sz w:val="22"/>
                <w:szCs w:val="22"/>
              </w:rPr>
            </w:r>
          </w:p>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t>___________________/</w:t>
            </w:r>
          </w:p>
          <w:p>
            <w:pPr>
              <w:pStyle w:val="Normal"/>
              <w:spacing w:lineRule="auto" w:line="240" w:before="0" w:after="0"/>
              <w:jc w:val="both"/>
              <w:rPr>
                <w:color w:val="000000"/>
                <w:sz w:val="22"/>
                <w:szCs w:val="22"/>
                <w:lang w:val="ru-RU" w:eastAsia="ru-RU"/>
              </w:rPr>
            </w:pPr>
            <w:r>
              <w:rPr>
                <w:rFonts w:cs="Times New Roman" w:ascii="Times New Roman" w:hAnsi="Times New Roman"/>
                <w:color w:val="000000"/>
              </w:rPr>
              <w:t>«___»___________________ 20        г.</w:t>
            </w:r>
          </w:p>
          <w:p>
            <w:pPr>
              <w:pStyle w:val="BodyText"/>
              <w:spacing w:before="0" w:after="0"/>
              <w:rPr>
                <w:color w:val="000000"/>
                <w:sz w:val="22"/>
                <w:szCs w:val="22"/>
                <w:lang w:val="ru-RU" w:eastAsia="ru-RU"/>
              </w:rPr>
            </w:pPr>
            <w:r>
              <w:rPr>
                <w:color w:val="000000"/>
                <w:sz w:val="22"/>
                <w:szCs w:val="22"/>
                <w:lang w:val="ru-RU" w:eastAsia="ru-RU"/>
              </w:rPr>
              <w:t>М.П.</w:t>
            </w:r>
          </w:p>
        </w:tc>
        <w:tc>
          <w:tcPr>
            <w:tcW w:w="5103" w:type="dxa"/>
            <w:tcBorders/>
          </w:tcPr>
          <w:p>
            <w:pPr>
              <w:pStyle w:val="Style29"/>
              <w:snapToGrid w:val="false"/>
              <w:rPr/>
            </w:pPr>
            <w:r>
              <w:rPr/>
            </w:r>
          </w:p>
          <w:p>
            <w:pPr>
              <w:pStyle w:val="Style29"/>
              <w:rPr/>
            </w:pPr>
            <w:r>
              <w:rPr/>
            </w:r>
          </w:p>
          <w:p>
            <w:pPr>
              <w:pStyle w:val="Normal"/>
              <w:spacing w:lineRule="auto" w:line="240" w:before="0" w:after="0"/>
              <w:jc w:val="both"/>
              <w:rPr>
                <w:color w:val="000000"/>
                <w:sz w:val="22"/>
                <w:szCs w:val="22"/>
                <w:lang w:val="ru-RU" w:eastAsia="ru-RU"/>
              </w:rPr>
            </w:pPr>
            <w:r>
              <w:rPr>
                <w:rFonts w:eastAsia="Times New Roman" w:cs="Times New Roman" w:ascii="Times New Roman" w:hAnsi="Times New Roman"/>
                <w:color w:val="000000"/>
              </w:rPr>
              <w:t xml:space="preserve"> </w:t>
            </w:r>
            <w:r>
              <w:rPr>
                <w:rFonts w:cs="Times New Roman" w:ascii="Times New Roman" w:hAnsi="Times New Roman"/>
                <w:color w:val="000000"/>
              </w:rPr>
              <w:t>«___»___________________ 20     г.</w:t>
            </w:r>
          </w:p>
          <w:p>
            <w:pPr>
              <w:pStyle w:val="BodyText"/>
              <w:spacing w:before="0" w:after="0"/>
              <w:rPr>
                <w:color w:val="000000"/>
                <w:sz w:val="22"/>
                <w:szCs w:val="22"/>
                <w:lang w:val="ru-RU" w:eastAsia="ru-RU"/>
              </w:rPr>
            </w:pPr>
            <w:r>
              <w:rPr>
                <w:color w:val="000000"/>
                <w:sz w:val="22"/>
                <w:szCs w:val="22"/>
                <w:lang w:val="ru-RU" w:eastAsia="ru-RU"/>
              </w:rPr>
              <w:t>М.П.</w:t>
            </w:r>
          </w:p>
        </w:tc>
      </w:tr>
    </w:tbl>
    <w:p>
      <w:pPr>
        <w:pStyle w:val="Normal"/>
        <w:tabs>
          <w:tab w:val="clear" w:pos="708"/>
          <w:tab w:val="left" w:pos="7797" w:leader="none"/>
        </w:tabs>
        <w:spacing w:lineRule="auto" w:line="240" w:before="0" w:after="0"/>
        <w:jc w:val="end"/>
        <w:rPr>
          <w:rFonts w:ascii="Times New Roman" w:hAnsi="Times New Roman" w:cs="Times New Roman"/>
        </w:rPr>
      </w:pPr>
      <w:r>
        <w:rPr>
          <w:rFonts w:cs="Times New Roman" w:ascii="Times New Roman" w:hAnsi="Times New Roman"/>
        </w:rPr>
      </w:r>
    </w:p>
    <w:sectPr>
      <w:footnotePr>
        <w:numFmt w:val="decimal"/>
      </w:footnotePr>
      <w:type w:val="nextPage"/>
      <w:pgSz w:w="11906" w:h="16838"/>
      <w:pgMar w:left="85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swiss"/>
    <w:pitch w:val="variable"/>
  </w:font>
  <w:font w:name="Arial">
    <w:charset w:val="cc" w:characterSet="windows-1251"/>
    <w:family w:val="swiss"/>
    <w:pitch w:val="variable"/>
  </w:font>
  <w:font w:name="Cambria">
    <w:charset w:val="cc" w:characterSet="windows-1251"/>
    <w:family w:val="roman"/>
    <w:pitch w:val="variable"/>
  </w:font>
  <w:font w:name="Times New Roman">
    <w:charset w:val="cc" w:characterSet="windows-1251"/>
    <w:family w:val="roman"/>
    <w:pitch w:val="variable"/>
  </w:font>
  <w:font w:name="Tahoma">
    <w:charset w:val="cc" w:characterSet="windows-1251"/>
    <w:family w:val="swiss"/>
    <w:pitch w:val="variable"/>
  </w:font>
  <w:font w:name="Liberation Sans">
    <w:altName w:val="Arial"/>
    <w:charset w:val="cc" w:characterSet="windows-1251"/>
    <w:family w:val="swiss"/>
    <w:pitch w:val="variable"/>
  </w:font>
  <w:font w:name="Times New Roman">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rFonts w:ascii="Times New Roman" w:hAnsi="Times New Roman" w:cs="Times New Roman"/>
          <w:sz w:val="14"/>
          <w:szCs w:val="14"/>
        </w:rPr>
      </w:pPr>
      <w:r>
        <w:rPr>
          <w:rStyle w:val="Style15"/>
        </w:rPr>
        <w:footnoteRef/>
      </w:r>
      <w:r>
        <w:rPr>
          <w:rFonts w:cs="Times New Roman" w:ascii="Times New Roman" w:hAnsi="Times New Roman"/>
          <w:sz w:val="14"/>
          <w:szCs w:val="14"/>
        </w:rPr>
        <w:tab/>
        <w:t>Размер штрафа устанавливается в порядке, установленном постановлением Правительства Российской Федерации от 30 августа 2017 г. № 1042 «</w:t>
      </w:r>
      <w:r>
        <w:rPr/>
        <w:t xml:space="preserve"> </w:t>
      </w:r>
      <w:r>
        <w:rPr>
          <w:rFonts w:cs="Times New Roman" w:ascii="Times New Roman" w:hAnsi="Times New Roman"/>
          <w:sz w:val="14"/>
          <w:szCs w:val="1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ПП РФ от 30 августа 2017 г. № 1042):</w:t>
      </w:r>
    </w:p>
    <w:p>
      <w:pPr>
        <w:pStyle w:val="FootnoteText"/>
        <w:rPr>
          <w:rFonts w:ascii="Times New Roman" w:hAnsi="Times New Roman" w:cs="Times New Roman"/>
          <w:sz w:val="14"/>
          <w:szCs w:val="14"/>
        </w:rPr>
      </w:pPr>
      <w:r>
        <w:rPr>
          <w:rFonts w:cs="Times New Roman" w:ascii="Times New Roman" w:hAnsi="Times New Roman"/>
          <w:sz w:val="14"/>
          <w:szCs w:val="14"/>
        </w:rPr>
        <w:tab/>
        <w:t>а) 1000 рублей, если цена контракта не превышает 3 млн. рублей (включительно);</w:t>
      </w:r>
    </w:p>
    <w:p>
      <w:pPr>
        <w:pStyle w:val="FootnoteText"/>
        <w:rPr>
          <w:rFonts w:ascii="Times New Roman" w:hAnsi="Times New Roman" w:cs="Times New Roman"/>
          <w:sz w:val="14"/>
          <w:szCs w:val="14"/>
        </w:rPr>
      </w:pPr>
      <w:r>
        <w:rPr>
          <w:rFonts w:cs="Times New Roman" w:ascii="Times New Roman" w:hAnsi="Times New Roman"/>
          <w:sz w:val="14"/>
          <w:szCs w:val="14"/>
        </w:rPr>
        <w:tab/>
        <w:t>б) 5000 рублей, если цена контракта составляет от 3 млн. рублей до 50 млн. рублей (включительно);</w:t>
      </w:r>
    </w:p>
    <w:p>
      <w:pPr>
        <w:pStyle w:val="FootnoteText"/>
        <w:rPr>
          <w:rFonts w:ascii="Times New Roman" w:hAnsi="Times New Roman" w:cs="Times New Roman"/>
          <w:sz w:val="14"/>
          <w:szCs w:val="14"/>
        </w:rPr>
      </w:pPr>
      <w:r>
        <w:rPr>
          <w:rFonts w:cs="Times New Roman" w:ascii="Times New Roman" w:hAnsi="Times New Roman"/>
          <w:sz w:val="14"/>
          <w:szCs w:val="14"/>
        </w:rPr>
        <w:tab/>
        <w:t>в) 10000 рублей, если цена контракта составляет от 50 млн. рублей до 100 млн. рублей (включительно);</w:t>
      </w:r>
    </w:p>
    <w:p>
      <w:pPr>
        <w:pStyle w:val="FootnoteText"/>
        <w:rPr>
          <w:rFonts w:ascii="Times New Roman" w:hAnsi="Times New Roman" w:cs="Times New Roman"/>
          <w:sz w:val="16"/>
          <w:szCs w:val="16"/>
        </w:rPr>
      </w:pPr>
      <w:r>
        <w:rPr>
          <w:rFonts w:cs="Times New Roman" w:ascii="Times New Roman" w:hAnsi="Times New Roman"/>
          <w:sz w:val="14"/>
          <w:szCs w:val="14"/>
        </w:rPr>
        <w:tab/>
        <w:t>г) 100000 рублей, если цена контракта превышает 100 млн. рублей.</w:t>
      </w:r>
    </w:p>
    <w:p>
      <w:pPr>
        <w:pStyle w:val="FootnoteText"/>
        <w:rPr>
          <w:rFonts w:ascii="Times New Roman" w:hAnsi="Times New Roman" w:cs="Times New Roman"/>
          <w:sz w:val="16"/>
          <w:szCs w:val="16"/>
        </w:rPr>
      </w:pPr>
      <w:r>
        <w:rPr>
          <w:rFonts w:cs="Times New Roman" w:ascii="Times New Roman" w:hAnsi="Times New Roman"/>
          <w:sz w:val="16"/>
          <w:szCs w:val="16"/>
        </w:rPr>
      </w:r>
    </w:p>
  </w:footnote>
  <w:footnote w:id="3">
    <w:p>
      <w:pPr>
        <w:pStyle w:val="FootnoteText"/>
        <w:rPr/>
      </w:pPr>
      <w:r>
        <w:rPr>
          <w:rStyle w:val="Style15"/>
        </w:rPr>
        <w:footnoteRef/>
      </w:r>
      <w:r>
        <w:rPr/>
        <w:tab/>
        <w:t xml:space="preserve"> </w:t>
      </w:r>
      <w:r>
        <w:rPr>
          <w:rFonts w:cs="Times New Roman" w:ascii="Times New Roman" w:hAnsi="Times New Roman"/>
          <w:sz w:val="16"/>
          <w:szCs w:val="16"/>
        </w:rPr>
        <w:t>Учетная форма N 131/у "Карта учета диспансеризации (профилактического медицинского осмотра)", утвержденная приказом Минздрава России от 06.03.2015 N 87н "Об унифицированной форме медицинской документации и форме статистической отчетности, используемых при проведении диспансеризации определенных групп взрослого населения и профилактических медицинских осмотров, порядках по их заполнению" (зарегистрирован Минюстом России 07.04.2015, регистрационный N 36740).</w:t>
      </w:r>
    </w:p>
  </w:footnote>
  <w:footnote w:id="4">
    <w:p>
      <w:pPr>
        <w:pStyle w:val="FootnoteText"/>
        <w:rPr/>
      </w:pPr>
      <w:r>
        <w:rPr>
          <w:rStyle w:val="Style15"/>
        </w:rPr>
        <w:footnoteRef/>
      </w:r>
      <w:r>
        <w:rPr/>
        <w:tab/>
        <w:t xml:space="preserve"> </w:t>
      </w:r>
      <w:r>
        <w:rPr>
          <w:rFonts w:cs="Times New Roman" w:ascii="Times New Roman" w:hAnsi="Times New Roman"/>
          <w:sz w:val="16"/>
          <w:szCs w:val="16"/>
        </w:rPr>
        <w:t>Группы состояния здоровья сотрудника и группы диспансерного наблюдения (далее - группы здоровья) по результатам медицинского осмотра определяются с учетом критериев, предусмотренных пунктом 23 Порядка проведения профилактического медицинского осмотра и диспансеризации определенных групп взрослого населения, утвержденного приказом Минздрава России от 13.03.2019 N 124н (зарегистрирован Минюстом России 24.04.2019, регистрационный N 54495)</w:t>
      </w:r>
      <w:r>
        <w:rPr>
          <w:rFonts w:cs="Times New Roman" w:ascii="Times New Roman" w:hAnsi="Times New Roman"/>
          <w:sz w:val="16"/>
          <w:szCs w:val="16"/>
          <w:lang w:val="ru-RU"/>
        </w:rPr>
        <w:t>.</w:t>
      </w:r>
    </w:p>
  </w:footnote>
  <w:footnote w:id="5">
    <w:p>
      <w:pPr>
        <w:pStyle w:val="FootnoteText"/>
        <w:rPr/>
      </w:pPr>
      <w:r>
        <w:rPr>
          <w:rStyle w:val="Style15"/>
        </w:rPr>
        <w:footnoteRef/>
      </w:r>
      <w:r>
        <w:rPr/>
        <w:tab/>
        <w:t xml:space="preserve"> </w:t>
      </w:r>
      <w:r>
        <w:rPr>
          <w:rFonts w:cs="Times New Roman" w:ascii="Times New Roman" w:hAnsi="Times New Roman"/>
          <w:sz w:val="16"/>
          <w:szCs w:val="16"/>
        </w:rPr>
        <w:t>Собрание законодательства Российской Федерации, 2011, N 11, ст. 6724; 2019, N 10, ст. 888 (далее - Федеральный закон).</w:t>
      </w:r>
    </w:p>
  </w:footnote>
  <w:footnote w:id="6">
    <w:p>
      <w:pPr>
        <w:pStyle w:val="FootnoteText"/>
        <w:rPr/>
      </w:pPr>
      <w:r>
        <w:rPr>
          <w:rStyle w:val="Style15"/>
        </w:rPr>
        <w:footnoteRef/>
      </w:r>
      <w:r>
        <w:rPr>
          <w:rStyle w:val="Style15"/>
          <w:rFonts w:eastAsia="Times New Roman" w:cs="Times New Roman" w:ascii="Times New Roman" w:hAnsi="Times New Roman"/>
          <w:sz w:val="16"/>
          <w:szCs w:val="16"/>
        </w:rPr>
        <w:tab/>
        <w:t xml:space="preserve"> </w:t>
      </w:r>
      <w:r>
        <w:rPr>
          <w:rFonts w:cs="Times New Roman" w:ascii="Times New Roman" w:hAnsi="Times New Roman"/>
          <w:sz w:val="16"/>
          <w:szCs w:val="16"/>
        </w:rPr>
        <w:t>Учетная форма N 454/у-06 "Справка о результатах химико-токсикологических исследований", утвержденная приказом Минздравсоцразвития России N 40.</w:t>
      </w:r>
    </w:p>
    <w:p>
      <w:pPr>
        <w:pStyle w:val="FootnoteText"/>
        <w:rPr/>
      </w:pPr>
      <w:r>
        <w:rPr/>
      </w:r>
    </w:p>
  </w:footnote>
  <w:footnote w:id="7">
    <w:p>
      <w:pPr>
        <w:pStyle w:val="FootnoteText"/>
        <w:rPr/>
      </w:pPr>
      <w:r>
        <w:rPr>
          <w:rStyle w:val="Style15"/>
        </w:rPr>
        <w:footnoteRef/>
      </w:r>
      <w:r>
        <w:rPr>
          <w:rFonts w:eastAsia="Times New Roman" w:cs="Times New Roman" w:ascii="Times New Roman" w:hAnsi="Times New Roman"/>
          <w:sz w:val="16"/>
          <w:szCs w:val="16"/>
        </w:rPr>
        <w:tab/>
        <w:t xml:space="preserve"> </w:t>
      </w:r>
      <w:r>
        <w:rPr>
          <w:rFonts w:cs="Times New Roman" w:ascii="Times New Roman" w:hAnsi="Times New Roman"/>
          <w:sz w:val="16"/>
          <w:szCs w:val="16"/>
        </w:rPr>
        <w:t>Форма N 025/у "Медицинская карта пациента, получающего медицинскую помощь в амбулаторных условиях", утвержденная приказом Минздрава России от 15.12.2014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Минюстом России 20.02.2015, регистрационный N 36160), с изменениями, внесенными приказом Минздрава России от 09.01.2018 N 2н (зарегистрирован Минюстом России 04.04.2018, регистрационный N 50614).</w:t>
      </w:r>
    </w:p>
  </w:footnote>
  <w:footnote w:id="8">
    <w:p>
      <w:pPr>
        <w:pStyle w:val="Normal"/>
        <w:spacing w:lineRule="auto" w:line="240" w:before="0" w:after="0"/>
        <w:ind w:firstLine="540" w:end="0"/>
        <w:jc w:val="both"/>
        <w:rPr/>
      </w:pPr>
      <w:r>
        <w:rPr>
          <w:rStyle w:val="Style15"/>
        </w:rPr>
        <w:footnoteRef/>
      </w:r>
      <w:r>
        <w:rPr/>
        <w:tab/>
        <w:t xml:space="preserve"> </w:t>
      </w:r>
      <w:r>
        <w:rPr>
          <w:rFonts w:cs="Times New Roman" w:ascii="Times New Roman" w:hAnsi="Times New Roman"/>
          <w:sz w:val="16"/>
          <w:szCs w:val="16"/>
        </w:rPr>
        <w:t>Учетная форма N 131/у "Карта учета диспансеризации (профилактического медицинского осмотра)", утвержденная приказом Минздрава России от 06.03.2015 N 87н "Об унифицированной форме медицинской документации и форме статистической отчетности, используемых при проведении диспансеризации определенных групп взрослого населения и профилактических медицинских осмотров, порядках по их заполнению" (зарегистрирован Минюстом России 07.04.2015, регистрационный N 36740).</w:t>
      </w:r>
    </w:p>
    <w:p>
      <w:pPr>
        <w:pStyle w:val="FootnoteText"/>
        <w:rPr>
          <w:rFonts w:ascii="Times New Roman" w:hAnsi="Times New Roman" w:cs="Times New Roman"/>
          <w:sz w:val="28"/>
          <w:szCs w:val="28"/>
          <w:lang w:val="ru-RU"/>
        </w:rPr>
      </w:pPr>
      <w:r>
        <w:rPr>
          <w:rFonts w:cs="Times New Roman" w:ascii="Times New Roman" w:hAnsi="Times New Roman"/>
          <w:sz w:val="28"/>
          <w:szCs w:val="28"/>
          <w:lang w:val="ru-RU"/>
        </w:rPr>
      </w:r>
    </w:p>
  </w:footnote>
  <w:footnote w:id="9">
    <w:p>
      <w:pPr>
        <w:pStyle w:val="Normal"/>
        <w:spacing w:lineRule="auto" w:line="240" w:before="0" w:after="0"/>
        <w:ind w:firstLine="540" w:end="0"/>
        <w:jc w:val="both"/>
        <w:rPr/>
      </w:pPr>
      <w:r>
        <w:rPr>
          <w:rStyle w:val="Style15"/>
        </w:rPr>
        <w:footnoteRef/>
      </w:r>
      <w:r>
        <w:rPr>
          <w:rFonts w:eastAsia="Times New Roman" w:cs="Times New Roman" w:ascii="Times New Roman" w:hAnsi="Times New Roman"/>
          <w:sz w:val="16"/>
          <w:szCs w:val="16"/>
        </w:rPr>
        <w:tab/>
        <w:t xml:space="preserve"> </w:t>
      </w:r>
      <w:r>
        <w:rPr>
          <w:rFonts w:cs="Times New Roman" w:ascii="Times New Roman" w:hAnsi="Times New Roman"/>
          <w:sz w:val="16"/>
          <w:szCs w:val="16"/>
        </w:rPr>
        <w:t>Федеральный закон от 27.07.2006 N 152-ФЗ "О персональных данных" (Собрание законодательства Российской Федерации, 2006, N 31 (ч. 1), ст. 3451; 2018, N 1 (ч. 1), ст. 82).</w:t>
      </w:r>
    </w:p>
    <w:p>
      <w:pPr>
        <w:pStyle w:val="FootnoteText"/>
        <w:rPr>
          <w:rFonts w:ascii="Times New Roman" w:hAnsi="Times New Roman" w:cs="Times New Roman"/>
          <w:sz w:val="16"/>
          <w:szCs w:val="16"/>
          <w:lang w:val="ru-RU"/>
        </w:rPr>
      </w:pPr>
      <w:r>
        <w:rPr>
          <w:rFonts w:cs="Times New Roman" w:ascii="Times New Roman" w:hAnsi="Times New Roman"/>
          <w:sz w:val="16"/>
          <w:szCs w:val="16"/>
          <w:lang w:val="ru-RU"/>
        </w:rPr>
      </w:r>
    </w:p>
  </w:footnote>
  <w:footnote w:id="10">
    <w:p>
      <w:pPr>
        <w:pStyle w:val="Normal"/>
        <w:spacing w:lineRule="auto" w:line="240" w:before="0" w:after="0"/>
        <w:ind w:firstLine="540" w:end="0"/>
        <w:jc w:val="both"/>
        <w:rPr/>
      </w:pPr>
      <w:r>
        <w:rPr>
          <w:rStyle w:val="Style15"/>
        </w:rPr>
        <w:footnoteRef/>
      </w:r>
      <w:r>
        <w:rPr>
          <w:rFonts w:eastAsia="Times New Roman" w:cs="Times New Roman" w:ascii="Times New Roman" w:hAnsi="Times New Roman"/>
          <w:sz w:val="16"/>
          <w:szCs w:val="16"/>
        </w:rPr>
        <w:tab/>
        <w:t xml:space="preserve"> </w:t>
      </w:r>
      <w:r>
        <w:rPr>
          <w:rFonts w:cs="Times New Roman" w:ascii="Times New Roman" w:hAnsi="Times New Roman"/>
          <w:sz w:val="16"/>
          <w:szCs w:val="16"/>
        </w:rPr>
        <w:t>Статья 13 Федерального закона (Собрание законодательства Российской Федерации, 2011, N 11, ст. 6724; 2015, N 29 (ч. 1), ст. 4356).</w:t>
      </w:r>
    </w:p>
    <w:p>
      <w:pPr>
        <w:pStyle w:val="FootnoteText"/>
        <w:rPr>
          <w:rFonts w:ascii="Times New Roman" w:hAnsi="Times New Roman" w:cs="Times New Roman"/>
          <w:sz w:val="16"/>
          <w:szCs w:val="16"/>
          <w:lang w:val="ru-RU"/>
        </w:rPr>
      </w:pPr>
      <w:r>
        <w:rPr>
          <w:rFonts w:cs="Times New Roman" w:ascii="Times New Roman" w:hAnsi="Times New Roman"/>
          <w:sz w:val="16"/>
          <w:szCs w:val="16"/>
          <w:lang w:val="ru-RU"/>
        </w:rPr>
      </w:r>
    </w:p>
  </w:footnote>
  <w:footnote w:id="11">
    <w:p>
      <w:pPr>
        <w:pStyle w:val="FootnoteText"/>
        <w:rPr/>
      </w:pPr>
      <w:r>
        <w:rPr>
          <w:rStyle w:val="Style15"/>
        </w:rPr>
        <w:footnoteRef/>
      </w:r>
      <w:r>
        <w:rPr>
          <w:rStyle w:val="Style15"/>
          <w:rFonts w:eastAsia="Times New Roman" w:cs="Times New Roman" w:ascii="Times New Roman" w:hAnsi="Times New Roman"/>
          <w:sz w:val="16"/>
          <w:szCs w:val="16"/>
        </w:rPr>
        <w:tab/>
        <w:t xml:space="preserve"> </w:t>
      </w:r>
      <w:r>
        <w:rPr>
          <w:rFonts w:cs="Times New Roman" w:ascii="Times New Roman" w:hAnsi="Times New Roman"/>
          <w:sz w:val="16"/>
          <w:szCs w:val="16"/>
        </w:rPr>
        <w:t>Учетная форма N 454/у-06 "Справка о результатах химико-токсикологических исследований", утвержденная приказом Минздравсоцразвития России N 40.</w:t>
      </w:r>
    </w:p>
    <w:p>
      <w:pPr>
        <w:pStyle w:val="FootnoteText"/>
        <w:rPr/>
      </w:pPr>
      <w:r>
        <w:rPr/>
      </w:r>
    </w:p>
  </w:footnote>
  <w:footnote w:id="12">
    <w:p>
      <w:pPr>
        <w:pStyle w:val="FootnoteText"/>
        <w:rPr/>
      </w:pPr>
      <w:r>
        <w:rPr>
          <w:rStyle w:val="Style15"/>
        </w:rPr>
        <w:footnoteRef/>
      </w:r>
      <w:r>
        <w:rPr>
          <w:rFonts w:eastAsia="Times New Roman" w:cs="Times New Roman" w:ascii="Times New Roman" w:hAnsi="Times New Roman"/>
          <w:sz w:val="16"/>
          <w:szCs w:val="16"/>
        </w:rPr>
        <w:tab/>
        <w:t xml:space="preserve"> </w:t>
      </w:r>
      <w:r>
        <w:rPr>
          <w:rFonts w:cs="Times New Roman" w:ascii="Times New Roman" w:hAnsi="Times New Roman"/>
          <w:sz w:val="16"/>
          <w:szCs w:val="16"/>
        </w:rPr>
        <w:t>Форма N 025/у "Медицинская карта пациента, получающего медицинскую помощь в амбулаторных условиях", утвержденная приказом Минздрава России от 15.12.2014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Минюстом России 20.02.2015, регистрационный N 36160), с изменениями, внесенными приказом Минздрава России от 09.01.2018 N 2н (зарегистрирован Минюстом России 04.04.2018, регистрационный N 50614).</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pStyle w:val="Heading9"/>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432"/>
        </w:tabs>
        <w:ind w:start="432" w:hanging="432"/>
      </w:pPr>
      <w:rPr>
        <w:smallCaps w:val="false"/>
        <w:caps w:val="false"/>
        <w:dstrike w:val="false"/>
        <w:strike w:val="false"/>
        <w:vertAlign w:val="baseline"/>
        <w:position w:val="0"/>
        <w:sz w:val="24"/>
        <w:sz w:val="24"/>
        <w:spacing w:val="0"/>
        <w:i w:val="false"/>
        <w:u w:val="none"/>
        <w:b w:val="false"/>
        <w:kern w:val="0"/>
        <w:iCs w:val="false"/>
        <w:bCs w:val="false"/>
        <w:em w:val="none"/>
        <w:vanish w:val="false"/>
        <w:rFonts w:ascii="Times New Roman" w:hAnsi="Times New Roman" w:cs="Times New Roman"/>
        <w:color w:val="000000"/>
      </w:rPr>
    </w:lvl>
    <w:lvl w:ilvl="1">
      <w:start w:val="1"/>
      <w:numFmt w:val="decimal"/>
      <w:lvlText w:val="%1.%2"/>
      <w:lvlJc w:val="start"/>
      <w:pPr>
        <w:tabs>
          <w:tab w:val="num" w:pos="576"/>
        </w:tabs>
        <w:ind w:start="576" w:hanging="576"/>
      </w:pPr>
      <w:rPr>
        <w:smallCaps w:val="false"/>
        <w:caps w:val="false"/>
        <w:dstrike w:val="false"/>
        <w:strike w:val="false"/>
        <w:vertAlign w:val="baseline"/>
        <w:position w:val="0"/>
        <w:sz w:val="24"/>
        <w:sz w:val="24"/>
        <w:spacing w:val="0"/>
        <w:i w:val="false"/>
        <w:u w:val="none"/>
        <w:b w:val="false"/>
        <w:kern w:val="0"/>
        <w:iCs w:val="false"/>
        <w:bCs w:val="false"/>
        <w:em w:val="none"/>
        <w:vanish w:val="false"/>
        <w:rFonts w:ascii="Times New Roman" w:hAnsi="Times New Roman" w:cs="Times New Roman"/>
        <w:color w:val="000000"/>
      </w:rPr>
    </w:lvl>
    <w:lvl w:ilvl="2">
      <w:start w:val="1"/>
      <w:numFmt w:val="decimal"/>
      <w:lvlText w:val="%1.%2.%3"/>
      <w:lvlJc w:val="start"/>
      <w:pPr>
        <w:tabs>
          <w:tab w:val="num" w:pos="720"/>
        </w:tabs>
        <w:ind w:start="720" w:hanging="720"/>
      </w:pPr>
    </w:lvl>
    <w:lvl w:ilvl="3">
      <w:start w:val="1"/>
      <w:numFmt w:val="decimal"/>
      <w:lvlText w:val="%1.%2.%3.%4"/>
      <w:lvlJc w:val="start"/>
      <w:pPr>
        <w:tabs>
          <w:tab w:val="num" w:pos="864"/>
        </w:tabs>
        <w:ind w:start="864" w:hanging="864"/>
      </w:pPr>
    </w:lvl>
    <w:lvl w:ilvl="4">
      <w:start w:val="1"/>
      <w:numFmt w:val="decimal"/>
      <w:lvlText w:val="%1.%2.%3.%4.%5"/>
      <w:lvlJc w:val="start"/>
      <w:pPr>
        <w:tabs>
          <w:tab w:val="num" w:pos="1008"/>
        </w:tabs>
        <w:ind w:start="1008" w:hanging="1008"/>
      </w:pPr>
    </w:lvl>
    <w:lvl w:ilvl="5">
      <w:start w:val="1"/>
      <w:numFmt w:val="decimal"/>
      <w:lvlText w:val="%1.%2.%3.%4.%5.%6"/>
      <w:lvlJc w:val="start"/>
      <w:pPr>
        <w:tabs>
          <w:tab w:val="num" w:pos="1152"/>
        </w:tabs>
        <w:ind w:start="1152" w:hanging="1152"/>
      </w:pPr>
    </w:lvl>
    <w:lvl w:ilvl="6">
      <w:start w:val="1"/>
      <w:numFmt w:val="decimal"/>
      <w:lvlText w:val="%1.%2.%3.%4.%5.%6.%7"/>
      <w:lvlJc w:val="start"/>
      <w:pPr>
        <w:tabs>
          <w:tab w:val="num" w:pos="1296"/>
        </w:tabs>
        <w:ind w:start="1296" w:hanging="1296"/>
      </w:pPr>
    </w:lvl>
    <w:lvl w:ilvl="7">
      <w:start w:val="1"/>
      <w:numFmt w:val="decimal"/>
      <w:lvlText w:val="%1.%2.%3.%4.%5.%6.%7.%8"/>
      <w:lvlJc w:val="start"/>
      <w:pPr>
        <w:tabs>
          <w:tab w:val="num" w:pos="1440"/>
        </w:tabs>
        <w:ind w:start="1440" w:hanging="1440"/>
      </w:pPr>
    </w:lvl>
    <w:lvl w:ilvl="8">
      <w:start w:val="1"/>
      <w:numFmt w:val="decimal"/>
      <w:lvlText w:val="%1.%2.%3.%4.%5.%6.%7.%8.%9"/>
      <w:lvlJc w:val="start"/>
      <w:pPr>
        <w:tabs>
          <w:tab w:val="num" w:pos="1584"/>
        </w:tabs>
        <w:ind w:start="1584" w:hanging="1584"/>
      </w:pPr>
    </w:lvl>
  </w:abstractNum>
  <w:abstractNum w:abstractNumId="3">
    <w:lvl w:ilvl="0">
      <w:start w:val="7"/>
      <w:numFmt w:val="decimal"/>
      <w:lvlText w:val="%1."/>
      <w:lvlJc w:val="start"/>
      <w:pPr>
        <w:tabs>
          <w:tab w:val="num" w:pos="0"/>
        </w:tabs>
        <w:ind w:start="360" w:hanging="360"/>
      </w:pPr>
      <w:rPr>
        <w:sz w:val="24"/>
        <w:b/>
        <w:szCs w:val="24"/>
        <w:rFonts w:ascii="Times New Roman" w:hAnsi="Times New Roman" w:cs="Times New Roman"/>
        <w:lang w:val="ru-RU" w:eastAsia="ru-RU"/>
      </w:rPr>
    </w:lvl>
    <w:lvl w:ilvl="1">
      <w:start w:val="8"/>
      <w:numFmt w:val="decimal"/>
      <w:lvlText w:val="%1.%2."/>
      <w:lvlJc w:val="start"/>
      <w:pPr>
        <w:tabs>
          <w:tab w:val="num" w:pos="0"/>
        </w:tabs>
        <w:ind w:start="2487" w:hanging="360"/>
      </w:pPr>
      <w:rPr>
        <w:sz w:val="24"/>
        <w:b/>
        <w:szCs w:val="24"/>
        <w:rFonts w:ascii="Times New Roman" w:hAnsi="Times New Roman" w:cs="Times New Roman"/>
        <w:lang w:val="ru-RU" w:eastAsia="ru-RU"/>
      </w:rPr>
    </w:lvl>
    <w:lvl w:ilvl="2">
      <w:start w:val="1"/>
      <w:numFmt w:val="decimal"/>
      <w:lvlText w:val="%1.%2.%3."/>
      <w:lvlJc w:val="start"/>
      <w:pPr>
        <w:tabs>
          <w:tab w:val="num" w:pos="0"/>
        </w:tabs>
        <w:ind w:start="2138" w:hanging="720"/>
      </w:pPr>
    </w:lvl>
    <w:lvl w:ilvl="3">
      <w:start w:val="1"/>
      <w:numFmt w:val="decimal"/>
      <w:lvlText w:val="%1.%2.%3.%4."/>
      <w:lvlJc w:val="start"/>
      <w:pPr>
        <w:tabs>
          <w:tab w:val="num" w:pos="0"/>
        </w:tabs>
        <w:ind w:start="2847" w:hanging="720"/>
      </w:pPr>
    </w:lvl>
    <w:lvl w:ilvl="4">
      <w:start w:val="1"/>
      <w:numFmt w:val="decimal"/>
      <w:lvlText w:val="%1.%2.%3.%4.%5."/>
      <w:lvlJc w:val="start"/>
      <w:pPr>
        <w:tabs>
          <w:tab w:val="num" w:pos="0"/>
        </w:tabs>
        <w:ind w:start="3916" w:hanging="1080"/>
      </w:pPr>
    </w:lvl>
    <w:lvl w:ilvl="5">
      <w:start w:val="1"/>
      <w:numFmt w:val="decimal"/>
      <w:lvlText w:val="%1.%2.%3.%4.%5.%6."/>
      <w:lvlJc w:val="start"/>
      <w:pPr>
        <w:tabs>
          <w:tab w:val="num" w:pos="0"/>
        </w:tabs>
        <w:ind w:start="4625" w:hanging="1080"/>
      </w:pPr>
    </w:lvl>
    <w:lvl w:ilvl="6">
      <w:start w:val="1"/>
      <w:numFmt w:val="decimal"/>
      <w:lvlText w:val="%1.%2.%3.%4.%5.%6.%7."/>
      <w:lvlJc w:val="start"/>
      <w:pPr>
        <w:tabs>
          <w:tab w:val="num" w:pos="0"/>
        </w:tabs>
        <w:ind w:start="5694" w:hanging="1440"/>
      </w:pPr>
    </w:lvl>
    <w:lvl w:ilvl="7">
      <w:start w:val="1"/>
      <w:numFmt w:val="decimal"/>
      <w:lvlText w:val="%1.%2.%3.%4.%5.%6.%7.%8."/>
      <w:lvlJc w:val="start"/>
      <w:pPr>
        <w:tabs>
          <w:tab w:val="num" w:pos="0"/>
        </w:tabs>
        <w:ind w:start="6403" w:hanging="1440"/>
      </w:pPr>
    </w:lvl>
    <w:lvl w:ilvl="8">
      <w:start w:val="1"/>
      <w:numFmt w:val="decimal"/>
      <w:lvlText w:val="%1.%2.%3.%4.%5.%6.%7.%8.%9."/>
      <w:lvlJc w:val="start"/>
      <w:pPr>
        <w:tabs>
          <w:tab w:val="num" w:pos="0"/>
        </w:tabs>
        <w:ind w:start="7472" w:hanging="1800"/>
      </w:pPr>
    </w:lvl>
  </w:abstractNum>
  <w:abstractNum w:abstractNumId="4">
    <w:lvl w:ilvl="0">
      <w:start w:val="1"/>
      <w:numFmt w:val="decimal"/>
      <w:lvlText w:val="%1."/>
      <w:lvlJc w:val="start"/>
      <w:pPr>
        <w:tabs>
          <w:tab w:val="num" w:pos="0"/>
        </w:tabs>
        <w:ind w:start="1069" w:hanging="360"/>
      </w:pPr>
      <w:rPr>
        <w:sz w:val="24"/>
        <w:b/>
        <w:szCs w:val="24"/>
        <w:bCs/>
        <w:rFonts w:ascii="Times New Roman" w:hAnsi="Times New Roman" w:cs="Times New Roman"/>
        <w:lang w:val="en-US"/>
      </w:rPr>
    </w:lvl>
    <w:lvl w:ilvl="1">
      <w:start w:val="1"/>
      <w:numFmt w:val="decimal"/>
      <w:lvlText w:val="%1.%2."/>
      <w:lvlJc w:val="start"/>
      <w:pPr>
        <w:tabs>
          <w:tab w:val="num" w:pos="0"/>
        </w:tabs>
        <w:ind w:start="1429" w:hanging="360"/>
      </w:pPr>
    </w:lvl>
    <w:lvl w:ilvl="2">
      <w:start w:val="1"/>
      <w:numFmt w:val="decimal"/>
      <w:lvlText w:val="%1.%2.%3."/>
      <w:lvlJc w:val="start"/>
      <w:pPr>
        <w:tabs>
          <w:tab w:val="num" w:pos="0"/>
        </w:tabs>
        <w:ind w:start="2149" w:hanging="720"/>
      </w:pPr>
    </w:lvl>
    <w:lvl w:ilvl="3">
      <w:start w:val="1"/>
      <w:numFmt w:val="decimal"/>
      <w:lvlText w:val="%1.%2.%3.%4."/>
      <w:lvlJc w:val="start"/>
      <w:pPr>
        <w:tabs>
          <w:tab w:val="num" w:pos="0"/>
        </w:tabs>
        <w:ind w:start="2509" w:hanging="720"/>
      </w:pPr>
    </w:lvl>
    <w:lvl w:ilvl="4">
      <w:start w:val="1"/>
      <w:numFmt w:val="decimal"/>
      <w:lvlText w:val="%1.%2.%3.%4.%5."/>
      <w:lvlJc w:val="start"/>
      <w:pPr>
        <w:tabs>
          <w:tab w:val="num" w:pos="0"/>
        </w:tabs>
        <w:ind w:start="3229" w:hanging="1080"/>
      </w:pPr>
    </w:lvl>
    <w:lvl w:ilvl="5">
      <w:start w:val="1"/>
      <w:numFmt w:val="decimal"/>
      <w:lvlText w:val="%1.%2.%3.%4.%5.%6."/>
      <w:lvlJc w:val="start"/>
      <w:pPr>
        <w:tabs>
          <w:tab w:val="num" w:pos="0"/>
        </w:tabs>
        <w:ind w:start="3589" w:hanging="1080"/>
      </w:pPr>
    </w:lvl>
    <w:lvl w:ilvl="6">
      <w:start w:val="1"/>
      <w:numFmt w:val="decimal"/>
      <w:lvlText w:val="%1.%2.%3.%4.%5.%6.%7."/>
      <w:lvlJc w:val="start"/>
      <w:pPr>
        <w:tabs>
          <w:tab w:val="num" w:pos="0"/>
        </w:tabs>
        <w:ind w:start="4309" w:hanging="1440"/>
      </w:pPr>
    </w:lvl>
    <w:lvl w:ilvl="7">
      <w:start w:val="1"/>
      <w:numFmt w:val="decimal"/>
      <w:lvlText w:val="%1.%2.%3.%4.%5.%6.%7.%8."/>
      <w:lvlJc w:val="start"/>
      <w:pPr>
        <w:tabs>
          <w:tab w:val="num" w:pos="0"/>
        </w:tabs>
        <w:ind w:start="4669" w:hanging="1440"/>
      </w:pPr>
    </w:lvl>
    <w:lvl w:ilvl="8">
      <w:start w:val="1"/>
      <w:numFmt w:val="decimal"/>
      <w:lvlText w:val="%1.%2.%3.%4.%5.%6.%7.%8.%9."/>
      <w:lvlJc w:val="start"/>
      <w:pPr>
        <w:tabs>
          <w:tab w:val="num" w:pos="0"/>
        </w:tabs>
        <w:ind w:start="5389" w:hanging="180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08"/>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pPr>
    <w:rPr>
      <w:rFonts w:ascii="Calibri" w:hAnsi="Calibri" w:eastAsia="Calibri" w:cs="Calibri"/>
      <w:color w:val="auto"/>
      <w:sz w:val="22"/>
      <w:szCs w:val="22"/>
      <w:lang w:val="ru-RU" w:eastAsia="zh-CN" w:bidi="ar-SA"/>
    </w:rPr>
  </w:style>
  <w:style w:type="paragraph" w:styleId="Heading1">
    <w:name w:val="Heading 1"/>
    <w:basedOn w:val="Normal"/>
    <w:next w:val="Normal"/>
    <w:qFormat/>
    <w:pPr>
      <w:keepNext w:val="true"/>
      <w:numPr>
        <w:ilvl w:val="0"/>
        <w:numId w:val="1"/>
      </w:numPr>
      <w:spacing w:lineRule="auto" w:line="252" w:before="0" w:after="160"/>
      <w:jc w:val="both"/>
      <w:outlineLvl w:val="0"/>
    </w:pPr>
    <w:rPr>
      <w:rFonts w:ascii="Arial" w:hAnsi="Arial" w:cs="Arial"/>
      <w:b/>
      <w:bCs/>
      <w:sz w:val="20"/>
      <w:szCs w:val="20"/>
      <w:lang w:val="ru-RU"/>
    </w:rPr>
  </w:style>
  <w:style w:type="paragraph" w:styleId="Heading2">
    <w:name w:val="Heading 2"/>
    <w:basedOn w:val="Normal"/>
    <w:next w:val="BodyText"/>
    <w:qFormat/>
    <w:pPr>
      <w:keepNext w:val="true"/>
      <w:keepLines/>
      <w:numPr>
        <w:ilvl w:val="1"/>
        <w:numId w:val="1"/>
      </w:numPr>
      <w:spacing w:lineRule="auto" w:line="252" w:before="200" w:after="160"/>
      <w:outlineLvl w:val="1"/>
    </w:pPr>
    <w:rPr>
      <w:rFonts w:ascii="Cambria" w:hAnsi="Cambria" w:eastAsia="Times New Roman" w:cs="Cambria"/>
      <w:b/>
      <w:bCs/>
      <w:color w:val="4F81BD"/>
      <w:sz w:val="26"/>
      <w:szCs w:val="26"/>
      <w:lang w:val="ru-RU"/>
    </w:rPr>
  </w:style>
  <w:style w:type="paragraph" w:styleId="Heading3">
    <w:name w:val="Heading 3"/>
    <w:basedOn w:val="Normal"/>
    <w:next w:val="BodyText"/>
    <w:qFormat/>
    <w:pPr>
      <w:keepNext w:val="true"/>
      <w:keepLines/>
      <w:numPr>
        <w:ilvl w:val="2"/>
        <w:numId w:val="1"/>
      </w:numPr>
      <w:spacing w:lineRule="auto" w:line="252" w:before="200" w:after="160"/>
      <w:outlineLvl w:val="2"/>
    </w:pPr>
    <w:rPr>
      <w:rFonts w:ascii="Cambria" w:hAnsi="Cambria" w:eastAsia="Times New Roman" w:cs="Cambria"/>
      <w:b/>
      <w:bCs/>
      <w:color w:val="4F81BD"/>
      <w:sz w:val="32"/>
      <w:szCs w:val="20"/>
      <w:lang w:val="ru-RU"/>
    </w:rPr>
  </w:style>
  <w:style w:type="paragraph" w:styleId="Heading4">
    <w:name w:val="Heading 4"/>
    <w:basedOn w:val="Normal"/>
    <w:next w:val="Normal"/>
    <w:qFormat/>
    <w:pPr>
      <w:keepNext w:val="true"/>
      <w:keepLines/>
      <w:numPr>
        <w:ilvl w:val="3"/>
        <w:numId w:val="1"/>
      </w:numPr>
      <w:spacing w:lineRule="auto" w:line="252" w:before="200" w:after="160"/>
      <w:outlineLvl w:val="3"/>
    </w:pPr>
    <w:rPr>
      <w:rFonts w:ascii="Cambria" w:hAnsi="Cambria" w:eastAsia="Times New Roman" w:cs="Cambria"/>
      <w:b/>
      <w:bCs/>
      <w:i/>
      <w:iCs/>
      <w:color w:val="4F81BD"/>
      <w:sz w:val="20"/>
      <w:szCs w:val="20"/>
      <w:lang w:val="ru-RU"/>
    </w:rPr>
  </w:style>
  <w:style w:type="paragraph" w:styleId="Heading5">
    <w:name w:val="Heading 5"/>
    <w:basedOn w:val="Normal"/>
    <w:next w:val="Normal"/>
    <w:qFormat/>
    <w:pPr>
      <w:keepNext w:val="true"/>
      <w:keepLines/>
      <w:numPr>
        <w:ilvl w:val="4"/>
        <w:numId w:val="1"/>
      </w:numPr>
      <w:spacing w:lineRule="auto" w:line="252" w:before="200" w:after="160"/>
      <w:outlineLvl w:val="4"/>
    </w:pPr>
    <w:rPr>
      <w:rFonts w:ascii="Cambria" w:hAnsi="Cambria" w:eastAsia="Times New Roman" w:cs="Cambria"/>
      <w:color w:val="243F60"/>
      <w:sz w:val="20"/>
      <w:szCs w:val="20"/>
      <w:lang w:val="ru-RU"/>
    </w:rPr>
  </w:style>
  <w:style w:type="paragraph" w:styleId="Heading6">
    <w:name w:val="Heading 6"/>
    <w:basedOn w:val="Normal"/>
    <w:next w:val="Normal"/>
    <w:qFormat/>
    <w:pPr>
      <w:keepNext w:val="true"/>
      <w:keepLines/>
      <w:numPr>
        <w:ilvl w:val="5"/>
        <w:numId w:val="1"/>
      </w:numPr>
      <w:spacing w:lineRule="auto" w:line="252" w:before="200" w:after="160"/>
      <w:outlineLvl w:val="5"/>
    </w:pPr>
    <w:rPr>
      <w:rFonts w:ascii="Cambria" w:hAnsi="Cambria" w:eastAsia="Times New Roman" w:cs="Cambria"/>
      <w:i/>
      <w:iCs/>
      <w:color w:val="243F60"/>
      <w:sz w:val="20"/>
      <w:szCs w:val="20"/>
      <w:lang w:val="ru-RU"/>
    </w:rPr>
  </w:style>
  <w:style w:type="paragraph" w:styleId="Heading7">
    <w:name w:val="Heading 7"/>
    <w:basedOn w:val="Normal"/>
    <w:next w:val="Normal"/>
    <w:qFormat/>
    <w:pPr>
      <w:keepNext w:val="true"/>
      <w:keepLines/>
      <w:numPr>
        <w:ilvl w:val="6"/>
        <w:numId w:val="1"/>
      </w:numPr>
      <w:spacing w:lineRule="auto" w:line="252" w:before="200" w:after="160"/>
      <w:outlineLvl w:val="6"/>
    </w:pPr>
    <w:rPr>
      <w:rFonts w:ascii="Cambria" w:hAnsi="Cambria" w:eastAsia="Times New Roman" w:cs="Cambria"/>
      <w:i/>
      <w:iCs/>
      <w:color w:val="404040"/>
      <w:sz w:val="20"/>
      <w:szCs w:val="20"/>
      <w:lang w:val="ru-RU"/>
    </w:rPr>
  </w:style>
  <w:style w:type="paragraph" w:styleId="Heading8">
    <w:name w:val="Heading 8"/>
    <w:basedOn w:val="Normal"/>
    <w:next w:val="Normal"/>
    <w:qFormat/>
    <w:pPr>
      <w:keepNext w:val="true"/>
      <w:keepLines/>
      <w:numPr>
        <w:ilvl w:val="7"/>
        <w:numId w:val="1"/>
      </w:numPr>
      <w:spacing w:lineRule="auto" w:line="252" w:before="200" w:after="160"/>
      <w:outlineLvl w:val="7"/>
    </w:pPr>
    <w:rPr>
      <w:rFonts w:ascii="Cambria" w:hAnsi="Cambria" w:eastAsia="Times New Roman" w:cs="Cambria"/>
      <w:color w:val="404040"/>
      <w:sz w:val="20"/>
      <w:szCs w:val="20"/>
      <w:lang w:val="ru-RU"/>
    </w:rPr>
  </w:style>
  <w:style w:type="paragraph" w:styleId="Heading9">
    <w:name w:val="Heading 9"/>
    <w:basedOn w:val="Normal"/>
    <w:next w:val="Normal"/>
    <w:qFormat/>
    <w:pPr>
      <w:keepNext w:val="true"/>
      <w:keepLines/>
      <w:numPr>
        <w:ilvl w:val="8"/>
        <w:numId w:val="1"/>
      </w:numPr>
      <w:spacing w:lineRule="auto" w:line="252" w:before="200" w:after="160"/>
      <w:outlineLvl w:val="8"/>
    </w:pPr>
    <w:rPr>
      <w:rFonts w:ascii="Cambria" w:hAnsi="Cambria" w:eastAsia="Times New Roman" w:cs="Cambria"/>
      <w:i/>
      <w:iCs/>
      <w:color w:val="404040"/>
      <w:sz w:val="20"/>
      <w:szCs w:val="20"/>
      <w:lang w:val="ru-RU"/>
    </w:rPr>
  </w:style>
  <w:style w:type="character" w:styleId="WW8Num2z0">
    <w:name w:val="WW8Num2z0"/>
    <w:qFormat/>
    <w:rPr>
      <w:rFonts w:ascii="Times New Roman" w:hAnsi="Times New Roman" w:cs="Times New Roman"/>
      <w:b w:val="false"/>
      <w:bCs w:val="false"/>
      <w:i w:val="false"/>
      <w:iCs w:val="false"/>
      <w:caps w:val="false"/>
      <w:smallCaps w:val="false"/>
      <w:strike w:val="false"/>
      <w:dstrike w:val="false"/>
      <w:vanish w:val="false"/>
      <w:color w:val="000000"/>
      <w:spacing w:val="0"/>
      <w:kern w:val="0"/>
      <w:position w:val="0"/>
      <w:sz w:val="24"/>
      <w:sz w:val="24"/>
      <w:u w:val="none"/>
      <w:vertAlign w:val="baseline"/>
      <w:em w:val="none"/>
    </w:rPr>
  </w:style>
  <w:style w:type="character" w:styleId="WW8Num3z0">
    <w:name w:val="WW8Num3z0"/>
    <w:qFormat/>
    <w:rPr>
      <w:rFonts w:ascii="Times New Roman" w:hAnsi="Times New Roman" w:cs="Times New Roman"/>
      <w:b/>
      <w:sz w:val="24"/>
      <w:szCs w:val="24"/>
      <w:lang w:val="ru-RU" w:eastAsia="ru-RU"/>
    </w:rPr>
  </w:style>
  <w:style w:type="character" w:styleId="WW8Num4z0">
    <w:name w:val="WW8Num4z0"/>
    <w:qFormat/>
    <w:rPr>
      <w:rFonts w:ascii="Times New Roman" w:hAnsi="Times New Roman" w:cs="Times New Roman"/>
      <w:b/>
      <w:bCs/>
      <w:sz w:val="24"/>
      <w:szCs w:val="24"/>
      <w:lang w:val="en-US"/>
    </w:rPr>
  </w:style>
  <w:style w:type="character" w:styleId="Style5">
    <w:name w:val="Основной шрифт абзаца"/>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2">
    <w:name w:val="Основной шрифт абзаца2"/>
    <w:qFormat/>
    <w:rPr/>
  </w:style>
  <w:style w:type="character" w:styleId="WW8Num3z1">
    <w:name w:val="WW8Num3z1"/>
    <w:qFormat/>
    <w:rPr/>
  </w:style>
  <w:style w:type="character" w:styleId="WW8Num5z0">
    <w:name w:val="WW8Num5z0"/>
    <w:qFormat/>
    <w:rPr>
      <w:rFonts w:ascii="Times New Roman" w:hAnsi="Times New Roman" w:cs="Times New Roman"/>
      <w:b/>
      <w:bCs/>
      <w:sz w:val="24"/>
      <w:szCs w:val="24"/>
      <w:lang w:val="en-US"/>
    </w:rPr>
  </w:style>
  <w:style w:type="character" w:styleId="WW8Num5z1">
    <w:name w:val="WW8Num5z1"/>
    <w:qFormat/>
    <w:rPr/>
  </w:style>
  <w:style w:type="character" w:styleId="WW8Num2z1">
    <w:name w:val="WW8Num2z1"/>
    <w:qFormat/>
    <w:rPr/>
  </w:style>
  <w:style w:type="character" w:styleId="1">
    <w:name w:val="Основной шрифт абзаца1"/>
    <w:qFormat/>
    <w:rPr/>
  </w:style>
  <w:style w:type="character" w:styleId="11">
    <w:name w:val="Заголовок 1 Знак"/>
    <w:qFormat/>
    <w:rPr>
      <w:rFonts w:ascii="Arial" w:hAnsi="Arial" w:cs="Times New Roman"/>
      <w:b/>
      <w:bCs/>
    </w:rPr>
  </w:style>
  <w:style w:type="character" w:styleId="21">
    <w:name w:val="Заголовок 2 Знак"/>
    <w:qFormat/>
    <w:rPr>
      <w:rFonts w:ascii="Cambria" w:hAnsi="Cambria" w:eastAsia="Times New Roman" w:cs="Times New Roman"/>
      <w:b/>
      <w:bCs/>
      <w:color w:val="4F81BD"/>
      <w:sz w:val="26"/>
      <w:szCs w:val="26"/>
    </w:rPr>
  </w:style>
  <w:style w:type="character" w:styleId="3">
    <w:name w:val="Заголовок 3 Знак"/>
    <w:qFormat/>
    <w:rPr>
      <w:rFonts w:ascii="Cambria" w:hAnsi="Cambria" w:eastAsia="Times New Roman" w:cs="Times New Roman"/>
      <w:b/>
      <w:bCs/>
      <w:color w:val="4F81BD"/>
      <w:sz w:val="32"/>
    </w:rPr>
  </w:style>
  <w:style w:type="character" w:styleId="4">
    <w:name w:val="Заголовок 4 Знак"/>
    <w:qFormat/>
    <w:rPr>
      <w:rFonts w:ascii="Cambria" w:hAnsi="Cambria" w:eastAsia="Times New Roman" w:cs="Times New Roman"/>
      <w:b/>
      <w:bCs/>
      <w:i/>
      <w:iCs/>
      <w:color w:val="4F81BD"/>
    </w:rPr>
  </w:style>
  <w:style w:type="character" w:styleId="5">
    <w:name w:val="Заголовок 5 Знак"/>
    <w:qFormat/>
    <w:rPr>
      <w:rFonts w:ascii="Cambria" w:hAnsi="Cambria" w:eastAsia="Times New Roman" w:cs="Times New Roman"/>
      <w:color w:val="243F60"/>
    </w:rPr>
  </w:style>
  <w:style w:type="character" w:styleId="6">
    <w:name w:val="Заголовок 6 Знак"/>
    <w:qFormat/>
    <w:rPr>
      <w:rFonts w:ascii="Cambria" w:hAnsi="Cambria" w:eastAsia="Times New Roman" w:cs="Times New Roman"/>
      <w:i/>
      <w:iCs/>
      <w:color w:val="243F60"/>
    </w:rPr>
  </w:style>
  <w:style w:type="character" w:styleId="7">
    <w:name w:val="Заголовок 7 Знак"/>
    <w:qFormat/>
    <w:rPr>
      <w:rFonts w:ascii="Cambria" w:hAnsi="Cambria" w:eastAsia="Times New Roman" w:cs="Times New Roman"/>
      <w:i/>
      <w:iCs/>
      <w:color w:val="404040"/>
    </w:rPr>
  </w:style>
  <w:style w:type="character" w:styleId="8">
    <w:name w:val="Заголовок 8 Знак"/>
    <w:qFormat/>
    <w:rPr>
      <w:rFonts w:ascii="Cambria" w:hAnsi="Cambria" w:eastAsia="Times New Roman" w:cs="Times New Roman"/>
      <w:color w:val="404040"/>
      <w:sz w:val="20"/>
    </w:rPr>
  </w:style>
  <w:style w:type="character" w:styleId="9">
    <w:name w:val="Заголовок 9 Знак"/>
    <w:qFormat/>
    <w:rPr>
      <w:rFonts w:ascii="Cambria" w:hAnsi="Cambria" w:eastAsia="Times New Roman" w:cs="Times New Roman"/>
      <w:i/>
      <w:iCs/>
      <w:color w:val="404040"/>
      <w:sz w:val="20"/>
    </w:rPr>
  </w:style>
  <w:style w:type="character" w:styleId="Style6">
    <w:name w:val="Абзац списка Знак"/>
    <w:qFormat/>
    <w:rPr>
      <w:rFonts w:ascii="Calibri" w:hAnsi="Calibri" w:cs="Calibri"/>
    </w:rPr>
  </w:style>
  <w:style w:type="character" w:styleId="Style7">
    <w:name w:val="Название Знак"/>
    <w:qFormat/>
    <w:rPr>
      <w:b/>
    </w:rPr>
  </w:style>
  <w:style w:type="character" w:styleId="Style8">
    <w:name w:val="Подзаголовок Знак"/>
    <w:qFormat/>
    <w:rPr>
      <w:rFonts w:ascii="Cambria" w:hAnsi="Cambria" w:eastAsia="Times New Roman" w:cs="Times New Roman"/>
      <w:i/>
      <w:iCs/>
      <w:color w:val="4F81BD"/>
      <w:spacing w:val="15"/>
      <w:szCs w:val="24"/>
    </w:rPr>
  </w:style>
  <w:style w:type="character" w:styleId="Strong">
    <w:name w:val="Strong"/>
    <w:qFormat/>
    <w:rPr>
      <w:b/>
      <w:bCs/>
    </w:rPr>
  </w:style>
  <w:style w:type="character" w:styleId="Style9">
    <w:name w:val="Обычный (веб) Знак"/>
    <w:qFormat/>
    <w:rPr>
      <w:rFonts w:eastAsia="Times New Roman" w:cs="Arial"/>
      <w:szCs w:val="24"/>
    </w:rPr>
  </w:style>
  <w:style w:type="character" w:styleId="Style10">
    <w:name w:val="Выделенная цитата Знак"/>
    <w:qFormat/>
    <w:rPr>
      <w:b/>
      <w:bCs/>
      <w:i/>
      <w:iCs/>
      <w:color w:val="4F81BD"/>
    </w:rPr>
  </w:style>
  <w:style w:type="character" w:styleId="22">
    <w:name w:val="Выделенная цитата Знак2"/>
    <w:qFormat/>
    <w:rPr>
      <w:b/>
      <w:bCs/>
      <w:i/>
      <w:iCs/>
      <w:color w:val="4F81BD"/>
      <w:kern w:val="2"/>
      <w:sz w:val="28"/>
      <w:szCs w:val="28"/>
    </w:rPr>
  </w:style>
  <w:style w:type="character" w:styleId="Style11">
    <w:name w:val="Текст примечания Знак"/>
    <w:qFormat/>
    <w:rPr>
      <w:sz w:val="20"/>
      <w:szCs w:val="20"/>
    </w:rPr>
  </w:style>
  <w:style w:type="character" w:styleId="Style12">
    <w:name w:val="Тема примечания Знак"/>
    <w:qFormat/>
    <w:rPr>
      <w:b/>
      <w:bCs/>
      <w:sz w:val="20"/>
      <w:szCs w:val="20"/>
    </w:rPr>
  </w:style>
  <w:style w:type="character" w:styleId="Style13">
    <w:name w:val="Текст выноски Знак"/>
    <w:qFormat/>
    <w:rPr>
      <w:rFonts w:ascii="Tahoma" w:hAnsi="Tahoma" w:cs="Tahoma"/>
      <w:sz w:val="16"/>
      <w:szCs w:val="16"/>
    </w:rPr>
  </w:style>
  <w:style w:type="character" w:styleId="Style14">
    <w:name w:val="Текст сноски Знак"/>
    <w:qFormat/>
    <w:rPr>
      <w:sz w:val="20"/>
      <w:szCs w:val="20"/>
    </w:rPr>
  </w:style>
  <w:style w:type="character" w:styleId="Style15">
    <w:name w:val="Символ сноски"/>
    <w:qFormat/>
    <w:rPr>
      <w:vertAlign w:val="superscript"/>
    </w:rPr>
  </w:style>
  <w:style w:type="character" w:styleId="Style16">
    <w:name w:val="Верхний колонтитул Знак"/>
    <w:basedOn w:val="1"/>
    <w:qFormat/>
    <w:rPr/>
  </w:style>
  <w:style w:type="character" w:styleId="Style17">
    <w:name w:val="Нижний колонтитул Знак"/>
    <w:basedOn w:val="1"/>
    <w:qFormat/>
    <w:rPr/>
  </w:style>
  <w:style w:type="character" w:styleId="Auto-matches">
    <w:name w:val="auto-matches"/>
    <w:basedOn w:val="1"/>
    <w:qFormat/>
    <w:rPr/>
  </w:style>
  <w:style w:type="character" w:styleId="Fill">
    <w:name w:val="fill"/>
    <w:basedOn w:val="1"/>
    <w:qFormat/>
    <w:rPr/>
  </w:style>
  <w:style w:type="character" w:styleId="Hyperlink">
    <w:name w:val="Hyperlink"/>
    <w:rPr>
      <w:color w:val="0000FF"/>
      <w:u w:val="single"/>
    </w:rPr>
  </w:style>
  <w:style w:type="character" w:styleId="Matches">
    <w:name w:val="matches"/>
    <w:basedOn w:val="1"/>
    <w:qFormat/>
    <w:rPr/>
  </w:style>
  <w:style w:type="character" w:styleId="PageNumber">
    <w:name w:val="Page Number"/>
    <w:rPr>
      <w:rFonts w:ascii="Times New Roman" w:hAnsi="Times New Roman" w:cs="Times New Roman"/>
    </w:rPr>
  </w:style>
  <w:style w:type="character" w:styleId="Style18">
    <w:name w:val="Основной текст Знак"/>
    <w:qFormat/>
    <w:rPr>
      <w:rFonts w:ascii="Times New Roman" w:hAnsi="Times New Roman" w:eastAsia="Times New Roman" w:cs="Times New Roman"/>
      <w:sz w:val="24"/>
      <w:szCs w:val="24"/>
    </w:rPr>
  </w:style>
  <w:style w:type="character" w:styleId="Style19">
    <w:name w:val="Основной текст с отступом Знак"/>
    <w:qFormat/>
    <w:rPr>
      <w:sz w:val="22"/>
      <w:szCs w:val="22"/>
    </w:rPr>
  </w:style>
  <w:style w:type="character" w:styleId="Tztxt">
    <w:name w:val="tz_txt Знак"/>
    <w:qFormat/>
    <w:rPr>
      <w:rFonts w:ascii="Times New Roman" w:hAnsi="Times New Roman" w:eastAsia="Times New Roman" w:cs="Times New Roman"/>
      <w:sz w:val="24"/>
      <w:szCs w:val="24"/>
    </w:rPr>
  </w:style>
  <w:style w:type="character" w:styleId="ConsPlusNormal">
    <w:name w:val="ConsPlusNormal Знак"/>
    <w:qFormat/>
    <w:rPr>
      <w:rFonts w:ascii="Arial" w:hAnsi="Arial" w:eastAsia="Times New Roman" w:cs="Arial"/>
      <w:sz w:val="22"/>
      <w:szCs w:val="22"/>
      <w:lang w:bidi="ar-SA"/>
    </w:rPr>
  </w:style>
  <w:style w:type="character" w:styleId="12">
    <w:name w:val="Знак сноски1"/>
    <w:qFormat/>
    <w:rPr>
      <w:vertAlign w:val="superscript"/>
    </w:rPr>
  </w:style>
  <w:style w:type="character" w:styleId="Style20">
    <w:name w:val="Символ концевой сноски"/>
    <w:qFormat/>
    <w:rPr>
      <w:vertAlign w:val="superscript"/>
    </w:rPr>
  </w:style>
  <w:style w:type="character" w:styleId="WW-">
    <w:name w:val="WW-Символ концевой сноски"/>
    <w:qFormat/>
    <w:rPr/>
  </w:style>
  <w:style w:type="character" w:styleId="13">
    <w:name w:val="Знак концевой сноски1"/>
    <w:qFormat/>
    <w:rPr>
      <w:vertAlign w:val="superscript"/>
    </w:rPr>
  </w:style>
  <w:style w:type="character" w:styleId="Style21">
    <w:name w:val="Знак сноски"/>
    <w:qFormat/>
    <w:rPr>
      <w:vertAlign w:val="superscript"/>
    </w:rPr>
  </w:style>
  <w:style w:type="character" w:styleId="Style22">
    <w:name w:val="Знак концевой сноски"/>
    <w:qFormat/>
    <w:rPr>
      <w:vertAlign w:val="superscript"/>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23">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40" w:before="0" w:after="120"/>
      <w:jc w:val="both"/>
    </w:pPr>
    <w:rPr>
      <w:rFonts w:ascii="Times New Roman" w:hAnsi="Times New Roman" w:eastAsia="Times New Roman" w:cs="Times New Roman"/>
      <w:sz w:val="24"/>
      <w:szCs w:val="24"/>
      <w:lang w:val="ru-RU"/>
    </w:rPr>
  </w:style>
  <w:style w:type="paragraph" w:styleId="List">
    <w:name w:val="List"/>
    <w:basedOn w:val="BodyText"/>
    <w:pPr/>
    <w:rPr>
      <w:rFonts w:cs="Lohit Devanagari;Times New Roman"/>
    </w:rPr>
  </w:style>
  <w:style w:type="paragraph" w:styleId="Caption">
    <w:name w:val="Caption"/>
    <w:basedOn w:val="Normal"/>
    <w:qFormat/>
    <w:pPr>
      <w:suppressLineNumbers/>
      <w:spacing w:before="120" w:after="120"/>
    </w:pPr>
    <w:rPr>
      <w:rFonts w:cs="Lucida Sans"/>
      <w:i/>
      <w:iCs/>
      <w:sz w:val="24"/>
      <w:szCs w:val="24"/>
    </w:rPr>
  </w:style>
  <w:style w:type="paragraph" w:styleId="Style24">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14">
    <w:name w:val="Заголовок1"/>
    <w:basedOn w:val="Normal"/>
    <w:next w:val="BodyText"/>
    <w:qFormat/>
    <w:pPr>
      <w:suppressAutoHyphens w:val="true"/>
      <w:spacing w:lineRule="auto" w:line="252" w:before="0" w:after="160"/>
      <w:ind w:firstLine="709" w:start="0" w:end="0"/>
      <w:jc w:val="center"/>
    </w:pPr>
    <w:rPr>
      <w:b/>
      <w:sz w:val="20"/>
      <w:szCs w:val="20"/>
      <w:lang w:val="ru-RU"/>
    </w:rPr>
  </w:style>
  <w:style w:type="paragraph" w:styleId="Style25">
    <w:name w:val="Название объекта"/>
    <w:basedOn w:val="Normal"/>
    <w:qFormat/>
    <w:pPr>
      <w:suppressLineNumbers/>
      <w:spacing w:before="120" w:after="120"/>
    </w:pPr>
    <w:rPr>
      <w:rFonts w:cs="Lohit Devanagari;Times New Roman"/>
      <w:i/>
      <w:iCs/>
      <w:sz w:val="24"/>
      <w:szCs w:val="24"/>
    </w:rPr>
  </w:style>
  <w:style w:type="paragraph" w:styleId="23">
    <w:name w:val="Указатель2"/>
    <w:basedOn w:val="Normal"/>
    <w:qFormat/>
    <w:pPr>
      <w:suppressLineNumbers/>
    </w:pPr>
    <w:rPr>
      <w:rFonts w:cs="Lohit Devanagari;Times New Roman"/>
    </w:rPr>
  </w:style>
  <w:style w:type="paragraph" w:styleId="15">
    <w:name w:val="Название объекта1"/>
    <w:basedOn w:val="Normal"/>
    <w:qFormat/>
    <w:pPr>
      <w:suppressLineNumbers/>
      <w:spacing w:before="120" w:after="120"/>
    </w:pPr>
    <w:rPr>
      <w:rFonts w:cs="Lohit Devanagari;Times New Roman"/>
      <w:i/>
      <w:iCs/>
      <w:sz w:val="24"/>
      <w:szCs w:val="24"/>
    </w:rPr>
  </w:style>
  <w:style w:type="paragraph" w:styleId="16">
    <w:name w:val="Указатель1"/>
    <w:basedOn w:val="Normal"/>
    <w:qFormat/>
    <w:pPr>
      <w:suppressLineNumbers/>
    </w:pPr>
    <w:rPr>
      <w:rFonts w:cs="Lohit Devanagari;Times New Roman"/>
    </w:rPr>
  </w:style>
  <w:style w:type="paragraph" w:styleId="Style26">
    <w:name w:val="Абзац списка"/>
    <w:basedOn w:val="Normal"/>
    <w:qFormat/>
    <w:pPr>
      <w:spacing w:before="0" w:after="200"/>
      <w:ind w:hanging="0" w:start="720" w:end="0"/>
      <w:contextualSpacing/>
    </w:pPr>
    <w:rPr>
      <w:sz w:val="20"/>
      <w:szCs w:val="20"/>
      <w:lang w:val="ru-RU"/>
    </w:rPr>
  </w:style>
  <w:style w:type="paragraph" w:styleId="Subtitle">
    <w:name w:val="Subtitle"/>
    <w:basedOn w:val="Normal"/>
    <w:next w:val="Normal"/>
    <w:qFormat/>
    <w:pPr>
      <w:numPr>
        <w:ilvl w:val="0"/>
        <w:numId w:val="0"/>
      </w:numPr>
      <w:spacing w:lineRule="auto" w:line="252" w:before="0" w:after="160"/>
      <w:ind w:hanging="0" w:start="0" w:end="0"/>
    </w:pPr>
    <w:rPr>
      <w:rFonts w:ascii="Cambria" w:hAnsi="Cambria" w:eastAsia="Times New Roman" w:cs="Cambria"/>
      <w:i/>
      <w:iCs/>
      <w:color w:val="4F81BD"/>
      <w:spacing w:val="15"/>
      <w:sz w:val="20"/>
      <w:szCs w:val="24"/>
      <w:lang w:val="ru-RU"/>
    </w:rPr>
  </w:style>
  <w:style w:type="paragraph" w:styleId="Style27">
    <w:name w:val="Обычный (веб)"/>
    <w:basedOn w:val="Normal"/>
    <w:qFormat/>
    <w:pPr>
      <w:spacing w:lineRule="auto" w:line="252" w:before="280" w:after="280"/>
    </w:pPr>
    <w:rPr>
      <w:rFonts w:eastAsia="Times New Roman"/>
      <w:sz w:val="20"/>
      <w:szCs w:val="24"/>
      <w:lang w:val="ru-RU"/>
    </w:rPr>
  </w:style>
  <w:style w:type="paragraph" w:styleId="Style28">
    <w:name w:val="Выделенная цитата"/>
    <w:basedOn w:val="Normal"/>
    <w:next w:val="Normal"/>
    <w:qFormat/>
    <w:pPr>
      <w:pBdr>
        <w:bottom w:val="single" w:sz="4" w:space="4" w:color="4F81BD"/>
      </w:pBdr>
      <w:spacing w:lineRule="auto" w:line="252" w:before="200" w:after="280"/>
      <w:ind w:hanging="0" w:start="936" w:end="936"/>
    </w:pPr>
    <w:rPr>
      <w:b/>
      <w:bCs/>
      <w:i/>
      <w:iCs/>
      <w:color w:val="4F81BD"/>
      <w:sz w:val="20"/>
      <w:szCs w:val="20"/>
      <w:lang w:val="ru-RU"/>
    </w:rPr>
  </w:style>
  <w:style w:type="paragraph" w:styleId="Style29">
    <w:name w:val="Без интервала"/>
    <w:qFormat/>
    <w:pPr>
      <w:widowControl/>
      <w:suppressAutoHyphens w:val="true"/>
      <w:bidi w:val="0"/>
    </w:pPr>
    <w:rPr>
      <w:rFonts w:ascii="Times New Roman" w:hAnsi="Times New Roman" w:eastAsia="Calibri" w:cs="Times New Roman"/>
      <w:color w:val="auto"/>
      <w:sz w:val="24"/>
      <w:szCs w:val="20"/>
      <w:lang w:val="ru-RU" w:eastAsia="zh-CN" w:bidi="ar-SA"/>
    </w:rPr>
  </w:style>
  <w:style w:type="paragraph" w:styleId="Style110">
    <w:name w:val="Style1"/>
    <w:qFormat/>
    <w:pPr>
      <w:widowControl w:val="false"/>
      <w:suppressAutoHyphens w:val="true"/>
      <w:autoSpaceDE w:val="false"/>
      <w:bidi w:val="0"/>
    </w:pPr>
    <w:rPr>
      <w:rFonts w:ascii="Calibri" w:hAnsi="Calibri" w:eastAsia="Times New Roman" w:cs="Calibri"/>
      <w:color w:val="auto"/>
      <w:sz w:val="22"/>
      <w:szCs w:val="20"/>
      <w:lang w:val="ru-RU" w:eastAsia="zh-CN" w:bidi="ar-SA"/>
    </w:rPr>
  </w:style>
  <w:style w:type="paragraph" w:styleId="17">
    <w:name w:val="Текст примечания1"/>
    <w:basedOn w:val="Normal"/>
    <w:qFormat/>
    <w:pPr>
      <w:spacing w:lineRule="auto" w:line="240" w:before="0" w:after="160"/>
    </w:pPr>
    <w:rPr>
      <w:sz w:val="20"/>
      <w:szCs w:val="20"/>
      <w:lang w:val="ru-RU"/>
    </w:rPr>
  </w:style>
  <w:style w:type="paragraph" w:styleId="Style30">
    <w:name w:val="Тема примечания"/>
    <w:basedOn w:val="17"/>
    <w:next w:val="17"/>
    <w:qFormat/>
    <w:pPr/>
    <w:rPr>
      <w:b/>
      <w:bCs/>
    </w:rPr>
  </w:style>
  <w:style w:type="paragraph" w:styleId="Style31">
    <w:name w:val="Текст выноски"/>
    <w:basedOn w:val="Normal"/>
    <w:qFormat/>
    <w:pPr>
      <w:spacing w:lineRule="auto" w:line="240" w:before="0" w:after="0"/>
    </w:pPr>
    <w:rPr>
      <w:rFonts w:ascii="Tahoma" w:hAnsi="Tahoma" w:cs="Tahoma"/>
      <w:sz w:val="16"/>
      <w:szCs w:val="16"/>
      <w:lang w:val="ru-RU"/>
    </w:rPr>
  </w:style>
  <w:style w:type="paragraph" w:styleId="FootnoteText">
    <w:name w:val="Footnote Text"/>
    <w:basedOn w:val="Normal"/>
    <w:pPr>
      <w:spacing w:lineRule="auto" w:line="240" w:before="0" w:after="0"/>
    </w:pPr>
    <w:rPr>
      <w:sz w:val="20"/>
      <w:szCs w:val="20"/>
      <w:lang w:val="ru-RU"/>
    </w:rPr>
  </w:style>
  <w:style w:type="paragraph" w:styleId="Style32">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before="0" w:after="0"/>
    </w:pPr>
    <w:rPr/>
  </w:style>
  <w:style w:type="paragraph" w:styleId="Footer">
    <w:name w:val="Footer"/>
    <w:basedOn w:val="Normal"/>
    <w:pPr>
      <w:tabs>
        <w:tab w:val="clear" w:pos="708"/>
        <w:tab w:val="center" w:pos="4677" w:leader="none"/>
        <w:tab w:val="right" w:pos="9355" w:leader="none"/>
      </w:tabs>
      <w:spacing w:lineRule="auto" w:line="240" w:before="0" w:after="0"/>
    </w:pPr>
    <w:rPr/>
  </w:style>
  <w:style w:type="paragraph" w:styleId="BodyTextIndent">
    <w:name w:val="Body Text Indent"/>
    <w:basedOn w:val="Normal"/>
    <w:pPr>
      <w:spacing w:before="0" w:after="120"/>
      <w:ind w:hanging="0" w:start="283" w:end="0"/>
    </w:pPr>
    <w:rPr>
      <w:lang w:val="ru-RU"/>
    </w:rPr>
  </w:style>
  <w:style w:type="paragraph" w:styleId="18">
    <w:name w:val="Список многоуровневый 1"/>
    <w:basedOn w:val="Normal"/>
    <w:qFormat/>
    <w:pPr>
      <w:numPr>
        <w:ilvl w:val="0"/>
        <w:numId w:val="2"/>
      </w:numPr>
      <w:spacing w:lineRule="auto" w:line="360" w:before="20" w:after="20"/>
    </w:pPr>
    <w:rPr>
      <w:rFonts w:ascii="Times New Roman" w:hAnsi="Times New Roman" w:eastAsia="Times New Roman" w:cs="Times New Roman"/>
      <w:szCs w:val="24"/>
    </w:rPr>
  </w:style>
  <w:style w:type="paragraph" w:styleId="Tztxt1">
    <w:name w:val="tz_txt"/>
    <w:basedOn w:val="Normal"/>
    <w:qFormat/>
    <w:pPr>
      <w:spacing w:lineRule="auto" w:line="240" w:before="0" w:after="120"/>
      <w:ind w:firstLine="709" w:start="0" w:end="0"/>
      <w:jc w:val="both"/>
    </w:pPr>
    <w:rPr>
      <w:rFonts w:ascii="Times New Roman" w:hAnsi="Times New Roman" w:eastAsia="Times New Roman" w:cs="Times New Roman"/>
      <w:sz w:val="24"/>
      <w:szCs w:val="24"/>
      <w:lang w:val="ru-RU"/>
    </w:rPr>
  </w:style>
  <w:style w:type="paragraph" w:styleId="19">
    <w:name w:val="Заголовок таблицы ссылок1"/>
    <w:basedOn w:val="Normal"/>
    <w:next w:val="Normal"/>
    <w:qFormat/>
    <w:pPr>
      <w:spacing w:lineRule="auto" w:line="360" w:before="120" w:after="0"/>
      <w:ind w:firstLine="709" w:start="0" w:end="0"/>
      <w:jc w:val="both"/>
    </w:pPr>
    <w:rPr>
      <w:rFonts w:ascii="Times New Roman" w:hAnsi="Times New Roman" w:eastAsia="Times New Roman" w:cs="Times New Roman"/>
      <w:b/>
      <w:sz w:val="24"/>
      <w:szCs w:val="20"/>
    </w:rPr>
  </w:style>
  <w:style w:type="paragraph" w:styleId="Style33">
    <w:name w:val="Стиль"/>
    <w:qFormat/>
    <w:pPr>
      <w:widowControl w:val="false"/>
      <w:suppressAutoHyphens w:val="true"/>
      <w:autoSpaceDE w:val="false"/>
      <w:bidi w:val="0"/>
    </w:pPr>
    <w:rPr>
      <w:rFonts w:ascii="Times New Roman" w:hAnsi="Times New Roman" w:eastAsia="Times New Roman" w:cs="Times New Roman"/>
      <w:color w:val="auto"/>
      <w:sz w:val="24"/>
      <w:szCs w:val="24"/>
      <w:lang w:val="ru-RU" w:eastAsia="zh-CN" w:bidi="ar-SA"/>
    </w:rPr>
  </w:style>
  <w:style w:type="paragraph" w:styleId="Western">
    <w:name w:val="western"/>
    <w:basedOn w:val="Normal"/>
    <w:qFormat/>
    <w:pPr>
      <w:spacing w:lineRule="auto" w:line="240" w:before="280" w:after="280"/>
    </w:pPr>
    <w:rPr>
      <w:rFonts w:ascii="Times New Roman" w:hAnsi="Times New Roman" w:eastAsia="Times New Roman" w:cs="Times New Roman"/>
      <w:sz w:val="24"/>
      <w:szCs w:val="24"/>
    </w:rPr>
  </w:style>
  <w:style w:type="paragraph" w:styleId="HEADERTEXT">
    <w:name w:val=".HEADERTEXT"/>
    <w:qFormat/>
    <w:pPr>
      <w:widowControl w:val="false"/>
      <w:suppressAutoHyphens w:val="true"/>
      <w:autoSpaceDE w:val="false"/>
      <w:bidi w:val="0"/>
    </w:pPr>
    <w:rPr>
      <w:rFonts w:ascii="Arial" w:hAnsi="Arial" w:eastAsia="Times New Roman" w:cs="Arial"/>
      <w:color w:val="2B4279"/>
      <w:sz w:val="22"/>
      <w:szCs w:val="22"/>
      <w:lang w:val="ru-RU" w:eastAsia="zh-CN" w:bidi="ar-SA"/>
    </w:rPr>
  </w:style>
  <w:style w:type="paragraph" w:styleId="131">
    <w:name w:val="Знак1 Знак Знак Знак Знак Знак Знак Знак Знак Знак3"/>
    <w:basedOn w:val="Normal"/>
    <w:next w:val="Heading2"/>
    <w:qFormat/>
    <w:pPr>
      <w:spacing w:lineRule="auto" w:line="240" w:before="0" w:after="0"/>
      <w:jc w:val="both"/>
    </w:pPr>
    <w:rPr>
      <w:rFonts w:ascii="Times New Roman" w:hAnsi="Times New Roman" w:eastAsia="Times New Roman" w:cs="Times New Roman"/>
      <w:b/>
      <w:bCs/>
    </w:rPr>
  </w:style>
  <w:style w:type="paragraph" w:styleId="ConsPlusNormal1">
    <w:name w:val="ConsPlusNormal"/>
    <w:qFormat/>
    <w:pPr>
      <w:widowControl w:val="false"/>
      <w:suppressAutoHyphens w:val="true"/>
      <w:autoSpaceDE w:val="false"/>
      <w:bidi w:val="0"/>
      <w:ind w:firstLine="720" w:start="0" w:end="0"/>
    </w:pPr>
    <w:rPr>
      <w:rFonts w:ascii="Arial" w:hAnsi="Arial" w:eastAsia="Times New Roman" w:cs="Arial"/>
      <w:color w:val="auto"/>
      <w:sz w:val="22"/>
      <w:szCs w:val="22"/>
      <w:lang w:val="ru-RU" w:eastAsia="zh-CN" w:bidi="ar-SA"/>
    </w:rPr>
  </w:style>
  <w:style w:type="paragraph" w:styleId="Style34">
    <w:name w:val="Содержимое таблицы"/>
    <w:basedOn w:val="Normal"/>
    <w:qFormat/>
    <w:pPr>
      <w:suppressLineNumbers/>
    </w:pPr>
    <w:rPr/>
  </w:style>
  <w:style w:type="paragraph" w:styleId="Style35">
    <w:name w:val="Заголовок таблицы"/>
    <w:basedOn w:val="Style34"/>
    <w:qFormat/>
    <w:pPr>
      <w:suppressLineNumbers/>
      <w:jc w:val="center"/>
    </w:pPr>
    <w:rPr>
      <w:b/>
      <w:bCs/>
    </w:rPr>
  </w:style>
  <w:style w:type="paragraph" w:styleId="NoSpacing">
    <w:name w:val="No Spacing"/>
    <w:qFormat/>
    <w:pPr>
      <w:widowControl/>
      <w:suppressAutoHyphens w:val="true"/>
      <w:bidi w:val="0"/>
    </w:pPr>
    <w:rPr>
      <w:rFonts w:ascii="Calibri" w:hAnsi="Calibri" w:eastAsia="Times New Roman" w:cs="Calibri"/>
      <w:color w:val="auto"/>
      <w:sz w:val="24"/>
      <w:szCs w:val="24"/>
      <w:lang w:val="ru-RU" w:eastAsia="zh-CN" w:bidi="hi-I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296</TotalTime>
  <Application>LibreOffice/7.6.4.1$Windows_X86_64 LibreOffice_project/e19e193f88cd6c0525a17fb7a176ed8e6a3e2aa1</Application>
  <AppVersion>15.0000</AppVersion>
  <Pages>13</Pages>
  <Words>5229</Words>
  <Characters>38655</Characters>
  <CharactersWithSpaces>44320</CharactersWithSpaces>
  <Paragraphs>277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2024-04-03T01:44:00Z</dcterms:created>
  <dc:creator>Литвинов Александр Витальевич</dc:creator>
  <dc:description>Подготовлено на базе материалов БСС «Система Главбух»</dc:description>
  <dc:language>ru-RU</dc:language>
  <cp:lastModifiedBy/>
  <cp:lastPrinted>2024-04-17T09:20:00Z</cp:lastPrinted>
  <dcterms:modified xsi:type="dcterms:W3CDTF">2026-08-03T17:25:01Z</dcterms:modified>
  <cp:revision>15</cp:revision>
  <dc:subject/>
  <dc:title>Документация электронного открытого конкурса</dc:title>
</cp:coreProperties>
</file>