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"/>
        <w:gridCol w:w="1110"/>
        <w:gridCol w:w="1907"/>
        <w:gridCol w:w="2625"/>
        <w:gridCol w:w="1442"/>
        <w:gridCol w:w="1461"/>
        <w:gridCol w:w="1395"/>
        <w:gridCol w:w="1395"/>
        <w:gridCol w:w="1749"/>
        <w:gridCol w:w="984"/>
      </w:tblGrid>
      <w:tr w:rsidR="00440FDC" w:rsidRPr="00440FDC" w:rsidTr="00440FDC">
        <w:trPr>
          <w:trHeight w:val="240"/>
        </w:trPr>
        <w:tc>
          <w:tcPr>
            <w:tcW w:w="49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КТРУ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по КТРУ</w:t>
            </w:r>
          </w:p>
        </w:tc>
        <w:tc>
          <w:tcPr>
            <w:tcW w:w="2796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Тип характеристики</w:t>
            </w:r>
          </w:p>
        </w:tc>
        <w:tc>
          <w:tcPr>
            <w:tcW w:w="1428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421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Значение параметра</w:t>
            </w:r>
          </w:p>
        </w:tc>
        <w:tc>
          <w:tcPr>
            <w:tcW w:w="1358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Инструкция</w:t>
            </w:r>
          </w:p>
        </w:tc>
        <w:tc>
          <w:tcPr>
            <w:tcW w:w="1700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Обоснование дополнительных характеристик</w:t>
            </w:r>
          </w:p>
        </w:tc>
        <w:tc>
          <w:tcPr>
            <w:tcW w:w="960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Единица измерения</w:t>
            </w: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7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 Указывают в заявке диапазон значений характеристики</w:t>
            </w:r>
          </w:p>
        </w:tc>
        <w:tc>
          <w:tcPr>
            <w:tcW w:w="170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7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 Указывают в заявке конкретное значение характеристики</w:t>
            </w:r>
          </w:p>
        </w:tc>
        <w:tc>
          <w:tcPr>
            <w:tcW w:w="170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7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Указывают в заявке только одно значение характеристики</w:t>
            </w:r>
          </w:p>
        </w:tc>
        <w:tc>
          <w:tcPr>
            <w:tcW w:w="170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7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 Указывают в заявке одно или несколько значений характеристики</w:t>
            </w:r>
          </w:p>
        </w:tc>
        <w:tc>
          <w:tcPr>
            <w:tcW w:w="170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 Указывают в заявке все значения характеристики</w:t>
            </w:r>
          </w:p>
        </w:tc>
        <w:tc>
          <w:tcPr>
            <w:tcW w:w="170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7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 Значение характеристики не может изменяться участником закупки</w:t>
            </w:r>
          </w:p>
        </w:tc>
        <w:tc>
          <w:tcPr>
            <w:tcW w:w="170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7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96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Выбирается одно из условий и указывается для каждой характеристики</w:t>
            </w:r>
          </w:p>
        </w:tc>
        <w:tc>
          <w:tcPr>
            <w:tcW w:w="170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300"/>
        </w:trPr>
        <w:tc>
          <w:tcPr>
            <w:tcW w:w="492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22.19.60.119-00000002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неопудренные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, нестерильные</w:t>
            </w: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Характеристики товаров согласно КТРУ - отсутствуют</w:t>
            </w:r>
          </w:p>
        </w:tc>
        <w:tc>
          <w:tcPr>
            <w:tcW w:w="960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Пара (2шт)</w:t>
            </w: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Дополнительные характеристики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пальцев)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0,11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обеспечения механической прочности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ладони)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0,08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Указывают в заявке конкретное </w:t>
            </w:r>
            <w:r w:rsidRPr="00440F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Для обеспечения механической прочности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Длина перчатки 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240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фиксации на предплечье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Отделка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Текстурный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ресунок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в области пальцев 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Согласно п.3.3. ГОСТ Р 52239-2024 для минимизации риска возникновения контактного дерматита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Размер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применения у специалистов с различными антропометрическими данными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300"/>
        </w:trPr>
        <w:tc>
          <w:tcPr>
            <w:tcW w:w="492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22.19.60.119-00000002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неопудренные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, нестерильные</w:t>
            </w: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Характеристики товаров согласно КТРУ - отсутствуют</w:t>
            </w:r>
          </w:p>
        </w:tc>
        <w:tc>
          <w:tcPr>
            <w:tcW w:w="960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Пара (2шт)</w:t>
            </w: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Дополнительные характеристики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30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пальцев)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0,30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обеспечения механической прочности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65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ладони)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0,25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обеспечения механической прочности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Длина перчатки 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290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защиты предплечья в условиях повышенного риска инфицирования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Манжета перчаток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Закатана в венчик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Согласно прим. 2. П.3 ГОСТ Р 52239-2024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Отделка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Текстурный рисунок крупный (не микротекстура), без опудривания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Согласно п.3.3. ГОСТ Р 52239-2004, п. 3.5. МР 3.5.1.0113-16 - крупный (выраженный) текстурный рисунок необходим для удержания инструмента во влажной среде, а отсутствие пудры для минимизации риска возникновения контактного дерматита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168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Внутреннее полимерное покрытие содержит увлажняющий компонент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Алое-вера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 увлажнения и ухода за кожей рук, предотвращения разрушения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гидролипидного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слоя кожи, минимизации риска воспаления рук в процессе использования перчаток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Размер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S, M, L по заявке заказчика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применения у специалистов с различными антропометрическими данными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22.19.60.119-00000002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неопудренные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, нестерильные</w:t>
            </w: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Характеристики товаров согласно КТРУ - отсутствуют</w:t>
            </w:r>
          </w:p>
        </w:tc>
        <w:tc>
          <w:tcPr>
            <w:tcW w:w="960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Пара (2шт)</w:t>
            </w: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Дополнительные характеристики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пальцев)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0,11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обеспечения механической прочности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ладони)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0,08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обеспечения механической прочности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Длина перчатки 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240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фиксации на предплечье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Отделка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Текстурный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ресунок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в области пальцев 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Согласно п.3.3. ГОСТ Р 52239-2024 для минимизации риска возникновения контактного дерматита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Размер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применения у специалистов с различными антропометрическими данными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22.19.60.119-00000002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неопудренные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, нестерильные</w:t>
            </w: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Характеристики товаров согласно КТРУ - отсутствуют</w:t>
            </w:r>
          </w:p>
        </w:tc>
        <w:tc>
          <w:tcPr>
            <w:tcW w:w="960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Пара (2шт)</w:t>
            </w: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Дополнительные характеристики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65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пальцев)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0,11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обеспечения механической прочности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ладони)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0,11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обеспечения механической прочности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Длина перчатки 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275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защиты предплечья в условиях повышенного риска инфицирования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Отделка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Текстурный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ресунок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в области пальцев и ладони, без опудривания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Согласно п.3.3. ГОСТ Р 52239-2024 для минимизации риска возникновения контактного дерматита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Внутреннее покрытие поверхности перчатки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Нитриловое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минимизации риска аллергических реакций и усиления барьерных свойств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Манжета перчаток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Закатана в венчик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Согласно прим. 2. П.3 ГОСТ Р 52239-2024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Размер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S, M, L по заявке заказчика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применения у специалистов с различными антропометрическими данными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22.19.60.119-00000002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неопудренные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, нестерильные</w:t>
            </w: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Характеристики товаров согласно КТРУ - отсутствуют</w:t>
            </w:r>
          </w:p>
        </w:tc>
        <w:tc>
          <w:tcPr>
            <w:tcW w:w="960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Пара (2шт)</w:t>
            </w: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Дополнительные характеристики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пальцев)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0,11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обеспечения механической прочности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ладони)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0,11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обеспечения механической прочности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Длина перчатки 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275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защиты предплечья в условиях повышенного риска инфицирования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Отделка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Текстурный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ресунок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в области пальцев и ладони, без опудривания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Согласно п.3.3. ГОСТ Р 52239-2024 для минимизации риска возникновения контактного дерматита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168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Внутреннее полимерное покрытие содержит увлажняющий компонент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Алое-вера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увлажнения и ухода за кожей рук, предотвращения разрушения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гидролипидного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слоя кожи, минимизации риска воспаления рук в процессе использования перчаток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Манжета перчаток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Закатана в венчик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Согласно прим. 2. П.3 ГОСТ Р 52239-2024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Размер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S, M, L по заявке заказчика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применения у специалистов с различными антропометрическими данными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22.19.60.119-00000008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Перчатки смотровые/процедурные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нитриловые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неопудренные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, нестерильные</w:t>
            </w: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Характеристики товаров согласно КТРУ - отсутствуют</w:t>
            </w:r>
          </w:p>
        </w:tc>
        <w:tc>
          <w:tcPr>
            <w:tcW w:w="960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Пара (2шт)</w:t>
            </w: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Дополнительные характеристики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пальцев)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0,15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обеспечения механической прочности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ладони)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0,11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обеспечения механической прочности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Длина перчатки 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290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защиты предплечья в условиях повышенного риска инфицирования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1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Внутреннее полимерное покрытие содержит увлажняющий компонент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Указать компонент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увлажнения и ухода за кожей рук, предотвращения разрушения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гидролипидного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слоя кожи, минимизации риска воспаления кожи рук в процессе использования перчаток, обеспечения комфортного использования и надевания.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Отделка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Текстурный рисунок крупный (не микротекстура), без опудривания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Согласно ГОСТ Р 52239-2024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Размер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S, M, L по заявке заказчика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применения у специалистов с различными антропометрическими данными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22.19.60.119-00000002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неопудренные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, нестерильные</w:t>
            </w: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Характеристики товаров согласно КТРУ - отсутствуют</w:t>
            </w:r>
          </w:p>
        </w:tc>
        <w:tc>
          <w:tcPr>
            <w:tcW w:w="960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Пара (2шт)</w:t>
            </w: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Дополнительные характеристики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пальцев)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0,11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обеспечения механической прочности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Одинарная толщина (в области ладони)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0,08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обеспечения механической прочности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Длина перчатки 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240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фиксации на предплечье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Отделка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Текстурный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ресунок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в области пальцев 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Согласно п.3.3. ГОСТ Р 52239-2024 для минимизации риска возникновения контактного дерматита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Размер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L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применения у специалистов с различными антропометрическими данными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300"/>
        </w:trPr>
        <w:tc>
          <w:tcPr>
            <w:tcW w:w="492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32.50.50.000-00210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Набор базовый для внутривенных вливаний</w:t>
            </w: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Характеристики товаров согласно КТРУ </w:t>
            </w:r>
          </w:p>
        </w:tc>
        <w:tc>
          <w:tcPr>
            <w:tcW w:w="960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Диаметр инъекционной иглы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0.3  и  ≤ 0.8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 соответствии с КТРУ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Длина соединительной трубки 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&gt; 2300  и  ≤ 6000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 соответствии с КТРУ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Регулятор тока жидкости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Роликовый 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 соответствии с КТРУ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Трансфузионная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игла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Полимерная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 соответствии с КТРУ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30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Дополнительные характеристики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Капельная камера прозрачная, с встроенным воздушным клапаном и фильтром, а также жидкостным фильтром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фильтрации переливаемой жидкости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Размер пор жидкостного фильтра в капельной камере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≤ 0,016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фильтрации переливаемой жидкости и обеспечения необходимой пропускной способности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Дополнительный инъекционный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безыгольный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Y-образный порт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экстренного введения дополнительных лекарственных средств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120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Инженерная защита от случайного укола иглой и повторного использования изделия 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Интегрированный в канюлю  иглы защитный колпачок , который надевается и безвозвратно фиксируется  на игле без возможности ее снятия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 соответствии с СанПиН 3.3686-21 "Санитарно-эпидемиологические требования по профилактике инфекционных болезней"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Упаковка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Единая индивидуальная стерильная полимерная 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обеспечения сохранности и стерильности изделия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Количество защитных колпачков для иглы к емкости и для инъекционной иглы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  ≥ 2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минимизации риска случайного укола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Тип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коннектера</w:t>
            </w:r>
            <w:proofErr w:type="spellEnd"/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Луер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" (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Луер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слип) 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обеспечения надежного соединения инъекционной иглы с системой.     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168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Класс потенциального риска медицинского изделия в соответствии с регистрационным удостоверением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≥ 2а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возможности введения в организм пациента лекарственных средств или других </w:t>
            </w:r>
            <w:proofErr w:type="gram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веществ  в</w:t>
            </w:r>
            <w:proofErr w:type="gram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соответствии с п. 5.3.3 ГОСТ 31508-2012). </w:t>
            </w:r>
            <w:r w:rsidRPr="00440FDC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32.50.50.000-00234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Набор базовый для внутривенных вливаний</w:t>
            </w: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Характеристики товаров согласно КТРУ </w:t>
            </w:r>
          </w:p>
        </w:tc>
        <w:tc>
          <w:tcPr>
            <w:tcW w:w="960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Диаметр инъекционной иглы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0.3  и  ≤ 0.8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 соответствии с КТРУ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Длина соединительной трубки 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&gt; 1300  и  ≤ 1800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 соответствии с КТРУ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Регулятор тока жидкости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Роликовый 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 соответствии с КТРУ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Трансфузионная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игла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Полимерная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 соответствии с КТРУ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1" w:type="dxa"/>
            <w:gridSpan w:val="6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Дополнительные характеристики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96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Капельная камера прозрачная, с встроенным воздушным клапаном и фильтром, а также жидкостным фильтром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фильтрации переливаемой жидкости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Упаковка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Единая индивидуальная стерильная полимерная 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обеспечения сохранности и стерильности изделия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Количество защитных колпачков для иглы к емкости и для инъекционной иглы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  ≥ 2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минимизации риска случайного укола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Тип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коннектера</w:t>
            </w:r>
            <w:proofErr w:type="spellEnd"/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Луер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" (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Луер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слип) 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обеспечения надежного соединения инъекционной иглы с системой.     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585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Класс потенциального риска медицинского изделия в соответствии с регистрационным удостоверением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≥ 2а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Для возможности введения в организм пациента лекарственных средств или других </w:t>
            </w:r>
            <w:proofErr w:type="gram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веществ  в</w:t>
            </w:r>
            <w:proofErr w:type="gram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 соответствии с п. 5.3.3 ГОСТ 31508-2012). </w:t>
            </w:r>
            <w:r w:rsidRPr="00440FDC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82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32.50.50.190 </w:t>
            </w:r>
          </w:p>
        </w:tc>
        <w:tc>
          <w:tcPr>
            <w:tcW w:w="1965" w:type="dxa"/>
            <w:vMerge w:val="restart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Капилляр для забора крови</w:t>
            </w:r>
          </w:p>
        </w:tc>
        <w:tc>
          <w:tcPr>
            <w:tcW w:w="10061" w:type="dxa"/>
            <w:gridSpan w:val="6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Характеристики товаров согласно КТРУ - отсутствуют</w:t>
            </w:r>
          </w:p>
        </w:tc>
        <w:tc>
          <w:tcPr>
            <w:tcW w:w="960" w:type="dxa"/>
            <w:vMerge w:val="restart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</w:tr>
      <w:tr w:rsidR="00440FDC" w:rsidRPr="00440FDC" w:rsidTr="00440FDC">
        <w:trPr>
          <w:trHeight w:val="2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1" w:type="dxa"/>
            <w:gridSpan w:val="6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Дополнительные характеристики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Назначение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Для забора капиллярной крови с последующим проведением гематологических исследований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Обусловлено потребностью Заказчика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144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Кач</w:t>
            </w:r>
            <w:proofErr w:type="spellEnd"/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Материал изготовления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капиляра</w:t>
            </w:r>
            <w:proofErr w:type="spellEnd"/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Стекло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Обладает оптимальной </w:t>
            </w:r>
            <w:proofErr w:type="spellStart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смачиваемостью</w:t>
            </w:r>
            <w:proofErr w:type="spellEnd"/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, не вступает в реакцию с кровью, прозрачно для визуального контроля заполнения и центрифугирования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Внутренний диаметр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 xml:space="preserve">≥ 1 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Оптимальный размер для быстрого забора достаточного объема капиллярной крови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Внешний диаметр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1.8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Оптимальный размер для быстрого забора достаточного объема капиллярной крови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FDC" w:rsidRPr="00440FDC" w:rsidTr="00440FDC">
        <w:trPr>
          <w:trHeight w:val="720"/>
        </w:trPr>
        <w:tc>
          <w:tcPr>
            <w:tcW w:w="49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6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Кол</w:t>
            </w:r>
          </w:p>
        </w:tc>
        <w:tc>
          <w:tcPr>
            <w:tcW w:w="142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Длина</w:t>
            </w:r>
          </w:p>
        </w:tc>
        <w:tc>
          <w:tcPr>
            <w:tcW w:w="1421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≥ 90</w:t>
            </w:r>
          </w:p>
        </w:tc>
        <w:tc>
          <w:tcPr>
            <w:tcW w:w="1358" w:type="dxa"/>
            <w:noWrap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Миллиметр</w:t>
            </w:r>
          </w:p>
        </w:tc>
        <w:tc>
          <w:tcPr>
            <w:tcW w:w="1358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Указывают в заявке конкретное значение характеристики</w:t>
            </w:r>
          </w:p>
        </w:tc>
        <w:tc>
          <w:tcPr>
            <w:tcW w:w="1700" w:type="dxa"/>
            <w:hideMark/>
          </w:tcPr>
          <w:p w:rsidR="00440FDC" w:rsidRPr="00440FDC" w:rsidRDefault="00440FDC" w:rsidP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0FDC">
              <w:rPr>
                <w:rFonts w:ascii="Times New Roman" w:hAnsi="Times New Roman" w:cs="Times New Roman"/>
                <w:sz w:val="16"/>
                <w:szCs w:val="16"/>
              </w:rPr>
              <w:t>Оптимальный размер для быстрого забора достаточного объема капиллярной крови</w:t>
            </w:r>
          </w:p>
        </w:tc>
        <w:tc>
          <w:tcPr>
            <w:tcW w:w="960" w:type="dxa"/>
            <w:vMerge/>
            <w:hideMark/>
          </w:tcPr>
          <w:p w:rsidR="00440FDC" w:rsidRPr="00440FDC" w:rsidRDefault="00440F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7879"/>
        <w:gridCol w:w="1032"/>
        <w:gridCol w:w="1032"/>
      </w:tblGrid>
      <w:tr w:rsidR="00440FDC" w:rsidRPr="00440FDC" w:rsidTr="00440FDC">
        <w:trPr>
          <w:trHeight w:val="492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   Изм.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440FDC" w:rsidRPr="00440FDC" w:rsidTr="00440FDC">
        <w:trPr>
          <w:trHeight w:val="290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неопудренные</w:t>
            </w:r>
            <w:proofErr w:type="spellEnd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нестерильные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40FDC" w:rsidRPr="00440FDC" w:rsidTr="00440FDC">
        <w:trPr>
          <w:trHeight w:val="245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неопудренные</w:t>
            </w:r>
            <w:proofErr w:type="spellEnd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нестерильные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40FDC" w:rsidRPr="00440FDC" w:rsidTr="00440FDC">
        <w:trPr>
          <w:trHeight w:val="245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неопудренные</w:t>
            </w:r>
            <w:proofErr w:type="spellEnd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нестерильные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40FDC" w:rsidRPr="00440FDC" w:rsidTr="00440FDC">
        <w:trPr>
          <w:trHeight w:val="245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неопудренные</w:t>
            </w:r>
            <w:proofErr w:type="spellEnd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нестерильные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40FDC" w:rsidRPr="00440FDC" w:rsidTr="00440FDC">
        <w:trPr>
          <w:trHeight w:val="245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неопудренные</w:t>
            </w:r>
            <w:proofErr w:type="spellEnd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нестерильные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40FDC" w:rsidRPr="00440FDC" w:rsidTr="00440FDC">
        <w:trPr>
          <w:trHeight w:val="245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Перчатки смотровые/процедурные </w:t>
            </w: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нитриловые</w:t>
            </w:r>
            <w:proofErr w:type="spellEnd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неопудренные</w:t>
            </w:r>
            <w:proofErr w:type="spellEnd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нестерильные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40FDC" w:rsidRPr="00440FDC" w:rsidTr="00440FDC">
        <w:trPr>
          <w:trHeight w:val="245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Перчатки смотровые/процедурные из латекса гевеи, </w:t>
            </w: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неопудренные</w:t>
            </w:r>
            <w:proofErr w:type="spellEnd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нестерильные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40FDC" w:rsidRPr="00440FDC" w:rsidTr="00440FDC">
        <w:trPr>
          <w:trHeight w:val="245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базовый для внутривенных вливаний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40FDC" w:rsidRPr="00440FDC" w:rsidTr="00440FDC">
        <w:trPr>
          <w:trHeight w:val="245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Набор базовый для внутривенных вливаний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40FDC" w:rsidRPr="00440FDC" w:rsidTr="00440FDC">
        <w:trPr>
          <w:trHeight w:val="245"/>
        </w:trPr>
        <w:tc>
          <w:tcPr>
            <w:tcW w:w="468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79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Капилляр для забора крови</w:t>
            </w:r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0F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032" w:type="dxa"/>
          </w:tcPr>
          <w:p w:rsidR="00440FDC" w:rsidRPr="00440FDC" w:rsidRDefault="00440FDC" w:rsidP="0044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0F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440FDC" w:rsidRPr="00440FDC" w:rsidRDefault="00440FDC" w:rsidP="00440F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40FDC" w:rsidRPr="00440FDC" w:rsidRDefault="00440FDC" w:rsidP="00440F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40FDC" w:rsidRPr="00440FDC" w:rsidRDefault="00440FDC" w:rsidP="00440F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440FDC">
        <w:rPr>
          <w:rFonts w:ascii="Times New Roman" w:eastAsia="Times New Roman" w:hAnsi="Times New Roman" w:cs="Times New Roman"/>
          <w:b/>
          <w:bCs/>
          <w:lang w:eastAsia="ru-RU"/>
        </w:rPr>
        <w:t>Условия поставки товара:</w:t>
      </w: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Качество товара: </w:t>
      </w:r>
    </w:p>
    <w:p w:rsidR="00440FDC" w:rsidRPr="00440FDC" w:rsidRDefault="00440FDC" w:rsidP="0044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Поставщик гарантирует, что поставляемый Товар соответствует требованиям, установленным Контрактом.</w:t>
      </w:r>
    </w:p>
    <w:p w:rsidR="00440FDC" w:rsidRPr="00440FDC" w:rsidRDefault="00440FDC" w:rsidP="0044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Товар должен соответствовать характеристикам, указанным в Контракте.</w:t>
      </w:r>
    </w:p>
    <w:p w:rsidR="00440FDC" w:rsidRPr="00440FDC" w:rsidRDefault="00440FDC" w:rsidP="0044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440FDC" w:rsidRPr="00440FDC" w:rsidRDefault="00440FDC" w:rsidP="00440FD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Поставляемый Товар должен соответствовать обязательным требованиям, действующим в Российской Федерации стандартам, техническим регламентам, санитарным и фитосанитарным нормам, и другой нормативно-технической документации и подтверждаться соответствующими документами (сертификатами соответствия (качества) (при наличии), декларациями о соответствии (при наличии)), оформленными на русском языке и в строгом соответствии с действующим законодательством Российской Федерации.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качества. </w:t>
      </w:r>
    </w:p>
    <w:p w:rsidR="00440FDC" w:rsidRPr="00440FDC" w:rsidRDefault="00440FDC" w:rsidP="00440FD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Качество поставляемого товара должно соответствовать техническим требованиям производителя товара.</w:t>
      </w:r>
    </w:p>
    <w:p w:rsidR="00440FDC" w:rsidRPr="00440FDC" w:rsidRDefault="00440FDC" w:rsidP="0044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Товар должен быть упакован и замаркирован в соответствии с действующими стандартами.</w:t>
      </w:r>
    </w:p>
    <w:p w:rsidR="00440FDC" w:rsidRPr="00440FDC" w:rsidRDefault="00440FDC" w:rsidP="00440FD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Поставщик гарантирует, что поставляемый товар является новым и ранее не использовавшимся.</w:t>
      </w:r>
    </w:p>
    <w:p w:rsidR="00440FDC" w:rsidRPr="00440FDC" w:rsidRDefault="00440FDC" w:rsidP="00440FD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Поставщик гарантирует, что товар, поставляемый по настоящему контракту, и связанные с ним услуги должны иметь происхождение из Российской Федерации или любой другой страны, за исключением стран, в отношении которых Российской Федерацией либо международными соглашениями, в которых участвует Российская Федерация, применяются санкции, запрещающие или ограничивающие поставки товаров и предоставление услуг. Заказчик свободен от уплаты каких-либо таможенных платежей или иных сборов за поставляемый товар.</w:t>
      </w:r>
    </w:p>
    <w:p w:rsidR="00440FDC" w:rsidRPr="00440FDC" w:rsidRDefault="00440FDC" w:rsidP="00440FD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Товар должен иметь дату изготовления.</w:t>
      </w:r>
    </w:p>
    <w:p w:rsidR="00440FDC" w:rsidRPr="00440FDC" w:rsidRDefault="00440FDC" w:rsidP="00440FD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Остаточный срок годности – не менее 12 месяцев с момента поставки товара. </w:t>
      </w:r>
    </w:p>
    <w:p w:rsidR="00440FDC" w:rsidRPr="00440FDC" w:rsidRDefault="00440FDC" w:rsidP="00440FD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поставки товара, качество которого не соответствует условиям контракта, Поставщик без промедления заменит его товаром надлежащего качества. Убытки, возникшие в связи с заменой товара, несет Поставщик.</w:t>
      </w:r>
    </w:p>
    <w:p w:rsidR="00440FDC" w:rsidRPr="00440FDC" w:rsidRDefault="00440FDC" w:rsidP="00440FD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Поставщик отвечает за недостатки товара, если не докажет, что недостатки товара возникли после его передачи Заказчику, вследствие нарушения Заказчиком инструкции по эксплуатации и хранению товара, либо действий третьих лиц, либо непреодолимой силы.</w:t>
      </w:r>
    </w:p>
    <w:p w:rsidR="00440FDC" w:rsidRPr="00440FDC" w:rsidRDefault="00440FDC" w:rsidP="00440FD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Поставщик не несет никакой ответственности за дефекты товара (в том числе не несет гарантийных обязательств), возникшие в связи с ненадлежащим хранением товара, использованием товара не по назначению, нарушением условий эксплуатации согласно требованиям нормативно-технической документации производителей товара.</w:t>
      </w: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Требования к упаковке оборудования: оборудование должно поставляться в оригинальной заводской упаковке, обеспечивающей сохранность товара, с соблюдением условий хранения.</w:t>
      </w: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 поставки: ФГБУ ФНКЦИБ ФМБА России, г. Санкт-Петербург, ул. Профессора Попова, дом 9, литера А.</w:t>
      </w: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0FDC" w:rsidRPr="00440FDC" w:rsidRDefault="00440FDC" w:rsidP="0044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поставки: поставка Товара осуществляется Поставщиком в Место доставки в течение 3 (трех) рабочих дней, следующих за днем получения Заявки о получении Товара от Заказчика. Возможна ежедневная поставка, до 10.12.2026г.</w:t>
      </w: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Условия оплаты: оплата в рублях по безналичному расчету. Датой оплаты считается дата списания денежных средств с расчетного счета Покупателя. </w:t>
      </w: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оплаты: оплата осуществляется в течение 7 (Семи) рабочих дней с момента подписания документа о приемке, сформированного в единой информационной системе в сфере закупок.</w:t>
      </w: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0FDC" w:rsidRPr="00440FDC" w:rsidRDefault="00440FDC" w:rsidP="00440F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Расходы, включенные в цену товара: сумма контракта включает в себя стоимость товара, упаковки, маркировки, таможенные пошлины и сборы, налоги, доставку, погрузо-разгрузочные работы.</w:t>
      </w:r>
    </w:p>
    <w:p w:rsidR="00440FDC" w:rsidRPr="00440FDC" w:rsidRDefault="00440FDC" w:rsidP="00440F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1A1A1A"/>
          <w:sz w:val="10"/>
          <w:szCs w:val="10"/>
          <w:lang w:eastAsia="ru-RU"/>
        </w:rPr>
      </w:pPr>
    </w:p>
    <w:p w:rsidR="00440FDC" w:rsidRPr="00440FDC" w:rsidRDefault="00440FDC" w:rsidP="00440F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1A1A1A"/>
          <w:sz w:val="10"/>
          <w:szCs w:val="10"/>
          <w:lang w:eastAsia="ru-RU"/>
        </w:rPr>
      </w:pPr>
    </w:p>
    <w:p w:rsidR="00440FDC" w:rsidRPr="00440FDC" w:rsidRDefault="00440FDC" w:rsidP="00440FD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ответственное за сос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тавление технического задания: </w:t>
      </w:r>
      <w:bookmarkStart w:id="0" w:name="_GoBack"/>
      <w:bookmarkEnd w:id="0"/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Гринфельд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Ю.А.</w:t>
      </w:r>
    </w:p>
    <w:p w:rsidR="00440FDC" w:rsidRPr="00440FDC" w:rsidRDefault="00440FDC" w:rsidP="00440FD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</w:t>
      </w:r>
    </w:p>
    <w:p w:rsidR="00440FDC" w:rsidRPr="00440FDC" w:rsidRDefault="00440FDC" w:rsidP="00440FDC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Начальник УМТО</w:t>
      </w: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0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Карякин Е.И.</w:t>
      </w:r>
    </w:p>
    <w:p w:rsidR="000850D4" w:rsidRPr="00440FDC" w:rsidRDefault="000850D4">
      <w:pPr>
        <w:rPr>
          <w:rFonts w:ascii="Times New Roman" w:hAnsi="Times New Roman" w:cs="Times New Roman"/>
          <w:sz w:val="16"/>
          <w:szCs w:val="16"/>
        </w:rPr>
      </w:pPr>
    </w:p>
    <w:sectPr w:rsidR="000850D4" w:rsidRPr="00440FDC" w:rsidSect="00440F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DC"/>
    <w:rsid w:val="000850D4"/>
    <w:rsid w:val="0044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22BA"/>
  <w15:chartTrackingRefBased/>
  <w15:docId w15:val="{E946E61A-AE54-44B2-8F41-A3261CFC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2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Скапцова</dc:creator>
  <cp:keywords/>
  <dc:description/>
  <cp:lastModifiedBy>Наталья Николаевна Скапцова</cp:lastModifiedBy>
  <cp:revision>1</cp:revision>
  <dcterms:created xsi:type="dcterms:W3CDTF">2026-08-10T09:51:00Z</dcterms:created>
  <dcterms:modified xsi:type="dcterms:W3CDTF">2026-08-10T10:03:00Z</dcterms:modified>
</cp:coreProperties>
</file>