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80" w:rsidRPr="00101752" w:rsidRDefault="009F0180" w:rsidP="009F0180">
      <w:pPr>
        <w:ind w:firstLine="142"/>
        <w:jc w:val="center"/>
        <w:rPr>
          <w:b/>
          <w:sz w:val="24"/>
          <w:szCs w:val="24"/>
        </w:rPr>
      </w:pPr>
      <w:r w:rsidRPr="00101752">
        <w:rPr>
          <w:b/>
          <w:sz w:val="24"/>
          <w:szCs w:val="24"/>
        </w:rPr>
        <w:t>ТЕХНИЧЕСКОЕ ЗАДАНИЕ</w:t>
      </w:r>
    </w:p>
    <w:p w:rsidR="009F0180" w:rsidRPr="00101752" w:rsidRDefault="009F0180" w:rsidP="009F0180">
      <w:pPr>
        <w:widowControl w:val="0"/>
        <w:jc w:val="center"/>
        <w:rPr>
          <w:rFonts w:eastAsia="Calibri"/>
          <w:b/>
          <w:noProof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t xml:space="preserve">на  </w:t>
      </w:r>
      <w:r w:rsidR="0060120B">
        <w:rPr>
          <w:rFonts w:eastAsia="Calibri"/>
          <w:b/>
          <w:bCs/>
          <w:noProof/>
          <w:sz w:val="24"/>
          <w:szCs w:val="24"/>
        </w:rPr>
        <w:t>оказание у</w:t>
      </w:r>
      <w:r w:rsidRPr="006A3C90">
        <w:rPr>
          <w:rFonts w:eastAsia="Calibri"/>
          <w:b/>
          <w:bCs/>
          <w:noProof/>
          <w:sz w:val="24"/>
          <w:szCs w:val="24"/>
        </w:rPr>
        <w:t>слуги п</w:t>
      </w:r>
      <w:r w:rsidR="0060120B">
        <w:rPr>
          <w:rFonts w:eastAsia="Calibri"/>
          <w:b/>
          <w:bCs/>
          <w:noProof/>
          <w:sz w:val="24"/>
          <w:szCs w:val="24"/>
        </w:rPr>
        <w:t>о техническому обслуживанию АТС</w:t>
      </w:r>
      <w:bookmarkStart w:id="0" w:name="_GoBack"/>
      <w:bookmarkEnd w:id="0"/>
    </w:p>
    <w:p w:rsidR="009F0180" w:rsidRPr="00CD62A2" w:rsidRDefault="009F0180" w:rsidP="009F0180">
      <w:pPr>
        <w:ind w:firstLine="142"/>
        <w:jc w:val="center"/>
        <w:rPr>
          <w:b/>
          <w:i/>
          <w:sz w:val="24"/>
          <w:szCs w:val="24"/>
        </w:rPr>
      </w:pPr>
    </w:p>
    <w:p w:rsidR="009F0180" w:rsidRPr="00CD62A2" w:rsidRDefault="009F0180" w:rsidP="009F0180">
      <w:pPr>
        <w:ind w:firstLine="142"/>
        <w:jc w:val="center"/>
        <w:rPr>
          <w:b/>
          <w:sz w:val="24"/>
          <w:szCs w:val="24"/>
        </w:rPr>
      </w:pPr>
    </w:p>
    <w:p w:rsidR="009F0180" w:rsidRPr="009D15C5" w:rsidRDefault="009F0180" w:rsidP="009F0180">
      <w:pPr>
        <w:keepNext/>
        <w:keepLines/>
        <w:numPr>
          <w:ilvl w:val="0"/>
          <w:numId w:val="3"/>
        </w:numPr>
        <w:spacing w:before="480" w:after="240" w:line="276" w:lineRule="auto"/>
        <w:contextualSpacing/>
        <w:jc w:val="both"/>
        <w:outlineLvl w:val="0"/>
        <w:rPr>
          <w:rFonts w:eastAsia="Cambria"/>
          <w:b/>
          <w:bCs/>
          <w:sz w:val="24"/>
          <w:szCs w:val="28"/>
          <w:lang w:eastAsia="en-US"/>
        </w:rPr>
      </w:pPr>
      <w:r w:rsidRPr="009D15C5">
        <w:rPr>
          <w:rFonts w:eastAsia="Cambria"/>
          <w:b/>
          <w:bCs/>
          <w:sz w:val="24"/>
          <w:szCs w:val="28"/>
          <w:lang w:eastAsia="en-US"/>
        </w:rPr>
        <w:t>Общие сведения.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Техническое обслуживание АТС</w:t>
      </w:r>
      <w:r w:rsidRPr="009D15C5">
        <w:rPr>
          <w:rFonts w:eastAsia="Calibri" w:cs="Calibri"/>
          <w:b/>
          <w:sz w:val="24"/>
          <w:szCs w:val="24"/>
          <w:lang w:eastAsia="en-US"/>
        </w:rPr>
        <w:t xml:space="preserve"> </w:t>
      </w:r>
      <w:r w:rsidRPr="009D15C5">
        <w:rPr>
          <w:rFonts w:eastAsia="Calibri" w:cs="Calibri"/>
          <w:sz w:val="24"/>
          <w:szCs w:val="22"/>
          <w:lang w:eastAsia="en-US"/>
        </w:rPr>
        <w:t>ФГБОУ ВО «Гос. ИРЯ им. А.С. Пушкина»</w:t>
      </w:r>
    </w:p>
    <w:p w:rsidR="009F0180" w:rsidRPr="009D15C5" w:rsidRDefault="009F0180" w:rsidP="009F0180">
      <w:pPr>
        <w:keepNext/>
        <w:numPr>
          <w:ilvl w:val="1"/>
          <w:numId w:val="2"/>
        </w:numPr>
        <w:snapToGrid w:val="0"/>
        <w:spacing w:after="240" w:line="276" w:lineRule="auto"/>
        <w:contextualSpacing/>
        <w:jc w:val="both"/>
        <w:outlineLvl w:val="1"/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t>Место оказания услуг:</w:t>
      </w:r>
    </w:p>
    <w:p w:rsidR="009F0180" w:rsidRPr="009D15C5" w:rsidRDefault="009F0180" w:rsidP="009F0180">
      <w:pPr>
        <w:keepNext/>
        <w:snapToGrid w:val="0"/>
        <w:spacing w:after="240" w:line="276" w:lineRule="auto"/>
        <w:ind w:left="792"/>
        <w:jc w:val="both"/>
        <w:outlineLvl w:val="1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117485, Россия, г. Москва, ул. Академика Волгина, д. 6</w:t>
      </w:r>
    </w:p>
    <w:p w:rsidR="009F0180" w:rsidRPr="009D15C5" w:rsidRDefault="009F0180" w:rsidP="009F0180">
      <w:pPr>
        <w:keepNext/>
        <w:numPr>
          <w:ilvl w:val="1"/>
          <w:numId w:val="2"/>
        </w:numPr>
        <w:snapToGrid w:val="0"/>
        <w:spacing w:after="240" w:line="276" w:lineRule="auto"/>
        <w:contextualSpacing/>
        <w:jc w:val="both"/>
        <w:outlineLvl w:val="1"/>
        <w:rPr>
          <w:rFonts w:eastAsia="Calibri" w:cs="Calibri"/>
          <w:b/>
          <w:sz w:val="24"/>
          <w:szCs w:val="22"/>
          <w:lang w:eastAsia="en-US"/>
        </w:rPr>
      </w:pPr>
      <w:r w:rsidRPr="009D15C5">
        <w:rPr>
          <w:rFonts w:eastAsia="Calibri" w:cs="Calibri"/>
          <w:b/>
          <w:sz w:val="24"/>
          <w:szCs w:val="22"/>
          <w:lang w:eastAsia="en-US"/>
        </w:rPr>
        <w:t>Сроки оказания услуг</w:t>
      </w:r>
    </w:p>
    <w:p w:rsidR="009F0180" w:rsidRPr="009D15C5" w:rsidRDefault="009F0180" w:rsidP="009F0180">
      <w:pPr>
        <w:keepNext/>
        <w:snapToGrid w:val="0"/>
        <w:spacing w:after="240" w:line="276" w:lineRule="auto"/>
        <w:ind w:left="574"/>
        <w:jc w:val="both"/>
        <w:outlineLvl w:val="1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 течение 12 (двенадцати) месяцев с даты заключения Контракта, но не ранее, чем с 01.0</w:t>
      </w:r>
      <w:r w:rsidR="0060120B">
        <w:rPr>
          <w:rFonts w:eastAsia="Calibri" w:cs="Calibri"/>
          <w:sz w:val="24"/>
          <w:szCs w:val="22"/>
          <w:lang w:eastAsia="en-US"/>
        </w:rPr>
        <w:t>7</w:t>
      </w:r>
      <w:r w:rsidRPr="009D15C5">
        <w:rPr>
          <w:rFonts w:eastAsia="Calibri" w:cs="Calibri"/>
          <w:sz w:val="24"/>
          <w:szCs w:val="22"/>
          <w:lang w:eastAsia="en-US"/>
        </w:rPr>
        <w:t>.202</w:t>
      </w:r>
      <w:r w:rsidR="0060120B">
        <w:rPr>
          <w:rFonts w:eastAsia="Calibri" w:cs="Calibri"/>
          <w:sz w:val="24"/>
          <w:szCs w:val="22"/>
          <w:lang w:eastAsia="en-US"/>
        </w:rPr>
        <w:t>6</w:t>
      </w:r>
      <w:r w:rsidRPr="009D15C5">
        <w:rPr>
          <w:rFonts w:eastAsia="Calibri" w:cs="Calibri"/>
          <w:sz w:val="24"/>
          <w:szCs w:val="22"/>
          <w:lang w:eastAsia="en-US"/>
        </w:rPr>
        <w:t xml:space="preserve"> г.</w:t>
      </w:r>
    </w:p>
    <w:p w:rsidR="009F0180" w:rsidRPr="009D15C5" w:rsidRDefault="009F0180" w:rsidP="009F0180">
      <w:pPr>
        <w:keepNext/>
        <w:numPr>
          <w:ilvl w:val="1"/>
          <w:numId w:val="2"/>
        </w:numPr>
        <w:snapToGrid w:val="0"/>
        <w:spacing w:after="240" w:line="276" w:lineRule="auto"/>
        <w:contextualSpacing/>
        <w:jc w:val="both"/>
        <w:outlineLvl w:val="1"/>
        <w:rPr>
          <w:rFonts w:ascii="Times New Roman Полужирный" w:eastAsia="Calibri" w:hAnsi="Times New Roman Полужирный" w:cs="Calibri"/>
          <w:bCs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Cs/>
          <w:sz w:val="24"/>
          <w:szCs w:val="22"/>
          <w:lang w:eastAsia="en-US"/>
        </w:rPr>
        <w:t>Характеристика оборудования IP-телефонии, имеющегося в</w:t>
      </w:r>
      <w:r w:rsidRPr="009D15C5">
        <w:rPr>
          <w:rFonts w:ascii="Calibri" w:eastAsia="Calibri" w:hAnsi="Calibri" w:cs="Calibri"/>
          <w:bCs/>
          <w:sz w:val="24"/>
          <w:szCs w:val="22"/>
          <w:lang w:eastAsia="en-US"/>
        </w:rPr>
        <w:t xml:space="preserve"> </w:t>
      </w:r>
      <w:r w:rsidRPr="009D15C5">
        <w:rPr>
          <w:rFonts w:ascii="Times New Roman Полужирный" w:eastAsia="Calibri" w:hAnsi="Times New Roman Полужирный" w:cs="Calibri"/>
          <w:bCs/>
          <w:sz w:val="24"/>
          <w:szCs w:val="22"/>
          <w:lang w:eastAsia="en-US"/>
        </w:rPr>
        <w:t>ФГБОУ ВО «Гос. ИРЯ им. А.С. Пушкина»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185"/>
        <w:gridCol w:w="2337"/>
      </w:tblGrid>
      <w:tr w:rsidR="009F0180" w:rsidTr="004576DA">
        <w:tc>
          <w:tcPr>
            <w:tcW w:w="704" w:type="dxa"/>
          </w:tcPr>
          <w:p w:rsidR="009F0180" w:rsidRPr="009D15C5" w:rsidRDefault="009F0180" w:rsidP="004576DA">
            <w:pPr>
              <w:keepNext/>
              <w:snapToGrid w:val="0"/>
              <w:spacing w:after="240" w:line="276" w:lineRule="auto"/>
              <w:outlineLvl w:val="1"/>
              <w:rPr>
                <w:sz w:val="24"/>
              </w:rPr>
            </w:pPr>
            <w:r w:rsidRPr="009D15C5">
              <w:rPr>
                <w:b/>
                <w:sz w:val="24"/>
              </w:rPr>
              <w:t>№ п/п</w:t>
            </w:r>
          </w:p>
        </w:tc>
        <w:tc>
          <w:tcPr>
            <w:tcW w:w="3119" w:type="dxa"/>
          </w:tcPr>
          <w:p w:rsidR="009F0180" w:rsidRPr="009D15C5" w:rsidRDefault="009F0180" w:rsidP="004576DA">
            <w:pPr>
              <w:keepNext/>
              <w:snapToGrid w:val="0"/>
              <w:spacing w:after="240" w:line="276" w:lineRule="auto"/>
              <w:outlineLvl w:val="1"/>
              <w:rPr>
                <w:sz w:val="24"/>
              </w:rPr>
            </w:pPr>
            <w:r w:rsidRPr="009D15C5">
              <w:rPr>
                <w:b/>
                <w:sz w:val="24"/>
              </w:rPr>
              <w:t>Вид оборудования</w:t>
            </w:r>
          </w:p>
        </w:tc>
        <w:tc>
          <w:tcPr>
            <w:tcW w:w="3185" w:type="dxa"/>
          </w:tcPr>
          <w:p w:rsidR="009F0180" w:rsidRPr="009D15C5" w:rsidRDefault="009F0180" w:rsidP="004576DA">
            <w:pPr>
              <w:keepNext/>
              <w:snapToGrid w:val="0"/>
              <w:spacing w:after="240" w:line="276" w:lineRule="auto"/>
              <w:outlineLvl w:val="1"/>
              <w:rPr>
                <w:sz w:val="24"/>
              </w:rPr>
            </w:pPr>
            <w:r w:rsidRPr="009D15C5">
              <w:rPr>
                <w:b/>
                <w:sz w:val="24"/>
              </w:rPr>
              <w:t>Спецификация</w:t>
            </w:r>
          </w:p>
        </w:tc>
        <w:tc>
          <w:tcPr>
            <w:tcW w:w="2337" w:type="dxa"/>
          </w:tcPr>
          <w:p w:rsidR="009F0180" w:rsidRPr="009D15C5" w:rsidRDefault="009F0180" w:rsidP="004576DA">
            <w:pPr>
              <w:keepNext/>
              <w:snapToGrid w:val="0"/>
              <w:spacing w:after="240" w:line="276" w:lineRule="auto"/>
              <w:outlineLvl w:val="1"/>
              <w:rPr>
                <w:sz w:val="24"/>
              </w:rPr>
            </w:pPr>
            <w:r w:rsidRPr="009D15C5">
              <w:rPr>
                <w:b/>
                <w:sz w:val="24"/>
              </w:rPr>
              <w:t>Кол-во</w:t>
            </w:r>
          </w:p>
        </w:tc>
      </w:tr>
      <w:tr w:rsidR="009F0180" w:rsidTr="004576DA">
        <w:tc>
          <w:tcPr>
            <w:tcW w:w="704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Сервер IP-телефонии</w:t>
            </w:r>
          </w:p>
        </w:tc>
        <w:tc>
          <w:tcPr>
            <w:tcW w:w="3185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AVAYA (HP</w:t>
            </w:r>
            <w:r w:rsidRPr="009D15C5">
              <w:rPr>
                <w:sz w:val="24"/>
              </w:rPr>
              <w:t xml:space="preserve"> </w:t>
            </w:r>
            <w:r w:rsidRPr="009D15C5">
              <w:rPr>
                <w:sz w:val="24"/>
                <w:lang w:val="en-US"/>
              </w:rPr>
              <w:t>654081-B21)</w:t>
            </w:r>
          </w:p>
        </w:tc>
        <w:tc>
          <w:tcPr>
            <w:tcW w:w="2337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2</w:t>
            </w:r>
          </w:p>
        </w:tc>
      </w:tr>
      <w:tr w:rsidR="009F0180" w:rsidTr="004576DA">
        <w:tc>
          <w:tcPr>
            <w:tcW w:w="704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Медиа-шлюз</w:t>
            </w:r>
          </w:p>
        </w:tc>
        <w:tc>
          <w:tcPr>
            <w:tcW w:w="3185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A</w:t>
            </w:r>
            <w:r w:rsidRPr="009D15C5">
              <w:rPr>
                <w:sz w:val="24"/>
                <w:lang w:val="en-US"/>
              </w:rPr>
              <w:t>VAYA</w:t>
            </w:r>
            <w:r w:rsidRPr="009D15C5">
              <w:rPr>
                <w:sz w:val="24"/>
              </w:rPr>
              <w:t xml:space="preserve"> G430</w:t>
            </w:r>
          </w:p>
        </w:tc>
        <w:tc>
          <w:tcPr>
            <w:tcW w:w="2337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2</w:t>
            </w:r>
          </w:p>
        </w:tc>
      </w:tr>
      <w:tr w:rsidR="009F0180" w:rsidTr="004576DA">
        <w:tc>
          <w:tcPr>
            <w:tcW w:w="704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Стационарные IP-телефоны</w:t>
            </w:r>
          </w:p>
        </w:tc>
        <w:tc>
          <w:tcPr>
            <w:tcW w:w="3185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  <w:lang w:val="en-US"/>
              </w:rPr>
              <w:t>AVAYA 9608G</w:t>
            </w:r>
          </w:p>
        </w:tc>
        <w:tc>
          <w:tcPr>
            <w:tcW w:w="2337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147</w:t>
            </w:r>
          </w:p>
        </w:tc>
      </w:tr>
      <w:tr w:rsidR="009F0180" w:rsidTr="004576DA">
        <w:tc>
          <w:tcPr>
            <w:tcW w:w="704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4</w:t>
            </w:r>
          </w:p>
        </w:tc>
        <w:tc>
          <w:tcPr>
            <w:tcW w:w="3119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Стационарные IP-телефоны</w:t>
            </w:r>
          </w:p>
        </w:tc>
        <w:tc>
          <w:tcPr>
            <w:tcW w:w="3185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  <w:lang w:val="en-US"/>
              </w:rPr>
            </w:pPr>
            <w:r w:rsidRPr="009D15C5">
              <w:rPr>
                <w:sz w:val="24"/>
                <w:lang w:val="en-US"/>
              </w:rPr>
              <w:t>AVAYA</w:t>
            </w:r>
            <w:r w:rsidRPr="009D15C5">
              <w:rPr>
                <w:sz w:val="24"/>
              </w:rPr>
              <w:t xml:space="preserve"> </w:t>
            </w:r>
            <w:r w:rsidRPr="009D15C5">
              <w:rPr>
                <w:sz w:val="24"/>
                <w:lang w:val="en-US"/>
              </w:rPr>
              <w:t>H175</w:t>
            </w:r>
          </w:p>
        </w:tc>
        <w:tc>
          <w:tcPr>
            <w:tcW w:w="2337" w:type="dxa"/>
          </w:tcPr>
          <w:p w:rsidR="009F0180" w:rsidRPr="009D15C5" w:rsidRDefault="009F0180" w:rsidP="004576DA">
            <w:pPr>
              <w:spacing w:after="200" w:line="276" w:lineRule="auto"/>
              <w:ind w:hanging="34"/>
              <w:contextualSpacing/>
              <w:jc w:val="both"/>
              <w:rPr>
                <w:sz w:val="24"/>
              </w:rPr>
            </w:pPr>
            <w:r w:rsidRPr="009D15C5">
              <w:rPr>
                <w:sz w:val="24"/>
              </w:rPr>
              <w:t>5</w:t>
            </w:r>
          </w:p>
        </w:tc>
      </w:tr>
    </w:tbl>
    <w:p w:rsidR="009F0180" w:rsidRPr="009D15C5" w:rsidRDefault="009F0180" w:rsidP="009F0180">
      <w:pPr>
        <w:keepNext/>
        <w:snapToGrid w:val="0"/>
        <w:spacing w:after="240" w:line="276" w:lineRule="auto"/>
        <w:outlineLvl w:val="1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keepNext/>
        <w:numPr>
          <w:ilvl w:val="1"/>
          <w:numId w:val="2"/>
        </w:numPr>
        <w:snapToGrid w:val="0"/>
        <w:spacing w:after="240" w:line="276" w:lineRule="auto"/>
        <w:contextualSpacing/>
        <w:jc w:val="both"/>
        <w:outlineLvl w:val="1"/>
        <w:rPr>
          <w:rFonts w:ascii="Times New Roman Полужирный" w:eastAsia="Calibri" w:hAnsi="Times New Roman Полужирный" w:cs="Calibri"/>
          <w:bCs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Cs/>
          <w:sz w:val="24"/>
          <w:szCs w:val="22"/>
          <w:lang w:eastAsia="en-US"/>
        </w:rPr>
        <w:t>Характеристика услуг связи, которая должна обеспечивать IP-телефония.</w:t>
      </w:r>
    </w:p>
    <w:p w:rsidR="009F0180" w:rsidRPr="009D15C5" w:rsidRDefault="009F0180" w:rsidP="009F0180">
      <w:pPr>
        <w:spacing w:after="200" w:line="360" w:lineRule="auto"/>
        <w:ind w:firstLine="360"/>
        <w:contextualSpacing/>
        <w:jc w:val="both"/>
        <w:rPr>
          <w:rFonts w:eastAsia="Calibri" w:cs="Calibri"/>
          <w:b/>
          <w:sz w:val="24"/>
          <w:szCs w:val="22"/>
          <w:u w:val="single"/>
          <w:lang w:eastAsia="en-US"/>
        </w:rPr>
      </w:pPr>
      <w:r w:rsidRPr="009D15C5">
        <w:rPr>
          <w:rFonts w:eastAsia="Calibri" w:cs="Calibri"/>
          <w:b/>
          <w:sz w:val="24"/>
          <w:szCs w:val="22"/>
          <w:u w:val="single"/>
          <w:lang w:eastAsia="en-US"/>
        </w:rPr>
        <w:t>Обеспечить коммутацию абонентов объекта Заказчика с абонентами телефонных сетей по следующим каналам.</w:t>
      </w:r>
    </w:p>
    <w:p w:rsidR="009F0180" w:rsidRPr="009D15C5" w:rsidRDefault="009F0180" w:rsidP="009F0180">
      <w:pPr>
        <w:widowControl w:val="0"/>
        <w:numPr>
          <w:ilvl w:val="0"/>
          <w:numId w:val="4"/>
        </w:numPr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Использование соединений абонентов через существующую локальную вычислительную сеть (далее ЛВС) и корпоративную сеть передачи данных (далее КСПД);</w:t>
      </w:r>
    </w:p>
    <w:p w:rsidR="009F0180" w:rsidRPr="009D15C5" w:rsidRDefault="009F0180" w:rsidP="009F0180">
      <w:pPr>
        <w:widowControl w:val="0"/>
        <w:numPr>
          <w:ilvl w:val="0"/>
          <w:numId w:val="4"/>
        </w:numPr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Использование услуг связи МГТС (г. Москва) по потоку Е1;</w:t>
      </w:r>
    </w:p>
    <w:p w:rsidR="009F0180" w:rsidRPr="009D15C5" w:rsidRDefault="009F0180" w:rsidP="009F0180">
      <w:pPr>
        <w:widowControl w:val="0"/>
        <w:numPr>
          <w:ilvl w:val="0"/>
          <w:numId w:val="4"/>
        </w:numPr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Использование услуг междугородних и международных вызовов.</w:t>
      </w:r>
    </w:p>
    <w:p w:rsidR="009F0180" w:rsidRPr="009D15C5" w:rsidRDefault="009F0180" w:rsidP="009F0180">
      <w:pPr>
        <w:widowControl w:val="0"/>
        <w:suppressAutoHyphens/>
        <w:spacing w:line="360" w:lineRule="auto"/>
        <w:ind w:left="720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keepNext/>
        <w:numPr>
          <w:ilvl w:val="1"/>
          <w:numId w:val="2"/>
        </w:numPr>
        <w:snapToGrid w:val="0"/>
        <w:spacing w:after="240" w:line="276" w:lineRule="auto"/>
        <w:contextualSpacing/>
        <w:jc w:val="both"/>
        <w:outlineLvl w:val="1"/>
        <w:rPr>
          <w:rFonts w:ascii="Times New Roman Полужирный" w:eastAsia="Calibri" w:hAnsi="Times New Roman Полужирный" w:cs="Calibri"/>
          <w:b/>
          <w:bCs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tab/>
      </w:r>
      <w:r w:rsidRPr="009D15C5">
        <w:rPr>
          <w:rFonts w:ascii="Times New Roman Полужирный" w:eastAsia="Calibri" w:hAnsi="Times New Roman Полужирный" w:cs="Calibri"/>
          <w:b/>
          <w:bCs/>
          <w:sz w:val="24"/>
          <w:szCs w:val="22"/>
          <w:lang w:eastAsia="en-US"/>
        </w:rPr>
        <w:t>Требования по функционалу IP-телефонии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Коммутирование абонентов и обеспечение вызовов осуществляется при помощи программно-аппаратного комплекса телефонии;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Использование шлюзов A</w:t>
      </w:r>
      <w:r w:rsidRPr="009D15C5">
        <w:rPr>
          <w:rFonts w:eastAsia="Calibri" w:cs="Calibri"/>
          <w:sz w:val="24"/>
          <w:szCs w:val="22"/>
          <w:lang w:val="en-US" w:eastAsia="en-US"/>
        </w:rPr>
        <w:t>VAYA</w:t>
      </w:r>
      <w:r w:rsidRPr="009D15C5">
        <w:rPr>
          <w:rFonts w:eastAsia="Calibri" w:cs="Calibri"/>
          <w:sz w:val="24"/>
          <w:szCs w:val="22"/>
          <w:lang w:eastAsia="en-US"/>
        </w:rPr>
        <w:t xml:space="preserve"> G430 для подключения услуг связи МГТС (г. Москва) по потоку Е1;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Аппаратная серверная часть PC-совместимый аппаратный комплекс — Отказоустойчивый кластер (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High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Availability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кластер, HA-кластер, кластер высокой доступности);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Среда выполнения программного комплекса: операционная система семейства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lastRenderedPageBreak/>
        <w:t>Linux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Физическая среда передачи информации конвергентна с существующей ЛВС и КСПД;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Коммутацию (входящие/исходящие) соединений с телефонной сетью общего пользования (далее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ТФоП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) обеспечивает шлюз (МГТС - 59 линий);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Конечное оборудование абонентов: программные телефоны, SIP телефоны;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Обеспечение бесперебойной работы по выполнению следующего алгоритма работы: маршрутизация входящих вызовов между абонентами системы и абонентами сетей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ТфОП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; организация входящих вызовов; автоматическое определение номера; запись телефонного разговора; переадресация вызова с отключением абонента и с участием абонента; конференция между абонентами.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4-значного плана нумерации внутри АТС.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набора кодов доступа в телефонную сеть общего пользования (ТФОП).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отображения 2 типов нумерации в зависимости от звонка внутри ведомственной телефонной сети или городской сети ТФОП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передачи вызова.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Поддержка подбора (перехвата) вызова в заранее назначенной группе.  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отображения внутреннего номера вызывающего абонента.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Поддержка запрета набора определённых внутренних номеров, назначаемых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программно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Поддержка запрета набора определённых внешних номеров, назначаемых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программно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Поддержка возможности обработки не менее 40 вызовов одновременно</w:t>
      </w:r>
      <w:r>
        <w:rPr>
          <w:rFonts w:eastAsia="Calibri" w:cs="Calibri"/>
          <w:sz w:val="24"/>
          <w:szCs w:val="22"/>
          <w:lang w:eastAsia="en-US"/>
        </w:rPr>
        <w:t>.</w:t>
      </w:r>
    </w:p>
    <w:p w:rsidR="009F0180" w:rsidRPr="009D15C5" w:rsidRDefault="009F0180" w:rsidP="009F0180">
      <w:pPr>
        <w:tabs>
          <w:tab w:val="left" w:pos="852"/>
          <w:tab w:val="left" w:pos="993"/>
        </w:tabs>
        <w:spacing w:after="200" w:line="360" w:lineRule="auto"/>
        <w:ind w:left="360" w:firstLine="709"/>
        <w:contextualSpacing/>
        <w:jc w:val="both"/>
        <w:rPr>
          <w:rFonts w:eastAsia="Calibri" w:cs="Calibri"/>
          <w:b/>
          <w:sz w:val="24"/>
          <w:szCs w:val="22"/>
          <w:u w:val="single"/>
          <w:lang w:eastAsia="en-US"/>
        </w:rPr>
      </w:pPr>
      <w:r w:rsidRPr="009D15C5">
        <w:rPr>
          <w:rFonts w:eastAsia="Calibri" w:cs="Calibri"/>
          <w:b/>
          <w:sz w:val="24"/>
          <w:szCs w:val="22"/>
          <w:u w:val="single"/>
          <w:lang w:eastAsia="en-US"/>
        </w:rPr>
        <w:t>Обеспечить функционирование сервисных функций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852"/>
          <w:tab w:val="left" w:pos="993"/>
        </w:tabs>
        <w:suppressAutoHyphens/>
        <w:spacing w:after="200" w:line="360" w:lineRule="auto"/>
        <w:contextualSpacing/>
        <w:jc w:val="both"/>
        <w:rPr>
          <w:b/>
          <w:bCs/>
          <w:sz w:val="24"/>
          <w:szCs w:val="22"/>
          <w:lang w:eastAsia="en-US"/>
        </w:rPr>
      </w:pPr>
      <w:bookmarkStart w:id="1" w:name="_Toc300652023"/>
      <w:r w:rsidRPr="009D15C5">
        <w:rPr>
          <w:b/>
          <w:bCs/>
          <w:sz w:val="24"/>
          <w:szCs w:val="22"/>
          <w:lang w:eastAsia="en-US"/>
        </w:rPr>
        <w:t>Базовый пакет (организация IP-телефонии)</w:t>
      </w:r>
      <w:bookmarkEnd w:id="1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Передача вызова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Переадресация звонка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>- переадресация по требованию;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>- переадресация, если занято или нет ответа;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>- автоматическое перенаправление звонков.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Подробные детали звонка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Мониторинг звонков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Функция «Не беспокоить»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Прием и передача факсов (один факс-ящик)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lastRenderedPageBreak/>
        <w:t>Один добавочный номер на несколько линий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 xml:space="preserve">- музыка или записанное сообщение в режиме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Hold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>- музыка или записанное сообщение при переключении вызова;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ab/>
        <w:t>- возможность использования файлов формата mp3.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Маршрутизация по критерию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Least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Cost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Routing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(LCR)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Индивидуальная и принудительная маршрутизация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b/>
          <w:bCs/>
          <w:sz w:val="24"/>
          <w:szCs w:val="22"/>
          <w:lang w:eastAsia="en-US"/>
        </w:rPr>
      </w:pPr>
      <w:bookmarkStart w:id="2" w:name="_Toc300652024"/>
      <w:r w:rsidRPr="009D15C5">
        <w:rPr>
          <w:b/>
          <w:bCs/>
          <w:sz w:val="24"/>
          <w:szCs w:val="22"/>
          <w:lang w:eastAsia="en-US"/>
        </w:rPr>
        <w:t>Голосовая почта</w:t>
      </w:r>
      <w:bookmarkEnd w:id="2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Пакет опций для работы с голосовой почтой: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проверка своего почтового ящика, с любого места, зная пароль;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сообщения по умолчанию или собственные сообщения;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отдельные сообщения "Абонент вышел" и "Абонент недоступен"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несколько папок для голосовых сообщений, где сообщения можно хранить и сортировать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WEB интерфейс для проверки голосового ящика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получение уведомления о новой почте по E-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Mail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с возможным вложением сообщения в формате «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wav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»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перенаправление голосовой почты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визуальный индикатор ожидающего сообщения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b/>
          <w:bCs/>
          <w:sz w:val="24"/>
          <w:szCs w:val="22"/>
          <w:lang w:eastAsia="en-US"/>
        </w:rPr>
      </w:pPr>
      <w:bookmarkStart w:id="3" w:name="_Toc300652025"/>
      <w:r w:rsidRPr="009D15C5">
        <w:rPr>
          <w:rFonts w:eastAsia="Calibri" w:cs="Calibri"/>
          <w:b/>
          <w:bCs/>
          <w:sz w:val="24"/>
          <w:szCs w:val="22"/>
          <w:lang w:eastAsia="en-US"/>
        </w:rPr>
        <w:t>Интерактивное голосовое меню (IVR)</w:t>
      </w:r>
      <w:bookmarkEnd w:id="3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Автоматизированная подсистема интерактивных меню (IVR,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Interactive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Voice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 xml:space="preserve"> </w:t>
      </w:r>
      <w:proofErr w:type="spellStart"/>
      <w:r w:rsidRPr="009D15C5">
        <w:rPr>
          <w:rFonts w:eastAsia="Calibri" w:cs="Calibri"/>
          <w:sz w:val="24"/>
          <w:szCs w:val="22"/>
          <w:lang w:eastAsia="en-US"/>
        </w:rPr>
        <w:t>Response</w:t>
      </w:r>
      <w:proofErr w:type="spellEnd"/>
      <w:r w:rsidRPr="009D15C5">
        <w:rPr>
          <w:rFonts w:eastAsia="Calibri" w:cs="Calibri"/>
          <w:sz w:val="24"/>
          <w:szCs w:val="22"/>
          <w:lang w:eastAsia="en-US"/>
        </w:rPr>
        <w:t>) предназначена для автоматизации обработки входящих вызовов. Система IVR воспроизводит заранее записанное голосовое приветствие и получает ответ от абонента, введенный DTMF тонами. Как правило абоненту предоставляются следующие возможности: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соединение с абонентом по внутреннему номеру;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переключение на корпоративный факс для отправки сообщения;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соединение с оператором.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b/>
          <w:bCs/>
          <w:sz w:val="24"/>
          <w:szCs w:val="22"/>
          <w:lang w:eastAsia="en-US"/>
        </w:rPr>
      </w:pPr>
      <w:bookmarkStart w:id="4" w:name="_Toc300652026"/>
      <w:r w:rsidRPr="009D15C5">
        <w:rPr>
          <w:rFonts w:eastAsia="Calibri" w:cs="Calibri"/>
          <w:b/>
          <w:bCs/>
          <w:sz w:val="24"/>
          <w:szCs w:val="22"/>
          <w:lang w:eastAsia="en-US"/>
        </w:rPr>
        <w:t>Идентификация вызова (</w:t>
      </w:r>
      <w:proofErr w:type="spellStart"/>
      <w:r w:rsidRPr="009D15C5">
        <w:rPr>
          <w:rFonts w:eastAsia="Calibri" w:cs="Calibri"/>
          <w:b/>
          <w:bCs/>
          <w:sz w:val="24"/>
          <w:szCs w:val="22"/>
          <w:lang w:eastAsia="en-US"/>
        </w:rPr>
        <w:t>CallerID</w:t>
      </w:r>
      <w:proofErr w:type="spellEnd"/>
      <w:r w:rsidRPr="009D15C5">
        <w:rPr>
          <w:rFonts w:eastAsia="Calibri" w:cs="Calibri"/>
          <w:b/>
          <w:bCs/>
          <w:sz w:val="24"/>
          <w:szCs w:val="22"/>
          <w:lang w:eastAsia="en-US"/>
        </w:rPr>
        <w:t>)</w:t>
      </w:r>
      <w:bookmarkEnd w:id="4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При поступлении телефонного вызова определяется номер вызывающего абонента. Эта информация высвечивается на жидкокристаллическом дисплее телефона внутреннего абонента, принимающего звонок. При передаче вызова передается определенный ранее номер вызывающего абонента.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b/>
          <w:bCs/>
          <w:sz w:val="24"/>
          <w:szCs w:val="22"/>
          <w:lang w:eastAsia="en-US"/>
        </w:rPr>
      </w:pPr>
      <w:bookmarkStart w:id="5" w:name="_Toc300652030"/>
      <w:r w:rsidRPr="009D15C5">
        <w:rPr>
          <w:rFonts w:eastAsia="Calibri" w:cs="Calibri"/>
          <w:b/>
          <w:bCs/>
          <w:sz w:val="24"/>
          <w:szCs w:val="22"/>
          <w:lang w:eastAsia="en-US"/>
        </w:rPr>
        <w:t>Запись звонков</w:t>
      </w:r>
      <w:bookmarkEnd w:id="5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Опция</w:t>
      </w:r>
      <w:r>
        <w:rPr>
          <w:rFonts w:eastAsia="Calibri" w:cs="Calibri"/>
          <w:sz w:val="24"/>
          <w:szCs w:val="22"/>
          <w:lang w:eastAsia="en-US"/>
        </w:rPr>
        <w:t>,</w:t>
      </w:r>
      <w:r w:rsidRPr="009D15C5">
        <w:rPr>
          <w:rFonts w:eastAsia="Calibri" w:cs="Calibri"/>
          <w:sz w:val="24"/>
          <w:szCs w:val="22"/>
          <w:lang w:eastAsia="en-US"/>
        </w:rPr>
        <w:t xml:space="preserve"> позволяющая осуществлять запись телефонных переговоров для последующего прослушивания. Имеется возможность включения записи на </w:t>
      </w:r>
      <w:r w:rsidRPr="009D15C5">
        <w:rPr>
          <w:rFonts w:eastAsia="Calibri" w:cs="Calibri"/>
          <w:sz w:val="24"/>
          <w:szCs w:val="22"/>
          <w:lang w:eastAsia="en-US"/>
        </w:rPr>
        <w:lastRenderedPageBreak/>
        <w:t>неограниченное количество абонентов (в том числе выборочно) и на произвольный период времени. Записываются только телефонные переговоры без учета времени ожидания звонка.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b/>
          <w:bCs/>
          <w:sz w:val="24"/>
          <w:szCs w:val="22"/>
          <w:lang w:eastAsia="en-US"/>
        </w:rPr>
      </w:pPr>
      <w:bookmarkStart w:id="6" w:name="_Toc300652031"/>
      <w:r w:rsidRPr="009D15C5">
        <w:rPr>
          <w:rFonts w:eastAsia="Calibri" w:cs="Calibri"/>
          <w:b/>
          <w:bCs/>
          <w:sz w:val="24"/>
          <w:szCs w:val="22"/>
          <w:lang w:eastAsia="en-US"/>
        </w:rPr>
        <w:t>Проведение конференций</w:t>
      </w:r>
      <w:bookmarkEnd w:id="6"/>
      <w:r w:rsidRPr="009D15C5">
        <w:rPr>
          <w:rFonts w:eastAsia="Calibri" w:cs="Calibri"/>
          <w:b/>
          <w:bCs/>
          <w:sz w:val="24"/>
          <w:szCs w:val="22"/>
          <w:lang w:eastAsia="en-US"/>
        </w:rPr>
        <w:t xml:space="preserve"> (не менее 14 одновременных подключений)</w:t>
      </w:r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Возможность организации конференцсвязи. Приглашение участников конференции как во время разговора</w:t>
      </w:r>
      <w:r>
        <w:rPr>
          <w:rFonts w:eastAsia="Calibri" w:cs="Calibri"/>
          <w:sz w:val="24"/>
          <w:szCs w:val="22"/>
          <w:lang w:eastAsia="en-US"/>
        </w:rPr>
        <w:t>,</w:t>
      </w:r>
      <w:r w:rsidRPr="009D15C5">
        <w:rPr>
          <w:rFonts w:eastAsia="Calibri" w:cs="Calibri"/>
          <w:sz w:val="24"/>
          <w:szCs w:val="22"/>
          <w:lang w:eastAsia="en-US"/>
        </w:rPr>
        <w:t xml:space="preserve"> так и по приглашениям на заранее намеченные мероприятия. Неограниченное количество участников конференции. Неограниченное количество одновременных конференций. Участниками конференции могут быть как внутренние абоненты системы (независимо от территориального расположения участников</w:t>
      </w:r>
      <w:proofErr w:type="gramStart"/>
      <w:r w:rsidRPr="009D15C5">
        <w:rPr>
          <w:rFonts w:eastAsia="Calibri" w:cs="Calibri"/>
          <w:sz w:val="24"/>
          <w:szCs w:val="22"/>
          <w:lang w:eastAsia="en-US"/>
        </w:rPr>
        <w:t>)</w:t>
      </w:r>
      <w:proofErr w:type="gramEnd"/>
      <w:r w:rsidRPr="009D15C5">
        <w:rPr>
          <w:rFonts w:eastAsia="Calibri" w:cs="Calibri"/>
          <w:sz w:val="24"/>
          <w:szCs w:val="22"/>
          <w:lang w:eastAsia="en-US"/>
        </w:rPr>
        <w:t xml:space="preserve"> так и внешние (абоненты городских телефонных сетей, абоненты операторов мобильной связи).</w:t>
      </w:r>
    </w:p>
    <w:p w:rsidR="009F0180" w:rsidRPr="009D15C5" w:rsidRDefault="009F0180" w:rsidP="009F0180">
      <w:pPr>
        <w:widowControl w:val="0"/>
        <w:numPr>
          <w:ilvl w:val="0"/>
          <w:numId w:val="5"/>
        </w:numPr>
        <w:tabs>
          <w:tab w:val="clear" w:pos="720"/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b/>
          <w:bCs/>
          <w:sz w:val="24"/>
          <w:szCs w:val="22"/>
          <w:lang w:eastAsia="en-US"/>
        </w:rPr>
      </w:pPr>
      <w:bookmarkStart w:id="7" w:name="_Toc300652033"/>
      <w:r w:rsidRPr="009D15C5">
        <w:rPr>
          <w:rFonts w:eastAsia="Calibri" w:cs="Calibri"/>
          <w:b/>
          <w:bCs/>
          <w:sz w:val="24"/>
          <w:szCs w:val="22"/>
          <w:lang w:eastAsia="en-US"/>
        </w:rPr>
        <w:t>Персональный факс-ящик</w:t>
      </w:r>
      <w:bookmarkEnd w:id="7"/>
    </w:p>
    <w:p w:rsidR="009F0180" w:rsidRPr="009D15C5" w:rsidRDefault="009F0180" w:rsidP="009F0180">
      <w:pPr>
        <w:widowControl w:val="0"/>
        <w:numPr>
          <w:ilvl w:val="1"/>
          <w:numId w:val="5"/>
        </w:numPr>
        <w:tabs>
          <w:tab w:val="left" w:pos="709"/>
          <w:tab w:val="left" w:pos="1276"/>
          <w:tab w:val="left" w:pos="1701"/>
        </w:tabs>
        <w:suppressAutoHyphens/>
        <w:spacing w:after="200" w:line="360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Использование данной опции позволяет каждому сотруднику, использовать в сво</w:t>
      </w:r>
      <w:r>
        <w:rPr>
          <w:rFonts w:eastAsia="Calibri" w:cs="Calibri"/>
          <w:sz w:val="24"/>
          <w:szCs w:val="22"/>
          <w:lang w:eastAsia="en-US"/>
        </w:rPr>
        <w:t>е</w:t>
      </w:r>
      <w:r w:rsidRPr="009D15C5">
        <w:rPr>
          <w:rFonts w:eastAsia="Calibri" w:cs="Calibri"/>
          <w:sz w:val="24"/>
          <w:szCs w:val="22"/>
          <w:lang w:eastAsia="en-US"/>
        </w:rPr>
        <w:t>й работе персональный факс – ящик для приема документов. Работа с персональным факс - ящиком происходит посредством клиента электронной почты.</w:t>
      </w:r>
    </w:p>
    <w:p w:rsidR="009F0180" w:rsidRPr="009D15C5" w:rsidRDefault="009F0180" w:rsidP="009F0180">
      <w:pPr>
        <w:keepNext/>
        <w:keepLines/>
        <w:spacing w:before="480" w:after="240" w:line="276" w:lineRule="auto"/>
        <w:ind w:left="720" w:hanging="360"/>
        <w:contextualSpacing/>
        <w:jc w:val="center"/>
        <w:outlineLvl w:val="0"/>
        <w:rPr>
          <w:rFonts w:eastAsia="Cambria" w:cs="Cambria"/>
          <w:b/>
          <w:bCs/>
          <w:sz w:val="24"/>
          <w:szCs w:val="28"/>
          <w:lang w:eastAsia="en-US"/>
        </w:rPr>
      </w:pPr>
      <w:r w:rsidRPr="009D15C5">
        <w:rPr>
          <w:rFonts w:eastAsia="Cambria" w:cs="Cambria"/>
          <w:b/>
          <w:bCs/>
          <w:sz w:val="24"/>
          <w:szCs w:val="28"/>
          <w:lang w:eastAsia="en-US"/>
        </w:rPr>
        <w:t>Общие требования.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Техническое обслуживание и восстановление работоспособности АТС проводится в соответствии с требованиями действующих в Российской Федерации нормативных документов, государственных стандартов, норм и правил: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ГОСТ 15.601-98 «Техническое обслуживание и ремонт техники. Основные положения».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ГОСТ 21623-76 «Система технического обслуживания и ремонта техники. Показатели для оценки ремонтопригодности».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ГОСТ Р МЭК 60950-2002 «Безопасность оборудования информационных технологий».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 xml:space="preserve">ГОСТ 19472-88: Система автоматизированной телефонной связи общегосударственная. 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СП 11-106-97 Организация обслуживания телефонных станций и сетей связи. Положение.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Организация, выполняющая работы в соответствии с данным Техническим заданием (далее – Исполнитель), должна обеспечить следующее: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отработку поступающих заявок Заказчика, включая организацию обратной связи с ответственным представителем Заказчика;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предоставление, при необходимости, на согласованной с Заказчиком периодической основе, на электронный адрес ответственного представителя Заказчика отчетов о результатах отработки заявок и требований Заказчика.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оказание услуг по техническому и сервисному обслуживанию, поддержанию в работоспособном состоянии оборудования АТС.</w:t>
      </w:r>
    </w:p>
    <w:p w:rsidR="009F0180" w:rsidRPr="009D15C5" w:rsidRDefault="009F0180" w:rsidP="009F0180">
      <w:pPr>
        <w:spacing w:line="276" w:lineRule="auto"/>
        <w:ind w:left="284"/>
        <w:contextualSpacing/>
        <w:jc w:val="both"/>
        <w:rPr>
          <w:rFonts w:eastAsia="Calibri"/>
          <w:sz w:val="24"/>
          <w:szCs w:val="24"/>
        </w:rPr>
      </w:pP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</w:rPr>
      </w:pPr>
    </w:p>
    <w:p w:rsidR="009F0180" w:rsidRPr="009D15C5" w:rsidRDefault="009F0180" w:rsidP="009F0180">
      <w:pPr>
        <w:keepNext/>
        <w:numPr>
          <w:ilvl w:val="1"/>
          <w:numId w:val="0"/>
        </w:numPr>
        <w:snapToGrid w:val="0"/>
        <w:spacing w:after="240"/>
        <w:ind w:left="792" w:hanging="432"/>
        <w:jc w:val="center"/>
        <w:outlineLvl w:val="1"/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lastRenderedPageBreak/>
        <w:t>Требования к выполнению работ по техническому обслуживанию АТС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 процессе выполнения работ по техническому обслуживанию АТС Исполнитель должен обеспечить: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Диагностику оборудования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Очищение оборудования от загрязнений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Профилактический осмотр электропитания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Проверку работоспособности системы охлаждения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Выявление и устранение сбоев в программном обеспечении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Контроль и устранение неисправностей устройств электропитания АТС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Монтаж дополнительного оборудования по заявке заказчика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Контроль исправности носителей ПО, создание резервной копии рабочей версии ПО, а также обновление ПО до последней актуальной версии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Создание резервных копий данных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Техническую консультативную поддержку эксплуатирующего персонала и руководителей по любым вопросам, связанным с эксплуатацией систем АТС в целях эффективного использования.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Выполнение работ по замене неисправных деталей, блоков, узлов, модулей АТС (при необходимости) за счет Исполнителя.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Контроль, сбор и анализ информации о состоянии оборудования АТС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Выполнение комплекса мероприятий, профилактических и ремонтных работ с использованием программных средств контроля, запуска тестов диагностики оборудования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Проверку эксплуатационно-технических характеристик устройств согласно описаниям и схемам на конкретные устройства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Периодическая проверку (путем измерений, испытаний) соответствия параметров и сигналов требованиям технической (эксплуатационной) документации и схем на АТС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Тренировку (проверку) абонентских комплектов.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Тренировку (проверку) соединительных комплектов с определением работы АТС с телефонной сетью общего пользования.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Определение качественного состояния кабельных сетей и проверка их работоспособности.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Замену неисправных розеток, коннекторов, кроссов, используемых в сети АТС.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Предупреждение отказов оборудования, обеспечение оптимального режима работы оборудования, увеличение межремонтных сроков эксплуатации и сроков службы оборудования.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Организацию работ по обеспечению и соблюдению правил и мер безопасности при эксплуатации АТС.</w:t>
      </w:r>
    </w:p>
    <w:p w:rsidR="009F0180" w:rsidRPr="009D15C5" w:rsidRDefault="009F0180" w:rsidP="009F0180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Выявление и устранение нарушений требований безопасности при работе с АТС.</w:t>
      </w:r>
    </w:p>
    <w:p w:rsidR="009F0180" w:rsidRPr="009D15C5" w:rsidRDefault="009F0180" w:rsidP="009F0180">
      <w:pPr>
        <w:spacing w:line="276" w:lineRule="auto"/>
        <w:ind w:left="1021"/>
        <w:contextualSpacing/>
        <w:jc w:val="both"/>
        <w:rPr>
          <w:rFonts w:eastAsia="Calibri"/>
          <w:sz w:val="24"/>
          <w:szCs w:val="24"/>
        </w:rPr>
      </w:pPr>
    </w:p>
    <w:p w:rsidR="009F0180" w:rsidRPr="009D15C5" w:rsidRDefault="009F0180" w:rsidP="009F0180">
      <w:pPr>
        <w:keepNext/>
        <w:numPr>
          <w:ilvl w:val="1"/>
          <w:numId w:val="0"/>
        </w:numPr>
        <w:snapToGrid w:val="0"/>
        <w:spacing w:after="240"/>
        <w:ind w:left="792" w:hanging="432"/>
        <w:jc w:val="center"/>
        <w:outlineLvl w:val="1"/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t>Требования к выполнению работ по настройке АТС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Настройка параметров IP АТС не должна приводить к ухудшению качества работы АТС и телефонных аппаратов.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cs="Calibri"/>
          <w:bCs/>
          <w:sz w:val="24"/>
          <w:szCs w:val="24"/>
        </w:rPr>
        <w:t>Оказание услуг не должно препятствовать или создавать неудобства в работе ФГБОУ ВПО Институт русского языка имени А.С. Пушкина и представлять угрозу для сотрудников учреждения Заказчика.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lastRenderedPageBreak/>
        <w:t>Обслуживание IP АТС и сопутствующих технических средств должны выполняться во внерабочее время, либо в периоды, согласованные с Заказчиком.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Услуги должны оказываться с использованием материалов, средств и механизмов, соответствующих государственным стандартам техническим условиям и требованиям ГОСТ, СНиП и с соблюдением требований и инструкций по эксплуатации и техническому обслуживанию унифицированного оборудования коммутации АТС.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cs="Calibri"/>
          <w:sz w:val="24"/>
          <w:szCs w:val="24"/>
        </w:rPr>
      </w:pPr>
      <w:r w:rsidRPr="009D15C5">
        <w:rPr>
          <w:rFonts w:cs="Calibri"/>
          <w:bCs/>
          <w:sz w:val="24"/>
          <w:szCs w:val="24"/>
        </w:rPr>
        <w:t xml:space="preserve">Функциональные характеристики АТС после настройки должны соответствовать требованиям описаний и принципиальных схем </w:t>
      </w:r>
      <w:r w:rsidRPr="009D15C5">
        <w:rPr>
          <w:rFonts w:cs="Calibri"/>
          <w:sz w:val="24"/>
          <w:szCs w:val="24"/>
        </w:rPr>
        <w:t>унифицированного оборудования коммутации АТС.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cs="Calibri"/>
          <w:color w:val="000000"/>
          <w:sz w:val="24"/>
          <w:szCs w:val="24"/>
        </w:rPr>
        <w:t>Услуги</w:t>
      </w:r>
      <w:r w:rsidRPr="009D15C5">
        <w:rPr>
          <w:rFonts w:cs="Calibri"/>
          <w:sz w:val="24"/>
          <w:szCs w:val="24"/>
        </w:rPr>
        <w:t xml:space="preserve"> должны оказываться в сроки, установленные регламентами выполнения работ, согласованные с Заказчиком.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Настройка абонентских аппаратов, подключение и отключение новых абонентов, настройка правил обработки и маршрутизации звонков могут выполняться в рабочее время, но не должны затрагивать работоспособность других незадействованных абонентов.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должен настроить IVR и DISA в соответствии с требованиями Заказчика.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Работы и их результаты должны соответствовать требованиям технических нормативов, документов, разрабатываемых и применяемых в рамках национальной системы стандартизации, санитарно-эпидемиологических правил и норм, а также других действующих в отношении данного вида работ документов, включая Техническое Задание и сметную документацию.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несет ответственность за соответствие материалов, используемых при выполнении работ, государственным стандартам и техническим условиям.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обязуется провести все необходимые мероприятия по обеспечению техники безопасности, пожарной безопасности, охране труда, охране окружающей среды, зеленым насаждениям и земле, а также обеспечению безопасности дорожного движения и экологической безопасности в соответствии с установленными нормами и правилами на территории Российской Федерации.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Обеспечение общего порядка на объекте является обязанностью Исполнителя.</w:t>
      </w:r>
    </w:p>
    <w:p w:rsidR="009F0180" w:rsidRPr="009D15C5" w:rsidRDefault="009F0180" w:rsidP="009F0180">
      <w:pPr>
        <w:spacing w:after="200" w:line="276" w:lineRule="auto"/>
        <w:contextualSpacing/>
        <w:jc w:val="both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keepNext/>
        <w:numPr>
          <w:ilvl w:val="1"/>
          <w:numId w:val="0"/>
        </w:numPr>
        <w:snapToGrid w:val="0"/>
        <w:spacing w:after="240"/>
        <w:ind w:left="792" w:hanging="432"/>
        <w:jc w:val="center"/>
        <w:outlineLvl w:val="1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t>Требования к качеству выполняемых работ.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Все работы должны выполняться Исполнителем в соответствии с Техническим заданием.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Все работы по системному и техническому обслуживанию и восстановлению работоспособности ТС выполняются в строгом соответствии с требованиями действующих в Российской Федерации нормативных документов, государственных стандартов, норм и правил.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Работы должны выполняться в соответствии с требованиями технологических процедур, установленных для них производителями АТС.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должен соответствовать требованиям, предъявляемым в соответствии с законодательством Российской Федерации к лицам, осуществляющим оказание услуги, являющейся объектом закупки.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должен строго соблюдать требования режима входа, выхода и нахождения в зданиях и в служебных помещениях объекта, перемещения материальных ценностей, правил техники безопасности, охраны труда и противопожарной безопасности.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Ответственность за организацию технического обслуживания оборудования, входящего в предмет закупки, обеспечение своевременного прибытия техников и инженеров по техническому обслуживанию, обеспечение их материалами, инструментами и т.п., а также ответственность за соблюдение сотрудниками Исполнителя требований охраны труда возлагается на Исполнителя.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keepNext/>
        <w:numPr>
          <w:ilvl w:val="1"/>
          <w:numId w:val="1"/>
        </w:numPr>
        <w:snapToGrid w:val="0"/>
        <w:spacing w:after="240" w:line="276" w:lineRule="auto"/>
        <w:ind w:left="1142"/>
        <w:contextualSpacing/>
        <w:jc w:val="center"/>
        <w:outlineLvl w:val="1"/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</w:pPr>
      <w:r w:rsidRPr="009D15C5">
        <w:rPr>
          <w:rFonts w:ascii="Times New Roman Полужирный" w:eastAsia="Calibri" w:hAnsi="Times New Roman Полужирный" w:cs="Calibri"/>
          <w:b/>
          <w:sz w:val="24"/>
          <w:szCs w:val="22"/>
          <w:lang w:eastAsia="en-US"/>
        </w:rPr>
        <w:t>Требования к безопасности при предоставлении услуг.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 процессе предоставления услуг Исполнитель обязан соблюдать все действующие нормы и правила, включая правила пожарной безопасности, а также правила безопасной эксплуатации машин и механизмов, экологические, санитарно-гигиенические и другие стандарты, которые действуют на территории Российской Федерации и обеспечивают безопасность эксплуатации объектов, не представляя угрозы для жизни и здоровья людей.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Работы, выполненные Исполнителем, должны соответствовать требованиям технических регламентов, документов, разрабатываемых и используемых в национальной системе стандартизации, санитарно-эпидемиологических правил и нормативов, применяемых к данному виду работ, а также Технического Задания и сметной документации.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устанавливает лицо, ответственное за выполнение работ и соблюдение указанных правил, своим приказом. Заказчику предоставляется копия приказа до начала проведения работ. Исполнитель несет ответственность за соблюдение правил пожарной безопасности, техники безопасности, а также за качественное и своевременное предоставление услуг. Все выявленные замечания подлежат устранению за счет Исполнителя.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обеспечивает проведение на объекте всех необходимых мероприятий по технике безопасности, пожарной безопасности, охране труда, охране окружающей среды, зеленым насаждениям и земле, а также обеспечивает безопасность дорожного движения и экологическую безопасность в соответствии с законодательством и подзаконными нормативными актами Российской Федерации.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 случае повреждения инженерных коммуникаций, находящихся в зоне проведения работ, подрядная организация обязана восстановить их за свой счет.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при предоставлении услуг обязан соблюдать требования действующего законодательства Российской Федерации в области охраны окружающей среды и несет ответственность за нарушение этих требований. Он также гарантирует безопасность при предоставлении услуг для окружающей среды и человека.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 процессе предоставления услуг Исполнитель должен осуществлять необходимые противопожарные мероприятия, меры по технике безопасности и охране окружающей среды.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несет ответственность за распространение информации, к которой он может получить доступ в рамках предоставления услуг по Техническому Заданию. Он обязан привлекать квалифицированных специалистов для предоставления услуг по системному обслуживанию и предоставлять эти услуги с соблюдением правил техники безопасности.</w:t>
      </w:r>
    </w:p>
    <w:p w:rsidR="009F0180" w:rsidRPr="009D15C5" w:rsidRDefault="009F0180" w:rsidP="009F0180">
      <w:pPr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keepNext/>
        <w:keepLines/>
        <w:numPr>
          <w:ilvl w:val="0"/>
          <w:numId w:val="9"/>
        </w:numPr>
        <w:spacing w:before="480" w:after="240" w:line="276" w:lineRule="auto"/>
        <w:contextualSpacing/>
        <w:jc w:val="center"/>
        <w:outlineLvl w:val="0"/>
        <w:rPr>
          <w:rFonts w:eastAsia="Cambria" w:cs="Cambria"/>
          <w:b/>
          <w:bCs/>
          <w:sz w:val="24"/>
          <w:szCs w:val="28"/>
          <w:lang w:eastAsia="en-US"/>
        </w:rPr>
      </w:pPr>
      <w:r w:rsidRPr="009D15C5">
        <w:rPr>
          <w:rFonts w:eastAsia="Cambria" w:cs="Cambria"/>
          <w:b/>
          <w:bCs/>
          <w:sz w:val="24"/>
          <w:szCs w:val="28"/>
          <w:lang w:eastAsia="en-US"/>
        </w:rPr>
        <w:t>Требования к организации оказания услуг и к объему гарантий качества.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гарантирует качественное оказание услуг в полном объеме в соответствии с требованиями настоящего Технического задания в течение срока оказания услуг.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 xml:space="preserve">При обнаружении в период гарантийного срока недостатков оказания Услуг, Исполнитель обязан устранить их за свой счет в сроки, согласованные и установленные Исполнителем и Заказчиком в Акте о недостатках с перечнем выявленных недостатков, необходимых доработок и сроков их устранения. Гарантийный срок в данном случае продлевается на период устранения выявленных недостатков. 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При отказе Исполнителя от составления или подписания Акта о недостатках, обнаруженных в период гарантийного срока, Заказчик проводит квалифицированную экспертизу с привлечением экспертов (специалистов) в порядке, предусмотренном Законом о контрактной системе,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Вред, причиненный имуществу Заказчика,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Организация ежемесячного сервисного технического обслуживания компонентов Системы Исполнителем осуществляется следующим образом:</w:t>
      </w:r>
    </w:p>
    <w:p w:rsidR="009F0180" w:rsidRPr="009D15C5" w:rsidRDefault="009F0180" w:rsidP="009F0180">
      <w:pPr>
        <w:numPr>
          <w:ilvl w:val="0"/>
          <w:numId w:val="6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Исполнитель информирует Заказчика о планируемых мероприятиях и получает согласие Заказчика;</w:t>
      </w:r>
    </w:p>
    <w:p w:rsidR="009F0180" w:rsidRPr="009D15C5" w:rsidRDefault="009F0180" w:rsidP="009F0180">
      <w:pPr>
        <w:numPr>
          <w:ilvl w:val="0"/>
          <w:numId w:val="6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Выполняет профилактические и ремонтные работы в согласованный с Заказчиком период.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Предоставление услуг по заявкам Заказчика организуется следующим образом:</w:t>
      </w:r>
    </w:p>
    <w:p w:rsidR="009F0180" w:rsidRPr="009D15C5" w:rsidRDefault="009F0180" w:rsidP="009F0180">
      <w:pPr>
        <w:numPr>
          <w:ilvl w:val="0"/>
          <w:numId w:val="7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Исполнитель принимает и регистрирует все заявки Заказчика, полученные по телефону или через Интернет на указанный электронный адрес;</w:t>
      </w:r>
    </w:p>
    <w:p w:rsidR="009F0180" w:rsidRPr="009D15C5" w:rsidRDefault="009F0180" w:rsidP="009F0180">
      <w:pPr>
        <w:numPr>
          <w:ilvl w:val="0"/>
          <w:numId w:val="7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Контролирует и координирует все работы, связанные с выполнением заявок Заказчика;</w:t>
      </w:r>
    </w:p>
    <w:p w:rsidR="009F0180" w:rsidRPr="009D15C5" w:rsidRDefault="009F0180" w:rsidP="009F0180">
      <w:pPr>
        <w:numPr>
          <w:ilvl w:val="0"/>
          <w:numId w:val="7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Информирует Заказчика по запросу о ходе обработки заявок по телефону или по электронной почте;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Исполнитель предоставляет Заказчику Технический протокол, содержащий объем предоставленных услуг по сервисному обслуживанию оборудования АТС и услугам по заявкам Заказчика, включая результаты анализа и выводы о состоянии аппаратно-программного комплекса Системы.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Качество предоставленных услуг по техническому обслуживанию Системы Исполнителем обеспечивает: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Поддержание оборудования АТС в исправном состоянии на протяжении срока действия контракта</w:t>
      </w:r>
    </w:p>
    <w:p w:rsidR="009F0180" w:rsidRPr="009D15C5" w:rsidRDefault="009F0180" w:rsidP="009F0180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Обеспечение качественной и бесперебойной связи абонентов АТС</w:t>
      </w:r>
    </w:p>
    <w:p w:rsidR="009F0180" w:rsidRPr="009D15C5" w:rsidRDefault="009F0180" w:rsidP="009F0180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Возможность использования абонентами полного функционала, предусмотренного разработчиком оборудования и программного обеспечения АТС</w:t>
      </w:r>
    </w:p>
    <w:p w:rsidR="009F0180" w:rsidRPr="009D15C5" w:rsidRDefault="009F0180" w:rsidP="009F0180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Мониторинг технического состояния оборудования для выявления и устранения возможных сбоев в его работе и программного обеспечения АТС</w:t>
      </w:r>
    </w:p>
    <w:p w:rsidR="009F0180" w:rsidRPr="009D15C5" w:rsidRDefault="009F0180" w:rsidP="009F0180">
      <w:pPr>
        <w:numPr>
          <w:ilvl w:val="0"/>
          <w:numId w:val="8"/>
        </w:numPr>
        <w:spacing w:after="200" w:line="276" w:lineRule="auto"/>
        <w:ind w:left="709"/>
        <w:contextualSpacing/>
        <w:jc w:val="both"/>
        <w:rPr>
          <w:rFonts w:eastAsia="Calibri"/>
          <w:sz w:val="24"/>
          <w:szCs w:val="24"/>
        </w:rPr>
      </w:pPr>
      <w:r w:rsidRPr="009D15C5">
        <w:rPr>
          <w:rFonts w:eastAsia="Calibri"/>
          <w:sz w:val="24"/>
          <w:szCs w:val="24"/>
        </w:rPr>
        <w:t>Устранение недостатков, возникших в результате предоставления услуг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Услуги по техническому обслуживанию выполняются с использованием тестового оборудования и технических средств Исполнителя.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Суммарное время консультаций Заказчика о работе оборудования и администрировании базы данных АТС не ограничено.</w:t>
      </w: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Корректировка ПО АТС и устранение сбоев в работе оборудования выполняются сертифицированными специалистами Исполнителя.</w:t>
      </w:r>
    </w:p>
    <w:p w:rsidR="009F0180" w:rsidRPr="009D15C5" w:rsidRDefault="009F0180" w:rsidP="009F0180">
      <w:pPr>
        <w:jc w:val="right"/>
        <w:rPr>
          <w:rFonts w:eastAsia="Calibri"/>
          <w:sz w:val="22"/>
          <w:szCs w:val="22"/>
          <w:lang w:eastAsia="en-US"/>
        </w:rPr>
      </w:pPr>
      <w:r w:rsidRPr="009D15C5">
        <w:rPr>
          <w:rFonts w:eastAsia="Calibri"/>
          <w:sz w:val="22"/>
          <w:szCs w:val="22"/>
          <w:lang w:eastAsia="en-US"/>
        </w:rPr>
        <w:t>Приложение 1 к Техническому заданию</w:t>
      </w:r>
    </w:p>
    <w:p w:rsidR="009F0180" w:rsidRPr="009D15C5" w:rsidRDefault="009F0180" w:rsidP="009F0180">
      <w:pPr>
        <w:jc w:val="center"/>
        <w:rPr>
          <w:rFonts w:eastAsia="Calibri"/>
          <w:sz w:val="22"/>
          <w:szCs w:val="22"/>
          <w:lang w:eastAsia="en-US"/>
        </w:rPr>
      </w:pPr>
    </w:p>
    <w:p w:rsidR="009F0180" w:rsidRPr="009D15C5" w:rsidRDefault="009F0180" w:rsidP="009F0180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D15C5">
        <w:rPr>
          <w:rFonts w:eastAsia="Calibri"/>
          <w:b/>
          <w:sz w:val="22"/>
          <w:szCs w:val="22"/>
          <w:lang w:eastAsia="en-US"/>
        </w:rPr>
        <w:t>Временные параметры (SLA)</w:t>
      </w:r>
    </w:p>
    <w:p w:rsidR="009F0180" w:rsidRPr="009D15C5" w:rsidRDefault="009F0180" w:rsidP="009F0180">
      <w:pPr>
        <w:jc w:val="both"/>
        <w:rPr>
          <w:rFonts w:eastAsia="Calibri"/>
          <w:b/>
          <w:sz w:val="22"/>
          <w:szCs w:val="22"/>
          <w:lang w:eastAsia="en-US"/>
        </w:rPr>
      </w:pPr>
      <w:r w:rsidRPr="009D15C5">
        <w:rPr>
          <w:rFonts w:eastAsia="Calibri"/>
          <w:b/>
          <w:sz w:val="22"/>
          <w:szCs w:val="22"/>
          <w:lang w:eastAsia="en-US"/>
        </w:rPr>
        <w:t xml:space="preserve">Запросы на обслуживание: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3962"/>
      </w:tblGrid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График поддержки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12х5 работы ведутся будние дни</w:t>
            </w:r>
          </w:p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 (с 8:00 до 20:00)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регистрации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 получении информации по телефону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10 минут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 получении информации по электронной почте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20 минут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реагирования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20 минут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1 часа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 рабочих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8 рабочих часов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 выполнения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4 рабочих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8 рабочих часов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16 рабочих часов</w:t>
            </w:r>
          </w:p>
        </w:tc>
      </w:tr>
    </w:tbl>
    <w:p w:rsidR="009F0180" w:rsidRPr="009D15C5" w:rsidRDefault="009F0180" w:rsidP="009F0180">
      <w:pPr>
        <w:jc w:val="both"/>
        <w:rPr>
          <w:rFonts w:eastAsia="Calibri"/>
          <w:sz w:val="22"/>
          <w:szCs w:val="22"/>
          <w:lang w:eastAsia="en-US"/>
        </w:rPr>
      </w:pPr>
    </w:p>
    <w:p w:rsidR="009F0180" w:rsidRPr="009D15C5" w:rsidRDefault="009F0180" w:rsidP="009F0180">
      <w:pPr>
        <w:jc w:val="both"/>
        <w:rPr>
          <w:rFonts w:eastAsia="Calibri"/>
          <w:b/>
          <w:sz w:val="22"/>
          <w:szCs w:val="22"/>
          <w:lang w:eastAsia="en-US"/>
        </w:rPr>
      </w:pPr>
      <w:r w:rsidRPr="009D15C5">
        <w:rPr>
          <w:rFonts w:eastAsia="Calibri"/>
          <w:b/>
          <w:sz w:val="22"/>
          <w:szCs w:val="22"/>
          <w:lang w:eastAsia="en-US"/>
        </w:rPr>
        <w:t>Инциденты и восстановление работоспособности: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3963"/>
      </w:tblGrid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График поддержки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12х5 работы ведутся будние дни</w:t>
            </w:r>
          </w:p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 (с 8:00 до 20:00)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регистрации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 получении информации по телефону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10 минут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 получении информации по электронной почте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20 минут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реагирования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20 минут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1 часа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 рабочих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8 рабочих часов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 выполнения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4 рабочих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8 рабочих часов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16 рабочих часов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устранения системных ошибок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Время устранения системных ошибок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 30 календарных дней</w:t>
            </w:r>
          </w:p>
        </w:tc>
      </w:tr>
    </w:tbl>
    <w:p w:rsidR="009F0180" w:rsidRPr="009D15C5" w:rsidRDefault="009F0180" w:rsidP="009F0180">
      <w:pPr>
        <w:jc w:val="both"/>
        <w:rPr>
          <w:rFonts w:eastAsia="Calibri"/>
          <w:sz w:val="22"/>
          <w:szCs w:val="22"/>
          <w:lang w:eastAsia="en-US"/>
        </w:rPr>
      </w:pPr>
    </w:p>
    <w:p w:rsidR="009F0180" w:rsidRPr="009D15C5" w:rsidRDefault="009F0180" w:rsidP="009F0180">
      <w:pPr>
        <w:jc w:val="both"/>
        <w:rPr>
          <w:rFonts w:eastAsia="Calibri"/>
          <w:b/>
          <w:sz w:val="22"/>
          <w:szCs w:val="22"/>
          <w:lang w:eastAsia="en-US"/>
        </w:rPr>
      </w:pPr>
      <w:r w:rsidRPr="009D15C5">
        <w:rPr>
          <w:rFonts w:eastAsia="Calibri"/>
          <w:b/>
          <w:sz w:val="22"/>
          <w:szCs w:val="22"/>
          <w:lang w:eastAsia="en-US"/>
        </w:rPr>
        <w:t>Мониторинг: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3965"/>
      </w:tblGrid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График поддержки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24х7 мониторинг работоспособности осуществляется в круглосуточном режиме </w:t>
            </w:r>
          </w:p>
        </w:tc>
      </w:tr>
      <w:tr w:rsidR="009F0180" w:rsidTr="004576D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b/>
                <w:sz w:val="22"/>
                <w:szCs w:val="22"/>
                <w:lang w:eastAsia="en-US"/>
              </w:rPr>
              <w:t>Время реагирования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- 1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20 минут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- 2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не более 45 минут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- 3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2 часов </w:t>
            </w:r>
          </w:p>
        </w:tc>
      </w:tr>
      <w:tr w:rsidR="009F0180" w:rsidTr="004576DA"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>Приоритет - 4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180" w:rsidRPr="009D15C5" w:rsidRDefault="009F0180" w:rsidP="004576DA">
            <w:pPr>
              <w:ind w:firstLine="342"/>
              <w:rPr>
                <w:rFonts w:eastAsia="Calibri"/>
                <w:sz w:val="22"/>
                <w:szCs w:val="22"/>
                <w:lang w:eastAsia="en-US"/>
              </w:rPr>
            </w:pPr>
            <w:r w:rsidRPr="009D15C5">
              <w:rPr>
                <w:rFonts w:eastAsia="Calibri"/>
                <w:sz w:val="22"/>
                <w:szCs w:val="22"/>
                <w:lang w:eastAsia="en-US"/>
              </w:rPr>
              <w:t xml:space="preserve">не более 8 часов </w:t>
            </w:r>
          </w:p>
        </w:tc>
      </w:tr>
    </w:tbl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</w:p>
    <w:p w:rsidR="009F0180" w:rsidRPr="009D15C5" w:rsidRDefault="009F0180" w:rsidP="009F0180">
      <w:pPr>
        <w:spacing w:after="200" w:line="276" w:lineRule="auto"/>
        <w:ind w:firstLine="709"/>
        <w:contextualSpacing/>
        <w:jc w:val="both"/>
        <w:rPr>
          <w:rFonts w:eastAsia="Calibri" w:cs="Calibri"/>
          <w:sz w:val="24"/>
          <w:szCs w:val="22"/>
          <w:lang w:eastAsia="en-US"/>
        </w:rPr>
      </w:pPr>
      <w:r w:rsidRPr="009D15C5">
        <w:rPr>
          <w:rFonts w:eastAsia="Calibri" w:cs="Calibri"/>
          <w:sz w:val="24"/>
          <w:szCs w:val="22"/>
          <w:lang w:eastAsia="en-US"/>
        </w:rPr>
        <w:t>Временные интервалы по запросам на изменение согласовываются с Заказчиком отдельно для каждого обращения на изменение конфигурации инфраструктуры или оборудования.</w:t>
      </w:r>
    </w:p>
    <w:p w:rsidR="004C7C78" w:rsidRDefault="004C7C78"/>
    <w:sectPr w:rsidR="004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80CE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A2840A8"/>
    <w:multiLevelType w:val="multilevel"/>
    <w:tmpl w:val="6A5A99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725779C"/>
    <w:multiLevelType w:val="multilevel"/>
    <w:tmpl w:val="FFD89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6A58"/>
    <w:multiLevelType w:val="multilevel"/>
    <w:tmpl w:val="7286DD7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4A2C2B"/>
    <w:multiLevelType w:val="multilevel"/>
    <w:tmpl w:val="D8A253A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540BA7"/>
    <w:multiLevelType w:val="hybridMultilevel"/>
    <w:tmpl w:val="7D826B6E"/>
    <w:lvl w:ilvl="0" w:tplc="4B58F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F84ED7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A837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981D8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96F78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F80F7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0C5DA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2653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82072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D54C0E"/>
    <w:multiLevelType w:val="hybridMultilevel"/>
    <w:tmpl w:val="047C85EC"/>
    <w:lvl w:ilvl="0" w:tplc="0D2A7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840B29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9467FC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EEF6D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2664B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CE3C5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1C575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AC559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061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DFB15DE"/>
    <w:multiLevelType w:val="hybridMultilevel"/>
    <w:tmpl w:val="364A3C54"/>
    <w:lvl w:ilvl="0" w:tplc="5D4810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BC1A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5A49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9065F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3627B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C247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CE7C9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AC0E0D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7D8A5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04"/>
    <w:rsid w:val="001D47D0"/>
    <w:rsid w:val="004C7C78"/>
    <w:rsid w:val="0060120B"/>
    <w:rsid w:val="007D100E"/>
    <w:rsid w:val="00904C04"/>
    <w:rsid w:val="009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5949"/>
  <w15:chartTrackingRefBased/>
  <w15:docId w15:val="{0CFBCB14-150E-45D9-9379-6E7DA697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F0180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Татьяна Григорьевна</dc:creator>
  <cp:keywords/>
  <dc:description/>
  <cp:lastModifiedBy>Роговицкая Анна Анатольевна</cp:lastModifiedBy>
  <cp:revision>3</cp:revision>
  <dcterms:created xsi:type="dcterms:W3CDTF">2025-05-23T12:55:00Z</dcterms:created>
  <dcterms:modified xsi:type="dcterms:W3CDTF">2026-06-18T09:03:00Z</dcterms:modified>
</cp:coreProperties>
</file>