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62E7" w14:textId="77777777" w:rsidR="0007708E" w:rsidRPr="0007708E" w:rsidRDefault="0007708E" w:rsidP="0007708E">
      <w:pPr>
        <w:spacing w:before="240" w:after="0"/>
        <w:ind w:right="136"/>
        <w:jc w:val="center"/>
        <w:rPr>
          <w:rFonts w:eastAsia="Times New Roman" w:cs="Times New Roman"/>
          <w:b/>
          <w:kern w:val="0"/>
          <w:sz w:val="22"/>
          <w:lang w:eastAsia="ru-RU"/>
          <w14:ligatures w14:val="none"/>
        </w:rPr>
      </w:pPr>
      <w:bookmarkStart w:id="0" w:name="_Hlk214375245"/>
      <w:r w:rsidRPr="0007708E">
        <w:rPr>
          <w:rFonts w:eastAsia="Times New Roman" w:cs="Times New Roman"/>
          <w:b/>
          <w:kern w:val="0"/>
          <w:sz w:val="22"/>
          <w:lang w:eastAsia="ru-RU"/>
          <w14:ligatures w14:val="none"/>
        </w:rPr>
        <w:t xml:space="preserve">ОБОСНОВАНИЕ НАЧАЛЬНОЙ МАКСИМАЛЬНОЙ ЦЕНЫ КОНТРАКТА </w:t>
      </w:r>
      <w:r w:rsidRPr="0007708E">
        <w:rPr>
          <w:rFonts w:eastAsia="Times New Roman" w:cs="Times New Roman"/>
          <w:b/>
          <w:kern w:val="0"/>
          <w:sz w:val="22"/>
          <w:lang w:eastAsia="ru-RU"/>
          <w14:ligatures w14:val="none"/>
        </w:rPr>
        <w:br/>
        <w:t>НА ПОСТАВКУ ТОВАРА (ОКАЗАНИЕ УСЛУГ)</w:t>
      </w:r>
    </w:p>
    <w:p w14:paraId="1330F729" w14:textId="77777777" w:rsidR="0007708E" w:rsidRPr="0007708E" w:rsidRDefault="0007708E" w:rsidP="0007708E">
      <w:pPr>
        <w:spacing w:after="0"/>
        <w:ind w:right="136"/>
        <w:jc w:val="center"/>
        <w:rPr>
          <w:rFonts w:eastAsia="Times New Roman" w:cs="Times New Roman"/>
          <w:i/>
          <w:kern w:val="0"/>
          <w:sz w:val="22"/>
          <w:lang w:eastAsia="ru-RU"/>
          <w14:ligatures w14:val="none"/>
        </w:rPr>
      </w:pPr>
      <w:r w:rsidRPr="0007708E">
        <w:rPr>
          <w:rFonts w:eastAsia="Times New Roman" w:cs="Times New Roman"/>
          <w:i/>
          <w:kern w:val="0"/>
          <w:sz w:val="22"/>
          <w:lang w:eastAsia="ru-RU"/>
          <w14:ligatures w14:val="none"/>
        </w:rPr>
        <w:t>закупка у единственного поставщика</w:t>
      </w:r>
    </w:p>
    <w:p w14:paraId="58869F0F" w14:textId="77777777" w:rsidR="0007708E" w:rsidRPr="0007708E" w:rsidRDefault="0007708E" w:rsidP="0007708E">
      <w:pPr>
        <w:spacing w:after="0"/>
        <w:ind w:right="136"/>
        <w:jc w:val="center"/>
        <w:rPr>
          <w:rFonts w:eastAsia="Times New Roman" w:cs="Times New Roman"/>
          <w:i/>
          <w:kern w:val="0"/>
          <w:sz w:val="22"/>
          <w:lang w:eastAsia="ru-RU"/>
          <w14:ligatures w14:val="none"/>
        </w:rPr>
      </w:pPr>
    </w:p>
    <w:p w14:paraId="3F90E102" w14:textId="77777777" w:rsidR="0007708E" w:rsidRPr="0007708E" w:rsidRDefault="0007708E" w:rsidP="0007708E">
      <w:pPr>
        <w:spacing w:after="0"/>
        <w:ind w:right="-143" w:firstLine="709"/>
        <w:jc w:val="both"/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07708E">
        <w:rPr>
          <w:rFonts w:eastAsia="Times New Roman" w:cs="Times New Roman"/>
          <w:b/>
          <w:kern w:val="0"/>
          <w:sz w:val="21"/>
          <w:szCs w:val="21"/>
          <w:lang w:eastAsia="ru-RU"/>
          <w14:ligatures w14:val="none"/>
        </w:rPr>
        <w:t xml:space="preserve">Наименование предмета контракта: </w:t>
      </w:r>
      <w:r w:rsidRPr="0007708E">
        <w:rPr>
          <w:rFonts w:eastAsia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поставка строительных материалов в рамках капитального ремонта.</w:t>
      </w:r>
    </w:p>
    <w:p w14:paraId="3414EC68" w14:textId="77777777" w:rsidR="0007708E" w:rsidRPr="0007708E" w:rsidRDefault="0007708E" w:rsidP="0007708E">
      <w:pPr>
        <w:spacing w:after="0"/>
        <w:ind w:right="-1" w:firstLine="709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  <w:r w:rsidRPr="0007708E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Основные характеристики объекта закупки: в соответствии с Приложением 1.</w:t>
      </w:r>
    </w:p>
    <w:p w14:paraId="21BE3417" w14:textId="77777777" w:rsidR="0007708E" w:rsidRPr="0007708E" w:rsidRDefault="0007708E" w:rsidP="0007708E">
      <w:pPr>
        <w:spacing w:after="0"/>
        <w:ind w:right="-143" w:firstLine="708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  <w:r w:rsidRPr="0007708E"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 рынка), коммерческие предложения прилагаю:</w:t>
      </w:r>
    </w:p>
    <w:p w14:paraId="18E115D3" w14:textId="77777777" w:rsidR="0007708E" w:rsidRPr="0007708E" w:rsidRDefault="0007708E" w:rsidP="0007708E">
      <w:pPr>
        <w:spacing w:after="0"/>
        <w:ind w:right="-143" w:firstLine="708"/>
        <w:jc w:val="both"/>
        <w:rPr>
          <w:rFonts w:eastAsia="Times New Roman" w:cs="Times New Roman"/>
          <w:kern w:val="0"/>
          <w:sz w:val="21"/>
          <w:szCs w:val="21"/>
          <w:lang w:eastAsia="ru-RU"/>
          <w14:ligatures w14:val="none"/>
        </w:rPr>
      </w:pPr>
    </w:p>
    <w:tbl>
      <w:tblPr>
        <w:tblW w:w="103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2268"/>
        <w:gridCol w:w="709"/>
        <w:gridCol w:w="570"/>
        <w:gridCol w:w="992"/>
        <w:gridCol w:w="1134"/>
        <w:gridCol w:w="993"/>
        <w:gridCol w:w="1133"/>
        <w:gridCol w:w="992"/>
        <w:gridCol w:w="1138"/>
      </w:tblGrid>
      <w:tr w:rsidR="0007708E" w:rsidRPr="0007708E" w14:paraId="46D5232F" w14:textId="77777777" w:rsidTr="0007708E">
        <w:trPr>
          <w:trHeight w:val="44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EED5D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6DB4B49E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881F534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8A3A2" w14:textId="77777777" w:rsidR="0007708E" w:rsidRPr="0007708E" w:rsidRDefault="0007708E" w:rsidP="0007708E">
            <w:pPr>
              <w:spacing w:after="0"/>
              <w:ind w:left="-105" w:right="-114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A4C3A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B26C3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CA93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B08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65C0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3</w:t>
            </w:r>
          </w:p>
        </w:tc>
      </w:tr>
      <w:tr w:rsidR="0007708E" w:rsidRPr="0007708E" w14:paraId="7E2DD2A1" w14:textId="77777777" w:rsidTr="0007708E">
        <w:trPr>
          <w:trHeight w:val="7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90E5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A4B0" w14:textId="77777777" w:rsidR="0007708E" w:rsidRPr="0007708E" w:rsidRDefault="0007708E" w:rsidP="0007708E">
            <w:pPr>
              <w:spacing w:after="0"/>
              <w:ind w:left="-105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BC0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950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5D42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9737C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32F6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FFC2E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515E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6921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</w:tr>
      <w:tr w:rsidR="0007708E" w:rsidRPr="0007708E" w14:paraId="1901056A" w14:textId="77777777" w:rsidTr="0007708E">
        <w:trPr>
          <w:trHeight w:val="46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5ACE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7578" w14:textId="77777777" w:rsidR="0007708E" w:rsidRPr="0007708E" w:rsidRDefault="0007708E" w:rsidP="0007708E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  <w:t>Выключатель одноклавишный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52DE5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97F7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40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5F2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32600,00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5E6A9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1C1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29400,00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D338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D778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25800,00</w:t>
            </w:r>
          </w:p>
        </w:tc>
      </w:tr>
      <w:tr w:rsidR="0007708E" w:rsidRPr="0007708E" w14:paraId="1F94A8C0" w14:textId="77777777" w:rsidTr="0007708E">
        <w:trPr>
          <w:trHeight w:val="46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FC9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1869" w14:textId="77777777" w:rsidR="0007708E" w:rsidRPr="0007708E" w:rsidRDefault="0007708E" w:rsidP="0007708E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  <w:t>Розетка встраиваемая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D5E8C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0D1A3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D91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DE55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B4A0E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290,00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D97F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58000,00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B1E1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175,00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EF4A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35000,00</w:t>
            </w:r>
          </w:p>
        </w:tc>
      </w:tr>
      <w:tr w:rsidR="0007708E" w:rsidRPr="0007708E" w14:paraId="1F6BE766" w14:textId="77777777" w:rsidTr="0007708E">
        <w:trPr>
          <w:trHeight w:val="46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070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3F0FF" w14:textId="77777777" w:rsidR="0007708E" w:rsidRPr="0007708E" w:rsidRDefault="0007708E" w:rsidP="0007708E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  <w:t xml:space="preserve">Розетка накладная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1095F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1291D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415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295,00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0D0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29500,00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D478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318,00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F52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3A74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218,00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60C9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21800,00</w:t>
            </w:r>
          </w:p>
        </w:tc>
      </w:tr>
      <w:tr w:rsidR="0007708E" w:rsidRPr="0007708E" w14:paraId="45B21793" w14:textId="77777777" w:rsidTr="0007708E">
        <w:trPr>
          <w:trHeight w:val="46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895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F5C44" w14:textId="77777777" w:rsidR="0007708E" w:rsidRPr="0007708E" w:rsidRDefault="0007708E" w:rsidP="0007708E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  <w:t xml:space="preserve">Кнопка для дверного звонка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8920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06418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D3E5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D699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10379,00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A6B1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151,00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87B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14647,00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B220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102,00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50CF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9894,00</w:t>
            </w:r>
          </w:p>
        </w:tc>
      </w:tr>
      <w:tr w:rsidR="0007708E" w:rsidRPr="0007708E" w14:paraId="52BA3282" w14:textId="77777777" w:rsidTr="0007708E">
        <w:trPr>
          <w:trHeight w:val="46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E57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76494" w14:textId="77777777" w:rsidR="0007708E" w:rsidRPr="0007708E" w:rsidRDefault="0007708E" w:rsidP="0007708E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  <w:t xml:space="preserve">Кабель силовой 3x2.5 мм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347E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C9E7D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927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140,70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D00B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42210,00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1CA6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126,51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04D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37953,00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B534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114,62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4D74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34386,00</w:t>
            </w:r>
          </w:p>
        </w:tc>
      </w:tr>
      <w:tr w:rsidR="0007708E" w:rsidRPr="0007708E" w14:paraId="491E1E3C" w14:textId="77777777" w:rsidTr="0007708E">
        <w:trPr>
          <w:trHeight w:val="46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771F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6CE8E" w14:textId="77777777" w:rsidR="0007708E" w:rsidRPr="0007708E" w:rsidRDefault="0007708E" w:rsidP="0007708E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  <w:t>Кабель силовой 2х1,5 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05CF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EC983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9569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52,23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A96C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26115,00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6AA1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52,22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686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F9D2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49,08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0A5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24540,00</w:t>
            </w:r>
          </w:p>
        </w:tc>
      </w:tr>
      <w:tr w:rsidR="0007708E" w:rsidRPr="0007708E" w14:paraId="244555C8" w14:textId="77777777" w:rsidTr="0007708E">
        <w:trPr>
          <w:trHeight w:val="46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AE6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B0FF" w14:textId="77777777" w:rsidR="0007708E" w:rsidRPr="0007708E" w:rsidRDefault="0007708E" w:rsidP="0007708E">
            <w:pPr>
              <w:shd w:val="clear" w:color="auto" w:fill="FFFFFF"/>
              <w:tabs>
                <w:tab w:val="left" w:pos="318"/>
              </w:tabs>
              <w:spacing w:after="0"/>
              <w:outlineLvl w:val="0"/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32"/>
                <w:sz w:val="20"/>
                <w:szCs w:val="20"/>
                <w:lang w:eastAsia="ru-RU"/>
                <w14:ligatures w14:val="none"/>
              </w:rPr>
              <w:t xml:space="preserve">Эмаль серая ПФ-115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0FF81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6BBAD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9E15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282,85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B59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226280,00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BD880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264,50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982A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211600,00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37227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209,70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156A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167760,00</w:t>
            </w:r>
          </w:p>
        </w:tc>
      </w:tr>
      <w:tr w:rsidR="0007708E" w:rsidRPr="0007708E" w14:paraId="62B7E7E4" w14:textId="77777777" w:rsidTr="0007708E">
        <w:trPr>
          <w:trHeight w:val="462"/>
        </w:trPr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E12" w14:textId="77777777" w:rsidR="0007708E" w:rsidRPr="0007708E" w:rsidRDefault="0007708E" w:rsidP="0007708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ИТОГО в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C5CB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1DD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407084,00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5B17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6D9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409510,00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EA656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137A" w14:textId="77777777" w:rsidR="0007708E" w:rsidRPr="0007708E" w:rsidRDefault="0007708E" w:rsidP="0007708E">
            <w:pPr>
              <w:spacing w:after="0"/>
              <w:ind w:left="-110" w:right="-103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319180,00</w:t>
            </w:r>
          </w:p>
        </w:tc>
      </w:tr>
    </w:tbl>
    <w:p w14:paraId="4447F4FD" w14:textId="77777777" w:rsidR="0007708E" w:rsidRPr="0007708E" w:rsidRDefault="0007708E" w:rsidP="0007708E">
      <w:pPr>
        <w:spacing w:after="0"/>
        <w:ind w:firstLine="567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</w:p>
    <w:p w14:paraId="178E5B9D" w14:textId="77777777" w:rsidR="0007708E" w:rsidRPr="0007708E" w:rsidRDefault="0007708E" w:rsidP="0007708E">
      <w:pPr>
        <w:spacing w:after="0"/>
        <w:ind w:firstLine="567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  <w:r w:rsidRPr="0007708E">
        <w:rPr>
          <w:rFonts w:eastAsia="SimSun" w:cs="Times New Roman"/>
          <w:kern w:val="0"/>
          <w:sz w:val="21"/>
          <w:szCs w:val="21"/>
          <w:lang w:eastAsia="ru-RU"/>
          <w14:ligatures w14:val="none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07708E">
        <w:rPr>
          <w:rFonts w:eastAsia="SimSun" w:cs="Times New Roman"/>
          <w:kern w:val="0"/>
          <w:sz w:val="21"/>
          <w:szCs w:val="21"/>
          <w:lang w:val="en-US" w:eastAsia="ru-RU"/>
          <w14:ligatures w14:val="none"/>
        </w:rPr>
        <w:t>V</w:t>
      </w:r>
      <w:r w:rsidRPr="0007708E">
        <w:rPr>
          <w:rFonts w:eastAsia="SimSun" w:cs="Times New Roman"/>
          <w:kern w:val="0"/>
          <w:sz w:val="21"/>
          <w:szCs w:val="21"/>
          <w:lang w:eastAsia="ru-RU"/>
          <w14:ligatures w14:val="none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000" w:firstRow="0" w:lastRow="0" w:firstColumn="0" w:lastColumn="0" w:noHBand="0" w:noVBand="0"/>
      </w:tblPr>
      <w:tblGrid>
        <w:gridCol w:w="2093"/>
        <w:gridCol w:w="5812"/>
      </w:tblGrid>
      <w:tr w:rsidR="0007708E" w:rsidRPr="0007708E" w14:paraId="79F88180" w14:textId="77777777" w:rsidTr="00445C67">
        <w:trPr>
          <w:trHeight w:val="510"/>
        </w:trPr>
        <w:tc>
          <w:tcPr>
            <w:tcW w:w="2093" w:type="dxa"/>
            <w:vAlign w:val="bottom"/>
          </w:tcPr>
          <w:p w14:paraId="4B5D575F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32372C15" wp14:editId="09A2FB79">
                  <wp:extent cx="1065530" cy="429260"/>
                  <wp:effectExtent l="0" t="0" r="0" b="0"/>
                  <wp:docPr id="15541404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08E">
              <w:rPr>
                <w:rFonts w:eastAsia="SimSun" w:cs="Times New Roman"/>
                <w:kern w:val="0"/>
                <w:sz w:val="21"/>
                <w:szCs w:val="21"/>
                <w:lang w:eastAsia="ru-RU"/>
                <w14:ligatures w14:val="none"/>
              </w:rPr>
              <w:t>, где</w:t>
            </w:r>
          </w:p>
        </w:tc>
        <w:tc>
          <w:tcPr>
            <w:tcW w:w="5812" w:type="dxa"/>
            <w:vAlign w:val="center"/>
          </w:tcPr>
          <w:p w14:paraId="56EDC056" w14:textId="77777777" w:rsidR="0007708E" w:rsidRPr="0007708E" w:rsidRDefault="0007708E" w:rsidP="0007708E">
            <w:pPr>
              <w:spacing w:after="0"/>
              <w:rPr>
                <w:rFonts w:eastAsia="SimSu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noProof/>
                <w:kern w:val="0"/>
                <w:sz w:val="21"/>
                <w:szCs w:val="21"/>
                <w:lang w:eastAsia="ru-RU"/>
                <w14:ligatures w14:val="none"/>
              </w:rPr>
              <w:drawing>
                <wp:inline distT="0" distB="0" distL="0" distR="0" wp14:anchorId="4C95FC44" wp14:editId="30FB9618">
                  <wp:extent cx="1256030" cy="437515"/>
                  <wp:effectExtent l="0" t="0" r="0" b="0"/>
                  <wp:docPr id="21282947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08E">
              <w:rPr>
                <w:rFonts w:eastAsia="SimSu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- </w:t>
            </w:r>
            <w:r w:rsidRPr="0007708E">
              <w:rPr>
                <w:rFonts w:eastAsia="SimSun" w:cs="Times New Roman"/>
                <w:i/>
                <w:kern w:val="0"/>
                <w:sz w:val="21"/>
                <w:szCs w:val="21"/>
                <w:lang w:eastAsia="ru-RU"/>
                <w14:ligatures w14:val="none"/>
              </w:rPr>
              <w:t>среднеквадратичное отклонение</w:t>
            </w:r>
            <w:r w:rsidRPr="0007708E">
              <w:rPr>
                <w:rFonts w:eastAsia="SimSun" w:cs="Times New Roman"/>
                <w:kern w:val="0"/>
                <w:sz w:val="21"/>
                <w:szCs w:val="21"/>
                <w:lang w:eastAsia="ru-RU"/>
                <w14:ligatures w14:val="none"/>
              </w:rPr>
              <w:t>,</w:t>
            </w:r>
          </w:p>
        </w:tc>
      </w:tr>
    </w:tbl>
    <w:p w14:paraId="4D8CF8AC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</w:p>
    <w:p w14:paraId="342CAAFD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</w:p>
    <w:p w14:paraId="30A870D8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</w:p>
    <w:p w14:paraId="48FDEC81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</w:p>
    <w:p w14:paraId="5066E921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</w:p>
    <w:p w14:paraId="170A6FC8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  <w:proofErr w:type="spellStart"/>
      <w:r w:rsidRPr="0007708E">
        <w:rPr>
          <w:rFonts w:eastAsia="SimSun" w:cs="Times New Roman"/>
          <w:kern w:val="0"/>
          <w:sz w:val="21"/>
          <w:szCs w:val="21"/>
          <w:lang w:eastAsia="ru-RU"/>
          <w14:ligatures w14:val="none"/>
        </w:rPr>
        <w:t>ц</w:t>
      </w:r>
      <w:r w:rsidRPr="0007708E">
        <w:rPr>
          <w:rFonts w:eastAsia="SimSun" w:cs="Times New Roman"/>
          <w:kern w:val="0"/>
          <w:sz w:val="21"/>
          <w:szCs w:val="21"/>
          <w:vertAlign w:val="subscript"/>
          <w:lang w:eastAsia="ru-RU"/>
          <w14:ligatures w14:val="none"/>
        </w:rPr>
        <w:t>i</w:t>
      </w:r>
      <w:proofErr w:type="spellEnd"/>
      <w:r w:rsidRPr="0007708E">
        <w:rPr>
          <w:rFonts w:eastAsia="SimSun" w:cs="Times New Roman"/>
          <w:kern w:val="0"/>
          <w:sz w:val="21"/>
          <w:szCs w:val="21"/>
          <w:lang w:eastAsia="ru-RU"/>
          <w14:ligatures w14:val="none"/>
        </w:rPr>
        <w:t>- цена единицы товара, работы, услуги, указанная в источнике с номером i;</w:t>
      </w:r>
    </w:p>
    <w:p w14:paraId="066F0880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  <w:r w:rsidRPr="0007708E">
        <w:rPr>
          <w:rFonts w:eastAsia="SimSun" w:cs="Times New Roman"/>
          <w:kern w:val="0"/>
          <w:sz w:val="21"/>
          <w:szCs w:val="21"/>
          <w:lang w:eastAsia="ru-RU"/>
          <w14:ligatures w14:val="none"/>
        </w:rPr>
        <w:t>&lt;ц&gt; - средняя арифметическая величина цены единицы товара, работы, услуги;</w:t>
      </w:r>
    </w:p>
    <w:p w14:paraId="6CA5DCDB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  <w:r w:rsidRPr="0007708E">
        <w:rPr>
          <w:rFonts w:eastAsia="SimSun" w:cs="Times New Roman"/>
          <w:kern w:val="0"/>
          <w:sz w:val="21"/>
          <w:szCs w:val="21"/>
          <w:lang w:eastAsia="ru-RU"/>
          <w14:ligatures w14:val="none"/>
        </w:rPr>
        <w:t>n - количество значений, используемых в расчете.</w:t>
      </w:r>
    </w:p>
    <w:p w14:paraId="3216ACE7" w14:textId="77777777" w:rsidR="0007708E" w:rsidRPr="0007708E" w:rsidRDefault="0007708E" w:rsidP="0007708E">
      <w:pPr>
        <w:spacing w:after="0"/>
        <w:jc w:val="both"/>
        <w:rPr>
          <w:rFonts w:eastAsia="SimSun" w:cs="Times New Roman"/>
          <w:kern w:val="0"/>
          <w:sz w:val="21"/>
          <w:szCs w:val="21"/>
          <w:lang w:eastAsia="ru-RU"/>
          <w14:ligatures w14:val="none"/>
        </w:rPr>
      </w:pPr>
    </w:p>
    <w:tbl>
      <w:tblPr>
        <w:tblW w:w="5000" w:type="pct"/>
        <w:tblInd w:w="-18" w:type="dxa"/>
        <w:tblLook w:val="0000" w:firstRow="0" w:lastRow="0" w:firstColumn="0" w:lastColumn="0" w:noHBand="0" w:noVBand="0"/>
      </w:tblPr>
      <w:tblGrid>
        <w:gridCol w:w="430"/>
        <w:gridCol w:w="5485"/>
        <w:gridCol w:w="2343"/>
        <w:gridCol w:w="1653"/>
      </w:tblGrid>
      <w:tr w:rsidR="0007708E" w:rsidRPr="0007708E" w14:paraId="178BC038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0C3" w14:textId="77777777" w:rsidR="0007708E" w:rsidRPr="0007708E" w:rsidRDefault="0007708E" w:rsidP="0007708E">
            <w:pPr>
              <w:spacing w:after="0"/>
              <w:ind w:hanging="138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3052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9E92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Средне-квадратическое</w:t>
            </w:r>
            <w:proofErr w:type="gramEnd"/>
          </w:p>
          <w:p w14:paraId="405A065B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отклонение, σ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9731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Коэффициент </w:t>
            </w:r>
          </w:p>
          <w:p w14:paraId="565F0D3D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вариации, V</w:t>
            </w:r>
          </w:p>
        </w:tc>
      </w:tr>
      <w:tr w:rsidR="0007708E" w:rsidRPr="0007708E" w14:paraId="6F3D655D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DCC3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1C6C" w14:textId="77777777" w:rsidR="0007708E" w:rsidRPr="0007708E" w:rsidRDefault="0007708E" w:rsidP="0007708E">
            <w:pPr>
              <w:spacing w:after="0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Выключатель одноклавишный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A578A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17,01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D3029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11,62</w:t>
            </w:r>
          </w:p>
        </w:tc>
      </w:tr>
      <w:tr w:rsidR="0007708E" w:rsidRPr="0007708E" w14:paraId="1FB32E07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423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39639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Розетка встраиваемая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6FBCB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60,48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69AF3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27,29</w:t>
            </w:r>
          </w:p>
        </w:tc>
      </w:tr>
      <w:tr w:rsidR="0007708E" w:rsidRPr="0007708E" w14:paraId="2D42DCE2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C8A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843C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Розетка накладная 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CE44A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52,37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EB356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18,91</w:t>
            </w:r>
          </w:p>
        </w:tc>
      </w:tr>
      <w:tr w:rsidR="0007708E" w:rsidRPr="0007708E" w14:paraId="6D7ACCDE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0A4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FABE9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Кнопка для дверного звонка 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2FF0F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26,96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FAE34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22,47</w:t>
            </w:r>
          </w:p>
        </w:tc>
      </w:tr>
      <w:tr w:rsidR="0007708E" w:rsidRPr="0007708E" w14:paraId="4839BEA3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189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D301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Кабель силовой 3x2.5 мм 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3839D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1 305,69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CE4FE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10,26</w:t>
            </w:r>
          </w:p>
        </w:tc>
      </w:tr>
      <w:tr w:rsidR="0007708E" w:rsidRPr="0007708E" w14:paraId="31F01633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F4D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61FE1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Кабель силовой 2х1,5 мм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1CB97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181,58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C12F6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3,55</w:t>
            </w:r>
          </w:p>
        </w:tc>
      </w:tr>
      <w:tr w:rsidR="0007708E" w:rsidRPr="0007708E" w14:paraId="2AFB92F0" w14:textId="77777777" w:rsidTr="00445C67">
        <w:trPr>
          <w:trHeight w:val="2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5A9" w14:textId="77777777" w:rsidR="0007708E" w:rsidRPr="0007708E" w:rsidRDefault="0007708E" w:rsidP="0007708E">
            <w:pPr>
              <w:spacing w:after="0"/>
              <w:jc w:val="center"/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7708E">
              <w:rPr>
                <w:rFonts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EAF65" w14:textId="77777777" w:rsidR="0007708E" w:rsidRPr="0007708E" w:rsidRDefault="0007708E" w:rsidP="0007708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Эмаль серая ПФ-115 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B9380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38,06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67F3A" w14:textId="77777777" w:rsidR="0007708E" w:rsidRPr="0007708E" w:rsidRDefault="0007708E" w:rsidP="0007708E">
            <w:pPr>
              <w:spacing w:after="0"/>
              <w:jc w:val="center"/>
              <w:textAlignment w:val="bottom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7708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15,08</w:t>
            </w:r>
          </w:p>
        </w:tc>
      </w:tr>
    </w:tbl>
    <w:p w14:paraId="1040C3E0" w14:textId="77777777" w:rsidR="0007708E" w:rsidRPr="0007708E" w:rsidRDefault="0007708E" w:rsidP="0007708E">
      <w:pPr>
        <w:suppressAutoHyphens/>
        <w:spacing w:after="0"/>
        <w:ind w:right="136" w:firstLine="709"/>
        <w:jc w:val="both"/>
        <w:rPr>
          <w:rFonts w:eastAsia="SimSun" w:cs="Times New Roman"/>
          <w:kern w:val="0"/>
          <w:sz w:val="22"/>
          <w:lang w:eastAsia="ar-SA"/>
          <w14:ligatures w14:val="none"/>
        </w:rPr>
      </w:pPr>
    </w:p>
    <w:p w14:paraId="1FA7352E" w14:textId="77777777" w:rsidR="0007708E" w:rsidRPr="0007708E" w:rsidRDefault="0007708E" w:rsidP="0007708E">
      <w:pPr>
        <w:suppressAutoHyphens/>
        <w:spacing w:after="0"/>
        <w:ind w:right="136" w:firstLine="709"/>
        <w:jc w:val="both"/>
        <w:rPr>
          <w:rFonts w:eastAsia="SimSun" w:cs="Times New Roman"/>
          <w:kern w:val="0"/>
          <w:sz w:val="22"/>
          <w:lang w:eastAsia="ar-SA"/>
          <w14:ligatures w14:val="none"/>
        </w:rPr>
      </w:pPr>
      <w:r w:rsidRPr="0007708E">
        <w:rPr>
          <w:rFonts w:eastAsia="SimSun" w:cs="Times New Roman"/>
          <w:kern w:val="0"/>
          <w:sz w:val="22"/>
          <w:lang w:eastAsia="ar-SA"/>
          <w14:ligatures w14:val="none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6CAFE027" w14:textId="77777777" w:rsidR="0007708E" w:rsidRPr="0007708E" w:rsidRDefault="0007708E" w:rsidP="0007708E">
      <w:pPr>
        <w:suppressAutoHyphens/>
        <w:spacing w:after="0"/>
        <w:ind w:right="136" w:firstLine="709"/>
        <w:jc w:val="both"/>
        <w:rPr>
          <w:rFonts w:eastAsia="SimSun" w:cs="Times New Roman"/>
          <w:b/>
          <w:bCs/>
          <w:kern w:val="0"/>
          <w:sz w:val="22"/>
          <w:lang w:eastAsia="ar-SA"/>
          <w14:ligatures w14:val="none"/>
        </w:rPr>
      </w:pPr>
      <w:r w:rsidRPr="0007708E">
        <w:rPr>
          <w:rFonts w:eastAsia="SimSun" w:cs="Times New Roman"/>
          <w:kern w:val="0"/>
          <w:sz w:val="22"/>
          <w:lang w:eastAsia="ar-SA"/>
          <w14:ligatures w14:val="none"/>
        </w:rPr>
        <w:t xml:space="preserve">Руководствуясь имеющими предложениями и экономической целесообразностью, было принято решение о размещении закупки на ЕАТ Березка, с поставщиком, предложившим наименьшую цену контракта в размере: </w:t>
      </w:r>
      <w:bookmarkEnd w:id="0"/>
      <w:r w:rsidRPr="0007708E">
        <w:rPr>
          <w:rFonts w:eastAsia="SimSun" w:cs="Times New Roman"/>
          <w:b/>
          <w:bCs/>
          <w:kern w:val="0"/>
          <w:sz w:val="22"/>
          <w:lang w:eastAsia="ar-SA"/>
          <w14:ligatures w14:val="none"/>
        </w:rPr>
        <w:t>319 180 (триста девятнадцать тысяч сто восемьдесят) рублей 00 копеек.</w:t>
      </w:r>
      <w:r w:rsidRPr="0007708E">
        <w:rPr>
          <w:rFonts w:eastAsia="SimSun" w:cs="Times New Roman"/>
          <w:b/>
          <w:bCs/>
          <w:kern w:val="0"/>
          <w:sz w:val="22"/>
          <w:lang w:eastAsia="ar-SA"/>
          <w14:ligatures w14:val="none"/>
        </w:rPr>
        <w:tab/>
      </w:r>
    </w:p>
    <w:p w14:paraId="01D3F8A8" w14:textId="77777777" w:rsidR="00F12C76" w:rsidRDefault="00F12C76" w:rsidP="006C0B77">
      <w:pPr>
        <w:spacing w:after="0"/>
        <w:ind w:firstLine="709"/>
        <w:jc w:val="both"/>
      </w:pPr>
    </w:p>
    <w:sectPr w:rsidR="00F12C76" w:rsidSect="0007708E">
      <w:pgSz w:w="11906" w:h="16838" w:code="9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23"/>
    <w:rsid w:val="0007708E"/>
    <w:rsid w:val="006C0B77"/>
    <w:rsid w:val="008242FF"/>
    <w:rsid w:val="00870751"/>
    <w:rsid w:val="00922C48"/>
    <w:rsid w:val="009A5A09"/>
    <w:rsid w:val="00B915B7"/>
    <w:rsid w:val="00CB7C8E"/>
    <w:rsid w:val="00DA08C2"/>
    <w:rsid w:val="00E167A8"/>
    <w:rsid w:val="00EA59DF"/>
    <w:rsid w:val="00EE4070"/>
    <w:rsid w:val="00F12C76"/>
    <w:rsid w:val="00F6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3DE0-50FF-449A-961B-DDD4441C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6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D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D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D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D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D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D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D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D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D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D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D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0D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60D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60D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60D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60D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60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D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D2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60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D2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D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D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60D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ОКБиХО</dc:creator>
  <cp:keywords/>
  <dc:description/>
  <cp:lastModifiedBy>Инспектор ОКБиХО</cp:lastModifiedBy>
  <cp:revision>2</cp:revision>
  <dcterms:created xsi:type="dcterms:W3CDTF">2026-06-25T11:52:00Z</dcterms:created>
  <dcterms:modified xsi:type="dcterms:W3CDTF">2026-06-25T11:53:00Z</dcterms:modified>
</cp:coreProperties>
</file>