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AD4F6">
      <w:pPr>
        <w:pStyle w:val="12"/>
        <w:rPr>
          <w:sz w:val="28"/>
          <w:szCs w:val="28"/>
        </w:rPr>
      </w:pPr>
      <w:r>
        <w:rPr>
          <w:sz w:val="28"/>
          <w:szCs w:val="28"/>
        </w:rPr>
        <w:t xml:space="preserve">Контракт №______      </w:t>
      </w:r>
    </w:p>
    <w:p w14:paraId="054FC9D3">
      <w:pPr>
        <w:spacing w:before="120" w:after="120"/>
        <w:jc w:val="center"/>
        <w:rPr>
          <w:b/>
          <w:iCs/>
        </w:rPr>
      </w:pPr>
      <w:r>
        <w:rPr>
          <w:b/>
          <w:iCs/>
        </w:rPr>
        <w:t>г. Тверь</w:t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>«_____» _____________ 2026 года</w:t>
      </w:r>
    </w:p>
    <w:p w14:paraId="3F9EA5B5">
      <w:pPr>
        <w:pStyle w:val="11"/>
        <w:ind w:firstLine="540"/>
        <w:jc w:val="both"/>
        <w:rPr>
          <w:rFonts w:cs="Arial"/>
          <w:b/>
        </w:rPr>
      </w:pPr>
      <w:r>
        <w:rPr>
          <w:sz w:val="24"/>
        </w:rPr>
        <w:t>Федеральное государственное бюджетное образовательное учреждение высшего образования «Тверской государственный технический университет» (ТвГТУ),</w:t>
      </w:r>
      <w:r>
        <w:t xml:space="preserve"> </w:t>
      </w:r>
      <w:r>
        <w:rPr>
          <w:sz w:val="24"/>
        </w:rPr>
        <w:t>в лице проректора по ИР и УФИ Пашаева Фаяза Аладдин оглы, действующего на основании  приказа ректора № 239-а от 25.09.2025, с изменениями и дополнениями, именуемое в дальнейшем «Заказчик», с одной стороны, и ________________________________________________, в лице____________________________, действующего на основании ____________________, именуемое в дальнейшем «Исполнитель», с другой стороны, совместно именуемые также «Стороны», на основании пункта 5 части 1 статьи 93 Федерального закона от 05.04.2013г. №ФЗ-44, заключили настоящий контракт о нижеследующем:</w:t>
      </w:r>
    </w:p>
    <w:p w14:paraId="151C1D07">
      <w:pPr>
        <w:spacing w:before="120"/>
        <w:ind w:firstLine="539"/>
        <w:jc w:val="center"/>
        <w:rPr>
          <w:rFonts w:cs="Arial"/>
          <w:b/>
        </w:rPr>
      </w:pPr>
      <w:r>
        <w:rPr>
          <w:rFonts w:cs="Arial"/>
          <w:b/>
        </w:rPr>
        <w:t>1. Предмет контракта</w:t>
      </w:r>
    </w:p>
    <w:p w14:paraId="04480CD6">
      <w:pPr>
        <w:ind w:firstLine="540"/>
        <w:jc w:val="both"/>
      </w:pPr>
      <w:r>
        <w:rPr>
          <w:rFonts w:cs="Arial"/>
        </w:rPr>
        <w:t>1.1.</w:t>
      </w:r>
      <w:r>
        <w:t xml:space="preserve"> </w:t>
      </w:r>
      <w:r>
        <w:rPr>
          <w:rFonts w:cs="Arial"/>
        </w:rPr>
        <w:t>Заказчик поручает, а Исполнитель обязуется оказать услуги</w:t>
      </w:r>
      <w:r>
        <w:t xml:space="preserve"> </w:t>
      </w:r>
      <w:r>
        <w:rPr>
          <w:rFonts w:cs="Arial"/>
        </w:rPr>
        <w:t>по организации и проведению Школы студенческих кураторов ТвГТУ 2026 в соответствии с техническим заданием, являющимся Приложением №1 к настоящему контракту.</w:t>
      </w:r>
    </w:p>
    <w:p w14:paraId="2E1AD9F2">
      <w:pPr>
        <w:ind w:firstLine="540"/>
        <w:jc w:val="both"/>
      </w:pPr>
      <w:r>
        <w:t>1.2. Исполнитель обязуется оказать услуги в сроки, установленные настоящим контрактом, по заданию Заказчика и в соответствии с требованиями законодательства, установленными для такого рода услуг.</w:t>
      </w:r>
    </w:p>
    <w:p w14:paraId="36D44765">
      <w:pPr>
        <w:ind w:firstLine="540"/>
        <w:jc w:val="both"/>
      </w:pPr>
      <w:r>
        <w:t>1.3. Заказчик обязуется принять выполненные услуги и оплатить обусловленную настоящим контрактом цену.</w:t>
      </w:r>
    </w:p>
    <w:p w14:paraId="18985118">
      <w:pPr>
        <w:pStyle w:val="20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Цена контракта</w:t>
      </w:r>
    </w:p>
    <w:p w14:paraId="5CF60EAE">
      <w:pPr>
        <w:tabs>
          <w:tab w:val="left" w:pos="-567"/>
        </w:tabs>
        <w:ind w:right="15" w:firstLine="540"/>
        <w:jc w:val="both"/>
      </w:pPr>
      <w:r>
        <w:t>2.1. Цена контракта составляет 66 900,00 рублей (шестьдесят шесть тысяч девятьсот рублей 00 копеек).</w:t>
      </w:r>
    </w:p>
    <w:p w14:paraId="072C1219">
      <w:pPr>
        <w:tabs>
          <w:tab w:val="left" w:pos="-567"/>
        </w:tabs>
        <w:ind w:right="15" w:firstLine="540"/>
        <w:jc w:val="both"/>
      </w:pPr>
      <w:r>
        <w:t>Цена контракта включает общую стоимость всех оказываемых услуг, оплачиваемую Заказчиком Исполнителю за исполнение Исполнителем своих обязательств по контракту. Цена контракта включает стоимость затрат на доставку, уплату налогов, таможенных пошлин, сборов и других обязательных платежей.</w:t>
      </w:r>
    </w:p>
    <w:p w14:paraId="4ABB8FDB">
      <w:pPr>
        <w:ind w:firstLine="540"/>
        <w:jc w:val="both"/>
      </w:pPr>
      <w:r>
        <w:t xml:space="preserve">2.2. Цена контракта включает стоимость всех затрат. Цена контракта является твердой и определяется на весь срок исполнения контракта, за исключением случаев, предусмотренных ст. 34 и ст. 95 Федерального закона от 05.04.2013 N 44-ФЗ. </w:t>
      </w:r>
    </w:p>
    <w:p w14:paraId="2D1165AB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Оплата производится 100% в течении 7 (семи) рабочих дней с момента подписания Сторонами надлежащим образом оформленных оригиналов обязательных документов на оплату, Акта приемки товаров, работ, услуг (ф. 0510452), счета, УПД, товарной накладной или акта оказанных услуг.</w:t>
      </w:r>
    </w:p>
    <w:p w14:paraId="54F829D2">
      <w:pPr>
        <w:autoSpaceDE w:val="0"/>
        <w:autoSpaceDN w:val="0"/>
        <w:adjustRightInd w:val="0"/>
        <w:ind w:firstLine="540"/>
        <w:jc w:val="both"/>
      </w:pPr>
      <w:r>
        <w:t>2.4. Цена контракта уменьшается на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49D7DB6">
      <w:pPr>
        <w:autoSpaceDE w:val="0"/>
        <w:autoSpaceDN w:val="0"/>
        <w:adjustRightInd w:val="0"/>
        <w:ind w:firstLine="540"/>
        <w:jc w:val="both"/>
      </w:pPr>
      <w:r>
        <w:t>2.5. Идентификационный код закупки: 261690201013569520100100030000000244.</w:t>
      </w:r>
    </w:p>
    <w:p w14:paraId="1C24CA59">
      <w:pPr>
        <w:ind w:firstLine="540"/>
        <w:jc w:val="both"/>
      </w:pPr>
      <w:r>
        <w:t>2.6. Источник финансирования: субсидии на финансовое обеспечение выполнения госзадания на оказание услуг/выполнения работ (средства бюджетных учреждений).</w:t>
      </w:r>
    </w:p>
    <w:p w14:paraId="28C2821B">
      <w:pPr>
        <w:pStyle w:val="20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Сроки оказания услуг</w:t>
      </w:r>
    </w:p>
    <w:p w14:paraId="53A3F5B8">
      <w:pPr>
        <w:ind w:firstLine="540"/>
        <w:jc w:val="both"/>
      </w:pPr>
      <w:r>
        <w:t>3.1. Услуги, предусмотренные настоящим контрактом, осуществляются Исполнителем в сроки в соответствии с техническим заданием, являющимся Приложением №1 к настоящему контракту.</w:t>
      </w:r>
    </w:p>
    <w:p w14:paraId="356C10D0">
      <w:pPr>
        <w:pStyle w:val="20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Обязанности сторон</w:t>
      </w:r>
    </w:p>
    <w:p w14:paraId="6CE52E42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Для оказания услуг в соответствии с настоящим контрактом Исполнитель обязуется:</w:t>
      </w:r>
    </w:p>
    <w:p w14:paraId="3EB05D55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Качественно оказать услуги, предусмотренные пунктом 1.1 настоящего контракта, в объеме и в сроки, предусмотренные разделом 3 настоящего контракта, и в соответствии с условиями настоящего контракта.</w:t>
      </w:r>
    </w:p>
    <w:p w14:paraId="27DB3D59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 Немедленно известить Заказчика и до получения от него указаний приостановить оказание услуг при обнаружении:</w:t>
      </w:r>
    </w:p>
    <w:p w14:paraId="60941AFF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возможных неблагоприятных для Заказчика последствий выполнения его указаний о способе оказания услуг;</w:t>
      </w:r>
    </w:p>
    <w:p w14:paraId="3ADF63BD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иных, не зависящих от Исполнителя обстоятельств, угрожающих качеству оказываемой услуги либо создающих невозможность ее оказания в срок.</w:t>
      </w:r>
    </w:p>
    <w:p w14:paraId="33C4A148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4.1.3. Обеспечить оказание услуг в пределах твердой контрактной цены, указанной в пункте 2.1 настоящего контракта;</w:t>
      </w:r>
    </w:p>
    <w:p w14:paraId="5D004A1C">
      <w:pPr>
        <w:ind w:firstLine="540"/>
        <w:jc w:val="both"/>
      </w:pPr>
      <w:r>
        <w:t>4.1.5. Своевременно представить Заказчику акт об оказании услуг в течении 5 рабочих дней.</w:t>
      </w:r>
    </w:p>
    <w:p w14:paraId="498C64EC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4.1.6. Выполнить в полном объеме все свои обязательства, предусмотренные в других пунктах (подпунктах) настоящего контракта.</w:t>
      </w:r>
    </w:p>
    <w:p w14:paraId="3F4A7C75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Заказчик обязан:</w:t>
      </w:r>
    </w:p>
    <w:p w14:paraId="7D884685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Производить приемку и оплату оказанных Исполнителем услуг в порядке, предусмотренном настоящим контрактом.</w:t>
      </w:r>
    </w:p>
    <w:p w14:paraId="211333B4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 Выполнить в полном объеме свои обязательства, предусмотренные настоящим контрактом.</w:t>
      </w:r>
    </w:p>
    <w:p w14:paraId="3CCCE9DC">
      <w:pPr>
        <w:pStyle w:val="20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Обеспечение работ материалами и оборудованием</w:t>
      </w:r>
    </w:p>
    <w:p w14:paraId="78D3061C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 Оказание услуг по настоящему контракту должно быть обеспечено материалами и оборудованием надлежащего качества. Обеспечение материалами и оборудованием осуществляется Исполнителем.</w:t>
      </w:r>
    </w:p>
    <w:p w14:paraId="52BAC756">
      <w:pPr>
        <w:pStyle w:val="20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Контроль и надзор Заказчика за исполнением контракта</w:t>
      </w:r>
    </w:p>
    <w:p w14:paraId="3C389BFF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 случае обнаружения Заказчиком недостатков в оказываемых услугах или некачественно оказанных услугах сторонами в течение 5 (пяти) рабочих дней составляется Двусторонний акт с перечнем выявленных недостатков, необходимых доработок и сроком их устранения. После подписания Двустороннего акта Исполнитель обязан в согласованный сторонами срок своими силами и без увеличения цены контракта, установленной в разделе 2 настоящего контракта, исправить услуги для устранения их недостатков и обеспечения их надлежащего качества.</w:t>
      </w:r>
    </w:p>
    <w:p w14:paraId="607DF262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отказа Исполнителя подписать Двусторонний акт или уклонения от его подписания акт составляется в отсутствие Исполнителя. При этом Заказчик вправе для устранения недостатков оказанных услуг, исправления некачественно оказанных услуг привлечь другую организацию, с последующей оплатой понесенных расходов за счет Исполнителя.</w:t>
      </w:r>
    </w:p>
    <w:p w14:paraId="4859B552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Также Заказчик вправе привлечь для устранения недостатков оказанных услуг или исправления некачественно оказанных услуг другую организацию с последующей оплатой расходов за счет Исполнителя в случае неисполнения или некачественного исполнения Исполнителем обязанности по устранению недостатков, исправлению некачественно оказанных услуг.</w:t>
      </w:r>
    </w:p>
    <w:p w14:paraId="39BE2AC8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Порядок приемки услуг и срок оформления их результатов, в том числе в части соответствия их объему требованиям, установленным контрактом:</w:t>
      </w:r>
    </w:p>
    <w:p w14:paraId="6E5E88F8">
      <w:pPr>
        <w:tabs>
          <w:tab w:val="left" w:pos="1009"/>
        </w:tabs>
        <w:ind w:firstLine="709"/>
        <w:jc w:val="both"/>
      </w:pPr>
      <w:r>
        <w:t>6.3.1. Сдача оказанных услуг Исполнителем и приемка его Заказчиком оформляется актом об оказании услуг.</w:t>
      </w:r>
    </w:p>
    <w:p w14:paraId="5DFE9057">
      <w:pPr>
        <w:tabs>
          <w:tab w:val="left" w:pos="1009"/>
        </w:tabs>
        <w:ind w:firstLine="709"/>
        <w:jc w:val="both"/>
      </w:pPr>
      <w:r>
        <w:rPr>
          <w:rFonts w:eastAsia="Calibri"/>
          <w:lang w:eastAsia="en-US"/>
        </w:rPr>
        <w:t xml:space="preserve">Заказчик в течение 10 (десяти) рабочих дней со дня подписания </w:t>
      </w:r>
      <w:r>
        <w:t>Акта оказанных услуг производит приемку. По результату приемки составляется Акт приемки товаров, работ и услуг по форме 0510452.</w:t>
      </w:r>
    </w:p>
    <w:p w14:paraId="086327DD">
      <w:pPr>
        <w:tabs>
          <w:tab w:val="left" w:pos="1009"/>
        </w:tabs>
        <w:ind w:firstLine="709"/>
        <w:jc w:val="both"/>
      </w:pPr>
      <w:r>
        <w:t xml:space="preserve">В случае отсутствия у Заказчика претензий по количеству и качеству оказанных услуг </w:t>
      </w:r>
      <w:bookmarkStart w:id="0" w:name="_Hlk189220940"/>
      <w:r>
        <w:t xml:space="preserve">Акт приемки товаров, работ и услуг по форме 0510452 </w:t>
      </w:r>
      <w:bookmarkEnd w:id="0"/>
      <w:r>
        <w:t>подписывается и утверждается Заказчиком без участия Исполнителя.</w:t>
      </w:r>
    </w:p>
    <w:p w14:paraId="53E24E04">
      <w:pPr>
        <w:tabs>
          <w:tab w:val="left" w:pos="1009"/>
        </w:tabs>
        <w:ind w:firstLine="709"/>
        <w:jc w:val="both"/>
      </w:pPr>
      <w:r>
        <w:t>После этого услуга считается оказанной.</w:t>
      </w:r>
    </w:p>
    <w:p w14:paraId="2E515602">
      <w:pPr>
        <w:pStyle w:val="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6.3.2. Заказчик вправе отказаться от приемки услуг в случаях:</w:t>
      </w:r>
    </w:p>
    <w:p w14:paraId="355971E8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обнаружения недостатков, которые исключают возможность его использования и не могут быть устранены Исполнителем или Заказчиком;</w:t>
      </w:r>
    </w:p>
    <w:p w14:paraId="5B912830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неисполнения Исполнителем установленных законодательством Российской Федерации и настоящим контрактом обязательных требований к услуге;</w:t>
      </w:r>
    </w:p>
    <w:p w14:paraId="2A32DB16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существенных недостатков, относительно которых был установлен разумный срок для их безвозмездного исправления и которые не были устранены по истечении установленного срока;</w:t>
      </w:r>
    </w:p>
    <w:p w14:paraId="6CA4F4EF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другим основаниям, прямо предусмотренным законом.</w:t>
      </w:r>
    </w:p>
    <w:p w14:paraId="7F991603">
      <w:pPr>
        <w:autoSpaceDE w:val="0"/>
        <w:autoSpaceDN w:val="0"/>
        <w:adjustRightInd w:val="0"/>
        <w:ind w:firstLine="540"/>
        <w:jc w:val="both"/>
      </w:pPr>
      <w:r>
        <w:t>6.3.3. Для проверки оказанных Исполнителем услуг, предусмотренных контрактом, в части их соответствия условиям контракта, Заказчик может проводить экспертизу. Экспертиза оказанных услуг,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законодательством Российской Федерации.</w:t>
      </w:r>
    </w:p>
    <w:p w14:paraId="48FE794B">
      <w:pPr>
        <w:autoSpaceDE w:val="0"/>
        <w:autoSpaceDN w:val="0"/>
        <w:adjustRightInd w:val="0"/>
        <w:ind w:firstLine="540"/>
        <w:jc w:val="both"/>
      </w:pPr>
      <w:r>
        <w:t>6.3.4.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 w14:paraId="6AD496A1">
      <w:pPr>
        <w:pStyle w:val="20"/>
        <w:widowControl/>
        <w:spacing w:before="120"/>
        <w:ind w:left="-539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Обстоятельства непреодолимой силы</w:t>
      </w:r>
    </w:p>
    <w:p w14:paraId="5F72644C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или предотвратить.</w:t>
      </w:r>
    </w:p>
    <w:p w14:paraId="7C41603D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14:paraId="72C4CD1C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2F4A8CC1">
      <w:pPr>
        <w:pStyle w:val="20"/>
        <w:widowControl/>
        <w:spacing w:before="120"/>
        <w:ind w:left="-539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Гарантии качества</w:t>
      </w:r>
    </w:p>
    <w:p w14:paraId="7AD81C9A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Исполнитель гарантирует качество оказания услуг в соответствии с техническим заданием, действующими нормами, стандартами и техническими условиями, своевременное устранение недостатков и дефектов, выявленных при приемке услуг и в период гарантийного срока.</w:t>
      </w:r>
    </w:p>
    <w:p w14:paraId="003A97FD">
      <w:pPr>
        <w:pStyle w:val="20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Ответственность сторон</w:t>
      </w:r>
    </w:p>
    <w:p w14:paraId="4D6D5B5D">
      <w:pPr>
        <w:ind w:firstLine="540"/>
        <w:jc w:val="both"/>
      </w:pPr>
      <w:r>
        <w:t>9.1.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14:paraId="53AB6EEE">
      <w:pPr>
        <w:tabs>
          <w:tab w:val="left" w:pos="-426"/>
          <w:tab w:val="left" w:pos="2550"/>
        </w:tabs>
        <w:ind w:right="-286" w:firstLine="540"/>
        <w:jc w:val="both"/>
      </w:pPr>
      <w:r>
        <w:t xml:space="preserve">9.2.  </w:t>
      </w:r>
      <w:r>
        <w:rPr>
          <w:b/>
        </w:rPr>
        <w:t>Ответственность Заказчика.</w:t>
      </w:r>
    </w:p>
    <w:p w14:paraId="658425AC">
      <w:pPr>
        <w:ind w:firstLine="540"/>
        <w:jc w:val="both"/>
      </w:pPr>
      <w:r>
        <w:rPr>
          <w:color w:val="000000"/>
          <w:spacing w:val="6"/>
        </w:rPr>
        <w:t xml:space="preserve">9.2.1. </w:t>
      </w:r>
      <w:r>
        <w:t xml:space="preserve">Пеня начисляется за каждый день просрочки исполнения заказчиком обязательства, предусмотренного контрактом, в размере одной трехсотой действующей на дату уплаты пени </w:t>
      </w:r>
      <w:r>
        <w:rPr>
          <w:color w:val="000000"/>
          <w:spacing w:val="-1"/>
        </w:rPr>
        <w:t>ключевой</w:t>
      </w:r>
      <w:r>
        <w:t xml:space="preserve">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заказчиком.</w:t>
      </w:r>
    </w:p>
    <w:p w14:paraId="19939D0C">
      <w:pPr>
        <w:ind w:firstLine="540"/>
        <w:jc w:val="both"/>
      </w:pPr>
      <w:r>
        <w:t>9.2.2.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рублей.</w:t>
      </w:r>
    </w:p>
    <w:p w14:paraId="2A44E893">
      <w:pPr>
        <w:ind w:firstLine="540"/>
        <w:jc w:val="both"/>
        <w:rPr>
          <w:spacing w:val="-1"/>
        </w:rPr>
      </w:pPr>
      <w:r>
        <w:t>9.2.3. Общая сумма начисленной неустойки за ненадлежащее исполнение заказчиком обязательств, предусмотренных контрактом, не может превышать цену контракта.</w:t>
      </w:r>
    </w:p>
    <w:p w14:paraId="05347B11">
      <w:pPr>
        <w:ind w:firstLine="540"/>
        <w:jc w:val="both"/>
        <w:rPr>
          <w:b/>
        </w:rPr>
      </w:pPr>
      <w:r>
        <w:t xml:space="preserve">9.3. </w:t>
      </w:r>
      <w:r>
        <w:rPr>
          <w:b/>
        </w:rPr>
        <w:t>Ответственность Исполнителя.</w:t>
      </w:r>
    </w:p>
    <w:p w14:paraId="03DF1B48">
      <w:pPr>
        <w:autoSpaceDE w:val="0"/>
        <w:autoSpaceDN w:val="0"/>
        <w:adjustRightInd w:val="0"/>
        <w:ind w:firstLine="540"/>
        <w:jc w:val="both"/>
      </w:pPr>
      <w:r>
        <w:t xml:space="preserve">9.3.1.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</w:t>
      </w:r>
      <w:r>
        <w:rPr>
          <w:color w:val="000000"/>
          <w:spacing w:val="-1"/>
        </w:rPr>
        <w:t>ключевой</w:t>
      </w:r>
      <w:r>
        <w:t xml:space="preserve">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14:paraId="05E57734">
      <w:pPr>
        <w:autoSpaceDE w:val="0"/>
        <w:autoSpaceDN w:val="0"/>
        <w:adjustRightInd w:val="0"/>
        <w:ind w:firstLine="540"/>
        <w:jc w:val="both"/>
      </w:pPr>
      <w:r>
        <w:t xml:space="preserve">Размер пени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указанного обязательства.  </w:t>
      </w:r>
    </w:p>
    <w:p w14:paraId="01B91B72">
      <w:pPr>
        <w:autoSpaceDE w:val="0"/>
        <w:autoSpaceDN w:val="0"/>
        <w:adjustRightInd w:val="0"/>
        <w:ind w:firstLine="540"/>
        <w:jc w:val="both"/>
      </w:pPr>
      <w:r>
        <w:t>9.</w:t>
      </w:r>
      <w:r>
        <w:rPr>
          <w:spacing w:val="6"/>
        </w:rPr>
        <w:t>3.2.</w:t>
      </w:r>
      <w:r>
        <w:t xml:space="preserve">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 процентов цены контракта (этапа), </w:t>
      </w:r>
      <w:r>
        <w:rPr>
          <w:spacing w:val="-1"/>
        </w:rPr>
        <w:t xml:space="preserve">в сумме 6 690,00 </w:t>
      </w:r>
      <w:r>
        <w:t>рублей</w:t>
      </w:r>
      <w:r>
        <w:rPr>
          <w:spacing w:val="-1"/>
        </w:rPr>
        <w:t xml:space="preserve"> (шесть т</w:t>
      </w:r>
      <w:r>
        <w:rPr>
          <w:color w:val="000000"/>
        </w:rPr>
        <w:t>ысяч шестьсот девяносто р</w:t>
      </w:r>
      <w:r>
        <w:t>ублей 00 копеек).</w:t>
      </w:r>
    </w:p>
    <w:p w14:paraId="5299ABEA">
      <w:pPr>
        <w:autoSpaceDE w:val="0"/>
        <w:autoSpaceDN w:val="0"/>
        <w:adjustRightInd w:val="0"/>
        <w:ind w:firstLine="540"/>
        <w:jc w:val="both"/>
      </w:pPr>
      <w:r>
        <w:t>9.4.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1 000 рублей.</w:t>
      </w:r>
    </w:p>
    <w:p w14:paraId="070B2889">
      <w:pPr>
        <w:autoSpaceDE w:val="0"/>
        <w:autoSpaceDN w:val="0"/>
        <w:adjustRightInd w:val="0"/>
        <w:ind w:firstLine="540"/>
        <w:jc w:val="both"/>
      </w:pPr>
      <w:r>
        <w:t>9.5. Общая сумма начисленной неустойки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5F8D89C7">
      <w:pPr>
        <w:ind w:firstLine="540"/>
        <w:jc w:val="both"/>
      </w:pPr>
      <w:r>
        <w:t>9.6. Уплата неустойки не освобождает стороны от исполнения своих обязательств по настоящему контракту.</w:t>
      </w:r>
    </w:p>
    <w:p w14:paraId="0EF78378">
      <w:pPr>
        <w:autoSpaceDE w:val="0"/>
        <w:autoSpaceDN w:val="0"/>
        <w:adjustRightInd w:val="0"/>
        <w:ind w:firstLine="540"/>
        <w:jc w:val="both"/>
      </w:pPr>
      <w:r>
        <w:t>9.7.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стороне требование об уплате неустоек.</w:t>
      </w:r>
    </w:p>
    <w:p w14:paraId="0BCC6217">
      <w:pPr>
        <w:autoSpaceDE w:val="0"/>
        <w:autoSpaceDN w:val="0"/>
        <w:adjustRightInd w:val="0"/>
        <w:ind w:firstLine="540"/>
        <w:jc w:val="both"/>
      </w:pPr>
      <w:r>
        <w:t>9.8. Сторона контракта освобождается от уплаты неустойки,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05CCD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firstLine="284"/>
        <w:jc w:val="center"/>
        <w:rPr>
          <w:b/>
          <w:color w:val="000000"/>
        </w:rPr>
      </w:pPr>
      <w:r>
        <w:rPr>
          <w:b/>
          <w:color w:val="000000"/>
        </w:rPr>
        <w:t>10. Антикоррупционная оговорка</w:t>
      </w:r>
    </w:p>
    <w:p w14:paraId="0EC0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bookmarkStart w:id="1" w:name="P2"/>
      <w:bookmarkEnd w:id="1"/>
      <w:r>
        <w:rPr>
          <w:color w:val="000000"/>
        </w:rPr>
        <w:t xml:space="preserve">10.1. При исполнении своих обязательств по настоящему контракту </w:t>
      </w:r>
      <w:r>
        <w:t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014D2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bookmarkStart w:id="2" w:name="P3"/>
      <w:bookmarkEnd w:id="2"/>
      <w:r>
        <w:t>10.2.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6F2F54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bookmarkStart w:id="3" w:name="P4"/>
      <w:bookmarkEnd w:id="3"/>
      <w:r>
        <w:t>10.3. В случае возникновения у Стороны подозрений, что произошло или может произойти нарушение каких-либо положений настоящего контракта,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контракта другой Стороной, ее аффилированными лицами, работниками или посредниками.</w:t>
      </w:r>
    </w:p>
    <w:p w14:paraId="5C6027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>
        <w:t>10.4. Сторона, получившая уведомление о нарушении каких-либо положений настоящего контракта, обязана рассмотреть уведомление и сообщить другой Стороне об итогах его рассмотрения в течение 5 (пяти) рабочих дней с даты получения письменного уведомления.</w:t>
      </w:r>
    </w:p>
    <w:p w14:paraId="3827B4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>
        <w:t>10.5. Исполнение обязательств по контракту приостанавливается с момента направления стороной уведомления до момента получения стороной Договора ответа.</w:t>
      </w:r>
    </w:p>
    <w:p w14:paraId="3546C2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>
        <w:t>10.6. Стороны гарантируют осуществление надлежащего разбирательства по фактам нарушения положений настоящего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6CBD5A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>
        <w:t>10.7. В случае подтверждения факта нарушения одной Стороной положений настоящего контракта и/или неполучения другой Стороной информации об итогах рассмотрения уведомления о нарушении,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10 (десять) календарных дней до даты прекращения действия настоящего контракта.</w:t>
      </w:r>
    </w:p>
    <w:p w14:paraId="4B3A0634">
      <w:pPr>
        <w:pStyle w:val="20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Порядок урегулирования споров.</w:t>
      </w:r>
    </w:p>
    <w:p w14:paraId="15C5D9E6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Стороны принимают все меры к тому, чтобы любые спорные вопросы, разногласия либо претензии, касающиеся исполнения настоящего контракта, были урегулированы путем переговоров, с оформлением совместного протокола урегулирования споров.</w:t>
      </w:r>
    </w:p>
    <w:p w14:paraId="6440D17A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 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</w:p>
    <w:p w14:paraId="5F007DE5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11.3. Любые споры, не урегулированные во внесудебном порядке, разрешаются Арбитражным судом Тверской области.</w:t>
      </w:r>
    </w:p>
    <w:p w14:paraId="5D5731CD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 К отношениям сторон по настоящему контракту и в связи с ним применяется законодательство Российской Федерации.</w:t>
      </w:r>
    </w:p>
    <w:p w14:paraId="1E31746E">
      <w:pPr>
        <w:pStyle w:val="20"/>
        <w:widowControl/>
        <w:spacing w:before="120"/>
        <w:ind w:left="-539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 Срок действия и порядок расторжения контракта</w:t>
      </w:r>
    </w:p>
    <w:p w14:paraId="646B83F9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 Настоящий контракт вступает в силу с момента его подписания и действует до 31 августа 2026 года, в том числе до момента полного исполнения принятых на себя обязательств сторонами.</w:t>
      </w:r>
    </w:p>
    <w:p w14:paraId="1D1721A6">
      <w:pPr>
        <w:tabs>
          <w:tab w:val="left" w:pos="2550"/>
        </w:tabs>
        <w:ind w:right="-2" w:firstLine="540"/>
        <w:jc w:val="both"/>
      </w:pPr>
      <w:r>
        <w:t>12.2.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в порядке, предусмотренном Федеральным законом Российской Федерации от 5 апреля 2013 г. N 44-ФЗ «О контрактной системе в сфере закупок товаров, работ, услуг для обеспечения государственных и муниципальных нужд».</w:t>
      </w:r>
    </w:p>
    <w:p w14:paraId="3CCEA398">
      <w:pPr>
        <w:pStyle w:val="20"/>
        <w:widowControl/>
        <w:spacing w:before="120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 Особые условия</w:t>
      </w:r>
    </w:p>
    <w:p w14:paraId="0AF11A4E">
      <w:pPr>
        <w:pStyle w:val="21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13.1.   После заключения Контракта и в процессе его исполнения изменение условий Контракта не допускается, за исключением случаев, предусмотренных   статьями 34 и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HYPERLINK \l "sub_95"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95 Федерального закона Российской Федерации от 5 апреля 2013 г. N 44-ФЗ «О контрактной системе в сфере закупок товаров, работ, услуг для обеспечения государственных и муниципальных нужд».</w:t>
      </w:r>
    </w:p>
    <w:p w14:paraId="27BD0052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13.2. Любые изменения и дополнения к настоящему контракту, не противоречащие действующему законодательству Российской Федерации, оформляются дополнительным соглашением сторон в письменной форме.</w:t>
      </w:r>
    </w:p>
    <w:p w14:paraId="3D3931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13.3. Процедура одностороннего отказа от исполнения контракта регулируется ст. 95 Федерального закона от 05.04.2013 N 44-ФЗ.</w:t>
      </w:r>
    </w:p>
    <w:p w14:paraId="627DC63E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13.4.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3383D2BF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13.5. Настоящий контракт составлен в 2-х экземплярах, имеющих одинаковую юридическую силу, по одному для каждой из сторон настоящего контракта.</w:t>
      </w:r>
    </w:p>
    <w:p w14:paraId="795EA658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13.6. К настоящему контракту имеются следующие приложения: </w:t>
      </w:r>
    </w:p>
    <w:p w14:paraId="4399E6A9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 – техническое задание;</w:t>
      </w:r>
    </w:p>
    <w:p w14:paraId="4B194025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 – обоснование цены.</w:t>
      </w:r>
    </w:p>
    <w:p w14:paraId="36465FA6">
      <w:pPr>
        <w:spacing w:before="120" w:after="120"/>
        <w:jc w:val="center"/>
        <w:rPr>
          <w:b/>
        </w:rPr>
      </w:pPr>
      <w:r>
        <w:rPr>
          <w:b/>
        </w:rPr>
        <w:t>14.Адреса и реквизиты сторон</w:t>
      </w:r>
    </w:p>
    <w:tbl>
      <w:tblPr>
        <w:tblStyle w:val="6"/>
        <w:tblW w:w="1000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8"/>
        <w:gridCol w:w="5040"/>
      </w:tblGrid>
      <w:tr w14:paraId="7D155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29" w:hRule="atLeast"/>
        </w:trPr>
        <w:tc>
          <w:tcPr>
            <w:tcW w:w="4968" w:type="dxa"/>
            <w:noWrap w:val="0"/>
            <w:vAlign w:val="top"/>
          </w:tcPr>
          <w:p w14:paraId="0B4616D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Исполнитель</w:t>
            </w:r>
          </w:p>
          <w:p w14:paraId="098F118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______________________</w:t>
            </w:r>
          </w:p>
          <w:p w14:paraId="59E17201"/>
          <w:p w14:paraId="7E7D03B4">
            <w:r>
              <w:t>Адрес</w:t>
            </w:r>
          </w:p>
          <w:p w14:paraId="0FBAA8D3">
            <w:r>
              <w:t>Телефон</w:t>
            </w:r>
          </w:p>
          <w:p w14:paraId="61102649"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</w:p>
          <w:p w14:paraId="164F13DF">
            <w:r>
              <w:t>ИНН/КПП</w:t>
            </w:r>
          </w:p>
          <w:p w14:paraId="55DDA65E">
            <w:r>
              <w:t>ОГРН</w:t>
            </w:r>
          </w:p>
          <w:p w14:paraId="0FF26DFD">
            <w:r>
              <w:t>Р/с 4</w:t>
            </w:r>
          </w:p>
          <w:p w14:paraId="7C2C3EFE">
            <w:r>
              <w:t>банк</w:t>
            </w:r>
          </w:p>
          <w:p w14:paraId="243C04E4">
            <w:r>
              <w:t xml:space="preserve">К/с </w:t>
            </w:r>
          </w:p>
          <w:p w14:paraId="0E836239">
            <w:r>
              <w:t>БИК</w:t>
            </w:r>
          </w:p>
          <w:p w14:paraId="139818E8"/>
        </w:tc>
        <w:tc>
          <w:tcPr>
            <w:tcW w:w="5040" w:type="dxa"/>
            <w:noWrap w:val="0"/>
            <w:vAlign w:val="top"/>
          </w:tcPr>
          <w:p w14:paraId="5CCF8E8F">
            <w:pPr>
              <w:keepNext/>
              <w:jc w:val="center"/>
              <w:outlineLvl w:val="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Заказчик</w:t>
            </w:r>
          </w:p>
          <w:p w14:paraId="57CC3D04">
            <w:pPr>
              <w:spacing w:before="120" w:after="120"/>
              <w:rPr>
                <w:b/>
              </w:rPr>
            </w:pPr>
            <w:r>
              <w:rPr>
                <w:b/>
              </w:rPr>
              <w:t>Федеральное государственное бюджетное образовательное учреждение высшего образования «Тверской государственный технический университет»</w:t>
            </w:r>
          </w:p>
          <w:p w14:paraId="6CF394AF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170026, г. Тверь, наб. А. Никитина, 22</w:t>
            </w:r>
          </w:p>
          <w:p w14:paraId="4E805BE3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тел. (4822) 52-63-35</w:t>
            </w:r>
          </w:p>
          <w:p w14:paraId="5966CDAC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ИНН  6902010135   КПП 695201001</w:t>
            </w:r>
          </w:p>
          <w:p w14:paraId="3878ABE3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 xml:space="preserve">УФК по Нижегородской области (ТвГТУ л/с 20366Х41460) </w:t>
            </w:r>
          </w:p>
          <w:p w14:paraId="18792A45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 xml:space="preserve">ОКЦ № 1ВВГУ Банка России//УФК по Нижегородской области, г. Нижний Новгород </w:t>
            </w:r>
          </w:p>
          <w:p w14:paraId="3F469084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БИК банка: 012202102</w:t>
            </w:r>
          </w:p>
          <w:p w14:paraId="6329B484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Кор. счет банка: 40102810745370000024</w:t>
            </w:r>
          </w:p>
          <w:p w14:paraId="1ECAF8F2">
            <w:pPr>
              <w:rPr>
                <w:bCs/>
                <w:iCs/>
              </w:rPr>
            </w:pPr>
            <w:r>
              <w:rPr>
                <w:bCs/>
                <w:iCs/>
              </w:rPr>
              <w:t>Банковский счет (для бюджетного учреждения): 03214643000000013223</w:t>
            </w:r>
          </w:p>
          <w:p w14:paraId="2A06E95C"/>
        </w:tc>
      </w:tr>
      <w:tr w14:paraId="2085B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4968" w:type="dxa"/>
            <w:noWrap w:val="0"/>
            <w:vAlign w:val="top"/>
          </w:tcPr>
          <w:p w14:paraId="1C49BDF3">
            <w:r>
              <w:t>Руководитель</w:t>
            </w:r>
          </w:p>
          <w:p w14:paraId="3B152CD6"/>
          <w:p w14:paraId="044FC532">
            <w:pPr>
              <w:rPr>
                <w:color w:val="000000"/>
              </w:rPr>
            </w:pPr>
            <w:r>
              <w:t xml:space="preserve">_____________________ </w:t>
            </w:r>
          </w:p>
          <w:p w14:paraId="153089C9">
            <w:pPr>
              <w:rPr>
                <w:color w:val="000000"/>
              </w:rPr>
            </w:pPr>
            <w:r>
              <w:rPr>
                <w:color w:val="000000"/>
              </w:rPr>
              <w:t xml:space="preserve">М.п. </w:t>
            </w:r>
          </w:p>
        </w:tc>
        <w:tc>
          <w:tcPr>
            <w:tcW w:w="5040" w:type="dxa"/>
            <w:noWrap w:val="0"/>
            <w:vAlign w:val="top"/>
          </w:tcPr>
          <w:p w14:paraId="7C3069D3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Проректор по ИРиУФИ</w:t>
            </w:r>
          </w:p>
          <w:p w14:paraId="2511BF9F">
            <w:pPr>
              <w:keepNext/>
              <w:jc w:val="both"/>
              <w:outlineLvl w:val="3"/>
              <w:rPr>
                <w:bCs/>
                <w:iCs/>
              </w:rPr>
            </w:pPr>
          </w:p>
          <w:p w14:paraId="2818B8D9">
            <w:pPr>
              <w:keepNext/>
              <w:jc w:val="both"/>
              <w:outlineLvl w:val="3"/>
            </w:pPr>
            <w:r>
              <w:t>______________________ Пашаев Ф.А.</w:t>
            </w:r>
          </w:p>
          <w:p w14:paraId="30F33529">
            <w:pPr>
              <w:keepNext/>
              <w:jc w:val="both"/>
              <w:outlineLvl w:val="3"/>
              <w:rPr>
                <w:bCs/>
                <w:iCs/>
              </w:rPr>
            </w:pPr>
            <w:r>
              <w:t xml:space="preserve">М.п. </w:t>
            </w:r>
          </w:p>
        </w:tc>
      </w:tr>
    </w:tbl>
    <w:p w14:paraId="0E01E59F">
      <w:pPr>
        <w:ind w:left="5664" w:firstLine="708"/>
        <w:rPr>
          <w:b/>
          <w:bCs/>
          <w:color w:val="000000"/>
        </w:rPr>
      </w:pPr>
      <w:r>
        <w:rPr>
          <w:b/>
          <w:bCs/>
          <w:color w:val="000000"/>
        </w:rPr>
        <w:t>Приложение № 1</w:t>
      </w:r>
    </w:p>
    <w:p w14:paraId="29DE53A9">
      <w:pPr>
        <w:ind w:left="5664" w:firstLine="708"/>
        <w:rPr>
          <w:b/>
          <w:bCs/>
          <w:color w:val="000000"/>
        </w:rPr>
      </w:pPr>
      <w:r>
        <w:rPr>
          <w:b/>
          <w:bCs/>
          <w:color w:val="000000"/>
        </w:rPr>
        <w:t xml:space="preserve">к контракту №_____ </w:t>
      </w:r>
    </w:p>
    <w:p w14:paraId="7F2AF058">
      <w:pPr>
        <w:ind w:left="5664" w:firstLine="708"/>
        <w:rPr>
          <w:b/>
        </w:rPr>
      </w:pPr>
      <w:r>
        <w:rPr>
          <w:b/>
          <w:bCs/>
          <w:color w:val="000000"/>
        </w:rPr>
        <w:t>от «___» ________ 2026 года.</w:t>
      </w:r>
    </w:p>
    <w:p w14:paraId="104A4996">
      <w:pPr>
        <w:jc w:val="center"/>
        <w:rPr>
          <w:b/>
        </w:rPr>
      </w:pPr>
    </w:p>
    <w:p w14:paraId="37533517">
      <w:pPr>
        <w:jc w:val="center"/>
        <w:rPr>
          <w:b/>
        </w:rPr>
      </w:pPr>
      <w:r>
        <w:rPr>
          <w:b/>
        </w:rPr>
        <w:t>ТЕХНИЧЕСКОЕ ЗАДАНИЕ</w:t>
      </w:r>
    </w:p>
    <w:p w14:paraId="51E675C2">
      <w:pPr>
        <w:jc w:val="center"/>
        <w:rPr>
          <w:b/>
        </w:rPr>
      </w:pPr>
      <w:r>
        <w:rPr>
          <w:b/>
        </w:rPr>
        <w:t>на оказание услуг по организации и проведению Школы студенческих кураторов ТвГТУ 2026</w:t>
      </w:r>
    </w:p>
    <w:p w14:paraId="3E0070F7">
      <w:pPr>
        <w:spacing w:before="120" w:after="120"/>
        <w:ind w:firstLine="709"/>
      </w:pPr>
      <w:r>
        <w:t>Предоставляемые услуги должны отвечать следующим требованиям:</w:t>
      </w:r>
    </w:p>
    <w:tbl>
      <w:tblPr>
        <w:tblStyle w:val="6"/>
        <w:tblW w:w="100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991"/>
        <w:gridCol w:w="7380"/>
      </w:tblGrid>
      <w:tr w14:paraId="07D4C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09" w:type="dxa"/>
            <w:noWrap w:val="0"/>
            <w:vAlign w:val="top"/>
          </w:tcPr>
          <w:p w14:paraId="557B9024">
            <w:pPr>
              <w:ind w:left="-108" w:right="-184" w:hanging="108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№</w:t>
            </w:r>
          </w:p>
          <w:p w14:paraId="0D4DB507">
            <w:pPr>
              <w:ind w:left="-108" w:right="-184" w:hanging="108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п/п</w:t>
            </w:r>
          </w:p>
        </w:tc>
        <w:tc>
          <w:tcPr>
            <w:tcW w:w="1991" w:type="dxa"/>
            <w:noWrap w:val="0"/>
            <w:vAlign w:val="center"/>
          </w:tcPr>
          <w:p w14:paraId="3E19012C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Наименование</w:t>
            </w:r>
          </w:p>
        </w:tc>
        <w:tc>
          <w:tcPr>
            <w:tcW w:w="7380" w:type="dxa"/>
            <w:noWrap w:val="0"/>
            <w:vAlign w:val="center"/>
          </w:tcPr>
          <w:p w14:paraId="5B2453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Технические требования</w:t>
            </w:r>
          </w:p>
        </w:tc>
      </w:tr>
      <w:tr w14:paraId="33B49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09" w:type="dxa"/>
            <w:noWrap w:val="0"/>
            <w:vAlign w:val="top"/>
          </w:tcPr>
          <w:p w14:paraId="3C32673C">
            <w:pPr>
              <w:numPr>
                <w:ilvl w:val="0"/>
                <w:numId w:val="1"/>
              </w:numPr>
              <w:tabs>
                <w:tab w:val="left" w:pos="0"/>
                <w:tab w:val="left" w:pos="72"/>
              </w:tabs>
              <w:ind w:left="601" w:hanging="425"/>
              <w:jc w:val="center"/>
              <w:rPr>
                <w:rFonts w:eastAsia="Times New Roman"/>
              </w:rPr>
            </w:pPr>
          </w:p>
        </w:tc>
        <w:tc>
          <w:tcPr>
            <w:tcW w:w="1991" w:type="dxa"/>
            <w:noWrap w:val="0"/>
            <w:vAlign w:val="top"/>
          </w:tcPr>
          <w:p w14:paraId="3A5229A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Направленность услуг</w:t>
            </w:r>
          </w:p>
        </w:tc>
        <w:tc>
          <w:tcPr>
            <w:tcW w:w="7380" w:type="dxa"/>
            <w:noWrap w:val="0"/>
            <w:vAlign w:val="top"/>
          </w:tcPr>
          <w:p w14:paraId="0786D3A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Услуги по культурно-массовой работе (код ОКПД 2 - 93.29.19.190)</w:t>
            </w:r>
          </w:p>
        </w:tc>
      </w:tr>
      <w:tr w14:paraId="1CFE3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09" w:type="dxa"/>
            <w:noWrap w:val="0"/>
            <w:vAlign w:val="top"/>
          </w:tcPr>
          <w:p w14:paraId="21FAD1D0">
            <w:pPr>
              <w:numPr>
                <w:ilvl w:val="0"/>
                <w:numId w:val="1"/>
              </w:numPr>
              <w:tabs>
                <w:tab w:val="left" w:pos="0"/>
                <w:tab w:val="left" w:pos="72"/>
              </w:tabs>
              <w:ind w:left="601" w:hanging="425"/>
              <w:jc w:val="center"/>
              <w:rPr>
                <w:rFonts w:eastAsia="Times New Roman"/>
              </w:rPr>
            </w:pPr>
          </w:p>
        </w:tc>
        <w:tc>
          <w:tcPr>
            <w:tcW w:w="1991" w:type="dxa"/>
            <w:noWrap w:val="0"/>
            <w:vAlign w:val="top"/>
          </w:tcPr>
          <w:p w14:paraId="33DAE80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Сроки проведения  </w:t>
            </w:r>
          </w:p>
        </w:tc>
        <w:tc>
          <w:tcPr>
            <w:tcW w:w="7380" w:type="dxa"/>
            <w:noWrap w:val="0"/>
            <w:vAlign w:val="top"/>
          </w:tcPr>
          <w:p w14:paraId="6B48932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- 26 августа 2026 года – проведение образовательной программы Школы студенческих кураторов ТвГТУ;</w:t>
            </w:r>
          </w:p>
          <w:p w14:paraId="58E8A35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 до 04 сентября 2026 года – представление фототчета.</w:t>
            </w:r>
          </w:p>
        </w:tc>
      </w:tr>
      <w:tr w14:paraId="3C080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09" w:type="dxa"/>
            <w:noWrap w:val="0"/>
            <w:vAlign w:val="top"/>
          </w:tcPr>
          <w:p w14:paraId="1144DF1E">
            <w:pPr>
              <w:numPr>
                <w:ilvl w:val="0"/>
                <w:numId w:val="1"/>
              </w:numPr>
              <w:tabs>
                <w:tab w:val="left" w:pos="0"/>
                <w:tab w:val="left" w:pos="72"/>
              </w:tabs>
              <w:ind w:left="601" w:hanging="425"/>
              <w:jc w:val="center"/>
              <w:rPr>
                <w:rFonts w:eastAsia="Times New Roman"/>
              </w:rPr>
            </w:pPr>
          </w:p>
        </w:tc>
        <w:tc>
          <w:tcPr>
            <w:tcW w:w="1991" w:type="dxa"/>
            <w:noWrap w:val="0"/>
            <w:vAlign w:val="top"/>
          </w:tcPr>
          <w:p w14:paraId="0A88507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Место оказания услуг</w:t>
            </w:r>
          </w:p>
        </w:tc>
        <w:tc>
          <w:tcPr>
            <w:tcW w:w="7380" w:type="dxa"/>
            <w:noWrap w:val="0"/>
            <w:vAlign w:val="top"/>
          </w:tcPr>
          <w:p w14:paraId="7E6E1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Корпус «Ц» ТвГТУ (г. Тверь, наб. Афанасия Никитина, д. 22)</w:t>
            </w:r>
          </w:p>
        </w:tc>
      </w:tr>
      <w:tr w14:paraId="702DC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09" w:type="dxa"/>
            <w:noWrap w:val="0"/>
            <w:vAlign w:val="top"/>
          </w:tcPr>
          <w:p w14:paraId="75A21986">
            <w:pPr>
              <w:numPr>
                <w:ilvl w:val="0"/>
                <w:numId w:val="1"/>
              </w:numPr>
              <w:tabs>
                <w:tab w:val="left" w:pos="0"/>
                <w:tab w:val="left" w:pos="72"/>
              </w:tabs>
              <w:ind w:left="601" w:hanging="425"/>
              <w:jc w:val="center"/>
              <w:rPr>
                <w:rFonts w:eastAsia="Times New Roman"/>
              </w:rPr>
            </w:pPr>
            <w:bookmarkStart w:id="4" w:name="_GoBack" w:colFirst="1" w:colLast="1"/>
          </w:p>
        </w:tc>
        <w:tc>
          <w:tcPr>
            <w:tcW w:w="1991" w:type="dxa"/>
            <w:noWrap w:val="0"/>
            <w:vAlign w:val="top"/>
          </w:tcPr>
          <w:p w14:paraId="46CBC5D6">
            <w:pPr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Услуги по организации программы Школы</w:t>
            </w:r>
          </w:p>
        </w:tc>
        <w:tc>
          <w:tcPr>
            <w:tcW w:w="7380" w:type="dxa"/>
            <w:noWrap w:val="0"/>
            <w:vAlign w:val="top"/>
          </w:tcPr>
          <w:p w14:paraId="21684B46">
            <w:pPr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Программа Школы составляется Исполнителем с учетом пожеланий Заказчика и согласовывается с ним. Программа должна быть направлена на подготовку студентов ТвГТУ к работе в качестве студенческих кураторов учебных групп 1-го курса, соответствовать концепции воспитательной деятельности в ВУЗе, а так же учитывать современные тренды молодежной политики в РФ. Общая продолжительность образовательной программы должно составлять 8 (восемь) часов.</w:t>
            </w:r>
          </w:p>
          <w:p w14:paraId="5828F1D9">
            <w:pPr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Оргкомитет в количестве 8 (восемь) человек должен состоять из следующих специалистов:</w:t>
            </w:r>
          </w:p>
          <w:p w14:paraId="5A55A5EE">
            <w:pPr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- руководитель Школы – 1 чел.;</w:t>
            </w:r>
          </w:p>
          <w:p w14:paraId="0937AB7D">
            <w:pPr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- технический специалист – 1 чел.;</w:t>
            </w:r>
          </w:p>
          <w:p w14:paraId="1A4696FD">
            <w:pPr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- кураторы – 2 чел;</w:t>
            </w:r>
          </w:p>
          <w:p w14:paraId="75516A12">
            <w:pPr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- эксперты – 4 чел.</w:t>
            </w:r>
          </w:p>
          <w:p w14:paraId="67BCC201">
            <w:pPr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Привлеченные специалисты должны обладать соответствующей квалификацией, персональный состав специалистов согласовывается с Заказчиком. Общее время работы привлеченных экспертов 6 (шесть) часов.</w:t>
            </w:r>
          </w:p>
        </w:tc>
      </w:tr>
      <w:tr w14:paraId="51136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09" w:type="dxa"/>
            <w:noWrap w:val="0"/>
            <w:vAlign w:val="top"/>
          </w:tcPr>
          <w:p w14:paraId="7202730B">
            <w:pPr>
              <w:numPr>
                <w:ilvl w:val="0"/>
                <w:numId w:val="1"/>
              </w:numPr>
              <w:tabs>
                <w:tab w:val="left" w:pos="0"/>
                <w:tab w:val="left" w:pos="72"/>
              </w:tabs>
              <w:ind w:left="601" w:hanging="425"/>
              <w:jc w:val="center"/>
              <w:rPr>
                <w:rFonts w:eastAsia="Times New Roman"/>
              </w:rPr>
            </w:pPr>
          </w:p>
        </w:tc>
        <w:tc>
          <w:tcPr>
            <w:tcW w:w="1991" w:type="dxa"/>
            <w:noWrap w:val="0"/>
            <w:vAlign w:val="top"/>
          </w:tcPr>
          <w:p w14:paraId="0304D9EE">
            <w:pPr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Техническое сопровождение школы</w:t>
            </w:r>
          </w:p>
        </w:tc>
        <w:tc>
          <w:tcPr>
            <w:tcW w:w="7380" w:type="dxa"/>
            <w:noWrap w:val="0"/>
            <w:vAlign w:val="top"/>
          </w:tcPr>
          <w:p w14:paraId="7EC3CC70">
            <w:pPr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Исполнитель обязан организовать техническое сопровождение мероприятия и предоставить необходимое оборудование на все время проведения мероприятия:</w:t>
            </w:r>
          </w:p>
          <w:p w14:paraId="0D2F968F">
            <w:pPr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- флипчарт (3 шт.);</w:t>
            </w:r>
          </w:p>
          <w:p w14:paraId="23C5B1A5">
            <w:pPr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- ноутбук (1 шт.), видеопроектор (1 шт.) и проекционный экран (1 шт.);</w:t>
            </w:r>
          </w:p>
          <w:p w14:paraId="5A390C5D">
            <w:pPr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- принтер для ч/б печати с заправленным картриджем (1 шт.).</w:t>
            </w:r>
          </w:p>
          <w:p w14:paraId="74DB99B2">
            <w:pPr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Наличие технического специалиста обязательно</w:t>
            </w:r>
          </w:p>
        </w:tc>
      </w:tr>
      <w:tr w14:paraId="65647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09" w:type="dxa"/>
            <w:noWrap w:val="0"/>
            <w:vAlign w:val="top"/>
          </w:tcPr>
          <w:p w14:paraId="5F56AE46">
            <w:pPr>
              <w:numPr>
                <w:ilvl w:val="0"/>
                <w:numId w:val="1"/>
              </w:numPr>
              <w:ind w:left="601" w:hanging="425"/>
              <w:jc w:val="center"/>
              <w:rPr>
                <w:rFonts w:eastAsia="Times New Roman"/>
              </w:rPr>
            </w:pPr>
          </w:p>
        </w:tc>
        <w:tc>
          <w:tcPr>
            <w:tcW w:w="1991" w:type="dxa"/>
            <w:noWrap w:val="0"/>
            <w:vAlign w:val="top"/>
          </w:tcPr>
          <w:p w14:paraId="4D986B9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Услуги по организации питания участников мероприятия</w:t>
            </w:r>
          </w:p>
        </w:tc>
        <w:tc>
          <w:tcPr>
            <w:tcW w:w="7380" w:type="dxa"/>
            <w:noWrap w:val="0"/>
            <w:vAlign w:val="top"/>
          </w:tcPr>
          <w:p w14:paraId="450146B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Исполнитель обязан организовать питание участников и организаторов школы в соответствии с графиком:</w:t>
            </w:r>
          </w:p>
          <w:p w14:paraId="08B6C95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- 26 августа 2026 года: обед на  человека, кофе-брейк на 54 человека.</w:t>
            </w:r>
          </w:p>
          <w:p w14:paraId="3F00CC51">
            <w:pPr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Приготовление пищи осуществляться в г. Твери в соответствие с санитарно-гигиеническими нормами, после этого организуется доставка, разогрев, раздача питания в одноразовой посуде в месте проведения мероприятия.</w:t>
            </w:r>
          </w:p>
          <w:p w14:paraId="13347D37">
            <w:pPr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Меню питания согласовывается с Заказчиком:</w:t>
            </w:r>
          </w:p>
          <w:p w14:paraId="490EE5EC">
            <w:pPr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- обед должен включать в себя: первое блюдо, горячее мясное блюдо (курица/ говядина/ индейка/ рыба) и гарнир (рис/макароны/ картофель/ гречка/овощи), салат (овощи/сыр/рыба/мясное изделие), напиток (чай/кофе/компот/морс/сок), хлеб;</w:t>
            </w:r>
          </w:p>
          <w:p w14:paraId="6C821FEB">
            <w:pPr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- кофе-брейк должен включать в себя: чай пакетированный, минеральная вода, выпечка, бутерброды с колбасой и сыром).</w:t>
            </w:r>
          </w:p>
          <w:p w14:paraId="0F168A3D">
            <w:pPr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Организация питания включает в себя наличие всей необходимой мебели, посуды, прочего необходимое оборудования.</w:t>
            </w:r>
          </w:p>
          <w:p w14:paraId="07CCD16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На протяжении всех этапов Школы участникам и организаторам обеспечивается доступ к питьевой воде (наличие кулера с питьевой водой и одноразовых стаканов).</w:t>
            </w:r>
          </w:p>
        </w:tc>
      </w:tr>
      <w:tr w14:paraId="6EAEE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09" w:type="dxa"/>
            <w:noWrap w:val="0"/>
            <w:vAlign w:val="top"/>
          </w:tcPr>
          <w:p w14:paraId="19E677B1">
            <w:pPr>
              <w:numPr>
                <w:ilvl w:val="0"/>
                <w:numId w:val="1"/>
              </w:numPr>
              <w:ind w:left="601" w:hanging="425"/>
              <w:jc w:val="center"/>
              <w:rPr>
                <w:rFonts w:eastAsia="Times New Roman"/>
              </w:rPr>
            </w:pPr>
          </w:p>
        </w:tc>
        <w:tc>
          <w:tcPr>
            <w:tcW w:w="1991" w:type="dxa"/>
            <w:noWrap w:val="0"/>
            <w:vAlign w:val="top"/>
          </w:tcPr>
          <w:p w14:paraId="0177C86C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Услуги по разработке дизайн-макетов</w:t>
            </w:r>
          </w:p>
        </w:tc>
        <w:tc>
          <w:tcPr>
            <w:tcW w:w="7380" w:type="dxa"/>
            <w:noWrap w:val="0"/>
            <w:vAlign w:val="center"/>
          </w:tcPr>
          <w:p w14:paraId="5DFE671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Исполнитель обязан разработать дизайн-макет афиши, сертификата участника и благодарности и предоставить Заказчику в электронном виде в формате pdf, png или jpeg, цветовая схема CMYK.</w:t>
            </w:r>
          </w:p>
        </w:tc>
      </w:tr>
      <w:tr w14:paraId="3BD0E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09" w:type="dxa"/>
            <w:noWrap w:val="0"/>
            <w:vAlign w:val="top"/>
          </w:tcPr>
          <w:p w14:paraId="4DDEBDD9">
            <w:pPr>
              <w:numPr>
                <w:ilvl w:val="0"/>
                <w:numId w:val="1"/>
              </w:numPr>
              <w:ind w:left="601" w:hanging="425"/>
              <w:jc w:val="center"/>
              <w:rPr>
                <w:rFonts w:eastAsia="Times New Roman"/>
              </w:rPr>
            </w:pPr>
          </w:p>
        </w:tc>
        <w:tc>
          <w:tcPr>
            <w:tcW w:w="1991" w:type="dxa"/>
            <w:noWrap w:val="0"/>
            <w:vAlign w:val="top"/>
          </w:tcPr>
          <w:p w14:paraId="50DF0DE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Проведение фотосъемки мероприятия</w:t>
            </w:r>
          </w:p>
        </w:tc>
        <w:tc>
          <w:tcPr>
            <w:tcW w:w="7380" w:type="dxa"/>
            <w:noWrap w:val="0"/>
            <w:vAlign w:val="top"/>
          </w:tcPr>
          <w:p w14:paraId="1519151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 рамках проведения комплекса мероприятий силами Исполнителя должна осуществляться фотосъемка, фотоотчет в объеме 30 фотографий предоставляется Исполнителю в электронной форме в формате </w:t>
            </w:r>
            <w:r>
              <w:rPr>
                <w:rFonts w:eastAsia="Times New Roman"/>
                <w:lang w:val="en-US"/>
              </w:rPr>
              <w:t>jpg</w:t>
            </w:r>
            <w:r>
              <w:rPr>
                <w:rFonts w:eastAsia="Times New Roman"/>
              </w:rPr>
              <w:t>.</w:t>
            </w:r>
          </w:p>
        </w:tc>
      </w:tr>
      <w:bookmarkEnd w:id="4"/>
    </w:tbl>
    <w:p w14:paraId="7017621A">
      <w:pPr>
        <w:spacing w:before="120" w:after="120"/>
      </w:pPr>
    </w:p>
    <w:p w14:paraId="5334FECC">
      <w:pPr>
        <w:spacing w:before="120" w:after="120"/>
      </w:pPr>
    </w:p>
    <w:tbl>
      <w:tblPr>
        <w:tblStyle w:val="6"/>
        <w:tblW w:w="1000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8"/>
        <w:gridCol w:w="5040"/>
      </w:tblGrid>
      <w:tr w14:paraId="2E5B9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29" w:hRule="atLeast"/>
        </w:trPr>
        <w:tc>
          <w:tcPr>
            <w:tcW w:w="4968" w:type="dxa"/>
            <w:noWrap w:val="0"/>
            <w:vAlign w:val="top"/>
          </w:tcPr>
          <w:p w14:paraId="282B4D9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Исполнитель</w:t>
            </w:r>
          </w:p>
          <w:p w14:paraId="60AC131B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______________________</w:t>
            </w:r>
          </w:p>
          <w:p w14:paraId="6861393B"/>
          <w:p w14:paraId="0AB14281">
            <w:r>
              <w:t>Адрес</w:t>
            </w:r>
          </w:p>
          <w:p w14:paraId="7CD36435">
            <w:r>
              <w:t>Телефон</w:t>
            </w:r>
          </w:p>
          <w:p w14:paraId="0251C3CB"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</w:p>
          <w:p w14:paraId="7C10C402">
            <w:r>
              <w:t>ИНН/КПП</w:t>
            </w:r>
          </w:p>
          <w:p w14:paraId="358C5AC6">
            <w:r>
              <w:t>ОГРН</w:t>
            </w:r>
          </w:p>
          <w:p w14:paraId="301DEECD">
            <w:r>
              <w:t>Р/с 4</w:t>
            </w:r>
          </w:p>
          <w:p w14:paraId="766BD942">
            <w:r>
              <w:t>банк</w:t>
            </w:r>
          </w:p>
          <w:p w14:paraId="48544296">
            <w:r>
              <w:t xml:space="preserve">К/с </w:t>
            </w:r>
          </w:p>
          <w:p w14:paraId="72E6A84D">
            <w:r>
              <w:t>БИК</w:t>
            </w:r>
          </w:p>
          <w:p w14:paraId="31BEBC2A"/>
        </w:tc>
        <w:tc>
          <w:tcPr>
            <w:tcW w:w="5040" w:type="dxa"/>
            <w:noWrap w:val="0"/>
            <w:vAlign w:val="top"/>
          </w:tcPr>
          <w:p w14:paraId="470D52A2">
            <w:pPr>
              <w:keepNext/>
              <w:jc w:val="center"/>
              <w:outlineLvl w:val="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Заказчик</w:t>
            </w:r>
          </w:p>
          <w:p w14:paraId="461B2089">
            <w:pPr>
              <w:spacing w:before="120" w:after="120"/>
              <w:rPr>
                <w:b/>
              </w:rPr>
            </w:pPr>
            <w:r>
              <w:rPr>
                <w:b/>
              </w:rPr>
              <w:t>Федеральное государственное бюджетное образовательное учреждение высшего образования «Тверской государственный технический университет»</w:t>
            </w:r>
          </w:p>
          <w:p w14:paraId="2D97CE5A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170026, г. Тверь, наб. А. Никитина, 22</w:t>
            </w:r>
          </w:p>
          <w:p w14:paraId="20556CC6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тел. (4822) 52-63-35</w:t>
            </w:r>
          </w:p>
          <w:p w14:paraId="62897A72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ИНН  6902010135   КПП 695201001</w:t>
            </w:r>
          </w:p>
          <w:p w14:paraId="4A46D2EB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 xml:space="preserve">УФК по Нижегородской области (ТвГТУ л/с 20366Х41460) </w:t>
            </w:r>
          </w:p>
          <w:p w14:paraId="7EBBCA63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 xml:space="preserve">ОКЦ № 1ВВГУ Банка России//УФК по Нижегородской области, г. Нижний Новгород </w:t>
            </w:r>
          </w:p>
          <w:p w14:paraId="203F2A80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БИК банка: 012202102</w:t>
            </w:r>
          </w:p>
          <w:p w14:paraId="7F037A06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Кор. счет банка: 40102810745370000024</w:t>
            </w:r>
          </w:p>
          <w:p w14:paraId="1CB07320">
            <w:pPr>
              <w:rPr>
                <w:bCs/>
                <w:iCs/>
              </w:rPr>
            </w:pPr>
            <w:r>
              <w:rPr>
                <w:bCs/>
                <w:iCs/>
              </w:rPr>
              <w:t>Банковский счет (для бюджетного учреждения): 03214643000000013223</w:t>
            </w:r>
          </w:p>
          <w:p w14:paraId="317FE3EB"/>
        </w:tc>
      </w:tr>
      <w:tr w14:paraId="7A442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4968" w:type="dxa"/>
            <w:noWrap w:val="0"/>
            <w:vAlign w:val="top"/>
          </w:tcPr>
          <w:p w14:paraId="3FE90F05">
            <w:r>
              <w:t>Руководитель</w:t>
            </w:r>
          </w:p>
          <w:p w14:paraId="076A9813"/>
          <w:p w14:paraId="72856648">
            <w:pPr>
              <w:rPr>
                <w:color w:val="000000"/>
              </w:rPr>
            </w:pPr>
            <w:r>
              <w:t xml:space="preserve">_____________________ </w:t>
            </w:r>
          </w:p>
          <w:p w14:paraId="61E69940">
            <w:pPr>
              <w:rPr>
                <w:color w:val="000000"/>
              </w:rPr>
            </w:pPr>
            <w:r>
              <w:rPr>
                <w:color w:val="000000"/>
              </w:rPr>
              <w:t xml:space="preserve">М.п. </w:t>
            </w:r>
          </w:p>
        </w:tc>
        <w:tc>
          <w:tcPr>
            <w:tcW w:w="5040" w:type="dxa"/>
            <w:noWrap w:val="0"/>
            <w:vAlign w:val="top"/>
          </w:tcPr>
          <w:p w14:paraId="44A3C1AB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Проректор по ИРиУФИ</w:t>
            </w:r>
          </w:p>
          <w:p w14:paraId="296070C9">
            <w:pPr>
              <w:keepNext/>
              <w:jc w:val="both"/>
              <w:outlineLvl w:val="3"/>
              <w:rPr>
                <w:bCs/>
                <w:iCs/>
              </w:rPr>
            </w:pPr>
          </w:p>
          <w:p w14:paraId="1D11CA40">
            <w:pPr>
              <w:keepNext/>
              <w:jc w:val="both"/>
              <w:outlineLvl w:val="3"/>
            </w:pPr>
            <w:r>
              <w:t>______________________ Пашаев Ф.А.</w:t>
            </w:r>
          </w:p>
          <w:p w14:paraId="07AB44FC">
            <w:pPr>
              <w:keepNext/>
              <w:jc w:val="both"/>
              <w:outlineLvl w:val="3"/>
              <w:rPr>
                <w:bCs/>
                <w:iCs/>
              </w:rPr>
            </w:pPr>
            <w:r>
              <w:t xml:space="preserve">М.п. </w:t>
            </w:r>
          </w:p>
        </w:tc>
      </w:tr>
    </w:tbl>
    <w:p w14:paraId="796F4358">
      <w:pPr>
        <w:spacing w:before="120" w:after="120"/>
      </w:pPr>
    </w:p>
    <w:p w14:paraId="0726120C">
      <w:pPr>
        <w:ind w:left="5664" w:firstLine="708"/>
        <w:rPr>
          <w:b/>
          <w:bCs/>
          <w:color w:val="000000"/>
        </w:rPr>
      </w:pPr>
    </w:p>
    <w:p w14:paraId="4BFA0AA8">
      <w:pPr>
        <w:ind w:left="5664" w:firstLine="708"/>
        <w:rPr>
          <w:b/>
          <w:bCs/>
          <w:color w:val="000000"/>
        </w:rPr>
      </w:pPr>
    </w:p>
    <w:p w14:paraId="7DE5937D">
      <w:pPr>
        <w:ind w:left="5664" w:firstLine="708"/>
        <w:rPr>
          <w:b/>
          <w:bCs/>
          <w:color w:val="000000"/>
        </w:rPr>
      </w:pPr>
    </w:p>
    <w:p w14:paraId="0FEE933E">
      <w:pPr>
        <w:ind w:left="5664" w:firstLine="708"/>
        <w:rPr>
          <w:b/>
          <w:bCs/>
          <w:color w:val="000000"/>
        </w:rPr>
      </w:pPr>
    </w:p>
    <w:p w14:paraId="323895B9">
      <w:pPr>
        <w:ind w:left="5664" w:firstLine="708"/>
        <w:rPr>
          <w:b/>
          <w:bCs/>
          <w:color w:val="000000"/>
        </w:rPr>
      </w:pPr>
    </w:p>
    <w:p w14:paraId="2B2F84A4">
      <w:pPr>
        <w:ind w:left="5664" w:firstLine="708"/>
        <w:rPr>
          <w:b/>
          <w:bCs/>
          <w:color w:val="000000"/>
        </w:rPr>
      </w:pPr>
    </w:p>
    <w:p w14:paraId="27193947">
      <w:pPr>
        <w:ind w:left="5664" w:firstLine="708"/>
        <w:rPr>
          <w:b/>
          <w:bCs/>
          <w:color w:val="000000"/>
        </w:rPr>
      </w:pPr>
    </w:p>
    <w:p w14:paraId="07E3EC94">
      <w:pPr>
        <w:ind w:left="5664" w:firstLine="708"/>
        <w:rPr>
          <w:b/>
          <w:bCs/>
          <w:color w:val="000000"/>
        </w:rPr>
      </w:pPr>
    </w:p>
    <w:p w14:paraId="4B3EBD70">
      <w:pPr>
        <w:ind w:left="5664" w:firstLine="708"/>
        <w:rPr>
          <w:b/>
          <w:bCs/>
          <w:color w:val="000000"/>
        </w:rPr>
      </w:pPr>
    </w:p>
    <w:p w14:paraId="0B305F36">
      <w:pPr>
        <w:ind w:left="5664" w:firstLine="708"/>
        <w:rPr>
          <w:b/>
          <w:bCs/>
          <w:color w:val="000000"/>
        </w:rPr>
      </w:pPr>
    </w:p>
    <w:p w14:paraId="3EAE74C4">
      <w:pPr>
        <w:ind w:left="5664" w:firstLine="708"/>
        <w:rPr>
          <w:b/>
          <w:bCs/>
          <w:color w:val="000000"/>
        </w:rPr>
      </w:pPr>
    </w:p>
    <w:p w14:paraId="62C11A80">
      <w:pPr>
        <w:ind w:left="5664" w:firstLine="708"/>
        <w:rPr>
          <w:b/>
          <w:bCs/>
          <w:color w:val="000000"/>
        </w:rPr>
      </w:pPr>
    </w:p>
    <w:p w14:paraId="23B3FA17">
      <w:pPr>
        <w:ind w:left="5664" w:firstLine="708"/>
        <w:rPr>
          <w:b/>
          <w:bCs/>
          <w:color w:val="000000"/>
        </w:rPr>
      </w:pPr>
    </w:p>
    <w:p w14:paraId="4213DCB1">
      <w:pPr>
        <w:ind w:left="5664" w:firstLine="708"/>
        <w:rPr>
          <w:b/>
          <w:bCs/>
          <w:color w:val="000000"/>
        </w:rPr>
      </w:pPr>
    </w:p>
    <w:p w14:paraId="69D60C47">
      <w:pPr>
        <w:ind w:left="5664" w:firstLine="708"/>
        <w:rPr>
          <w:b/>
          <w:bCs/>
          <w:color w:val="000000"/>
        </w:rPr>
      </w:pPr>
    </w:p>
    <w:p w14:paraId="43823801">
      <w:pPr>
        <w:ind w:left="5664" w:firstLine="708"/>
        <w:rPr>
          <w:b/>
          <w:bCs/>
          <w:color w:val="000000"/>
        </w:rPr>
      </w:pPr>
    </w:p>
    <w:p w14:paraId="2C9D01EB">
      <w:pPr>
        <w:ind w:left="5664" w:firstLine="708"/>
        <w:rPr>
          <w:b/>
          <w:bCs/>
          <w:color w:val="000000"/>
        </w:rPr>
      </w:pPr>
      <w:r>
        <w:rPr>
          <w:b/>
          <w:bCs/>
          <w:color w:val="000000"/>
        </w:rPr>
        <w:t>Приложение № 2</w:t>
      </w:r>
    </w:p>
    <w:p w14:paraId="508CE0E6">
      <w:pPr>
        <w:ind w:left="5664" w:firstLine="708"/>
        <w:rPr>
          <w:b/>
          <w:bCs/>
          <w:color w:val="000000"/>
        </w:rPr>
      </w:pPr>
      <w:r>
        <w:rPr>
          <w:b/>
          <w:bCs/>
          <w:color w:val="000000"/>
        </w:rPr>
        <w:t xml:space="preserve">к контракту №_____ </w:t>
      </w:r>
    </w:p>
    <w:p w14:paraId="2421B821">
      <w:pPr>
        <w:ind w:left="5664" w:firstLine="708"/>
        <w:rPr>
          <w:b/>
        </w:rPr>
      </w:pPr>
      <w:r>
        <w:rPr>
          <w:b/>
          <w:bCs/>
          <w:color w:val="000000"/>
        </w:rPr>
        <w:t>от «___» ________ 2026 года.</w:t>
      </w:r>
    </w:p>
    <w:p w14:paraId="22CC0F48">
      <w:pPr>
        <w:jc w:val="center"/>
        <w:rPr>
          <w:b/>
        </w:rPr>
      </w:pPr>
    </w:p>
    <w:p w14:paraId="74F45B33">
      <w:pPr>
        <w:spacing w:before="120"/>
        <w:jc w:val="center"/>
        <w:rPr>
          <w:b/>
        </w:rPr>
      </w:pPr>
      <w:r>
        <w:rPr>
          <w:b/>
        </w:rPr>
        <w:t>ОБОСНОВАНИЕ ЦЕНЫ</w:t>
      </w:r>
    </w:p>
    <w:p w14:paraId="71981F85">
      <w:pPr>
        <w:jc w:val="center"/>
        <w:rPr>
          <w:b/>
        </w:rPr>
      </w:pPr>
      <w:r>
        <w:rPr>
          <w:b/>
        </w:rPr>
        <w:t>стоимости услуг по организации и проведению Школы студенческих кураторов ТвГТУ 2026</w:t>
      </w:r>
    </w:p>
    <w:p w14:paraId="24118525">
      <w:pPr>
        <w:jc w:val="center"/>
        <w:rPr>
          <w:b/>
        </w:rPr>
      </w:pPr>
    </w:p>
    <w:p w14:paraId="481DF69F">
      <w:pPr>
        <w:jc w:val="center"/>
        <w:rPr>
          <w:b/>
        </w:rPr>
      </w:pPr>
    </w:p>
    <w:tbl>
      <w:tblPr>
        <w:tblStyle w:val="6"/>
        <w:tblW w:w="98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4732"/>
        <w:gridCol w:w="941"/>
        <w:gridCol w:w="840"/>
        <w:gridCol w:w="1461"/>
        <w:gridCol w:w="1112"/>
      </w:tblGrid>
      <w:tr w14:paraId="51834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62574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№ п/п</w:t>
            </w:r>
          </w:p>
        </w:tc>
        <w:tc>
          <w:tcPr>
            <w:tcW w:w="4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4514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Статьи расходов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08E9B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Ед. изм.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3EF5B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Кол-во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560D4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Стоимость, руб.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C889C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Сумма, руб.</w:t>
            </w:r>
          </w:p>
        </w:tc>
      </w:tr>
      <w:tr w14:paraId="5F9A3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AF9C6">
            <w:pPr>
              <w:numPr>
                <w:ilvl w:val="0"/>
                <w:numId w:val="2"/>
              </w:numPr>
              <w:jc w:val="both"/>
              <w:rPr>
                <w:rFonts w:eastAsia="Times New Roman"/>
              </w:rPr>
            </w:pPr>
          </w:p>
        </w:tc>
        <w:tc>
          <w:tcPr>
            <w:tcW w:w="4732" w:type="dxa"/>
            <w:noWrap w:val="0"/>
            <w:vAlign w:val="center"/>
          </w:tcPr>
          <w:p w14:paraId="11335F2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Разработка программы Школы и методических материалов, административное сопровождение школы</w:t>
            </w:r>
          </w:p>
        </w:tc>
        <w:tc>
          <w:tcPr>
            <w:tcW w:w="941" w:type="dxa"/>
            <w:noWrap w:val="0"/>
            <w:vAlign w:val="center"/>
          </w:tcPr>
          <w:p w14:paraId="0F6F0AF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усл.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A1EE9">
            <w:pPr>
              <w:jc w:val="center"/>
            </w:pPr>
            <w:r>
              <w:t>1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ABB15">
            <w:pPr>
              <w:jc w:val="center"/>
            </w:pPr>
            <w:r>
              <w:t>9 000</w:t>
            </w:r>
          </w:p>
        </w:tc>
        <w:tc>
          <w:tcPr>
            <w:tcW w:w="1112" w:type="dxa"/>
            <w:noWrap w:val="0"/>
            <w:vAlign w:val="center"/>
          </w:tcPr>
          <w:p w14:paraId="1F16F6C0">
            <w:pPr>
              <w:jc w:val="center"/>
            </w:pPr>
            <w:r>
              <w:t>9 000</w:t>
            </w:r>
          </w:p>
        </w:tc>
      </w:tr>
      <w:tr w14:paraId="5C008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A4386">
            <w:pPr>
              <w:numPr>
                <w:ilvl w:val="0"/>
                <w:numId w:val="2"/>
              </w:numPr>
              <w:jc w:val="both"/>
              <w:rPr>
                <w:rFonts w:eastAsia="Times New Roman"/>
              </w:rPr>
            </w:pPr>
          </w:p>
        </w:tc>
        <w:tc>
          <w:tcPr>
            <w:tcW w:w="4732" w:type="dxa"/>
            <w:noWrap w:val="0"/>
            <w:vAlign w:val="center"/>
          </w:tcPr>
          <w:p w14:paraId="0CCA70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Техническое сопровождение мероприятия</w:t>
            </w:r>
          </w:p>
        </w:tc>
        <w:tc>
          <w:tcPr>
            <w:tcW w:w="941" w:type="dxa"/>
            <w:noWrap w:val="0"/>
            <w:vAlign w:val="center"/>
          </w:tcPr>
          <w:p w14:paraId="6619890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усл.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8BD8C">
            <w:pPr>
              <w:jc w:val="center"/>
            </w:pPr>
            <w:r>
              <w:t>1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24CE6">
            <w:pPr>
              <w:jc w:val="center"/>
            </w:pPr>
            <w:r>
              <w:t>4 000</w:t>
            </w:r>
          </w:p>
        </w:tc>
        <w:tc>
          <w:tcPr>
            <w:tcW w:w="1112" w:type="dxa"/>
            <w:noWrap w:val="0"/>
            <w:vAlign w:val="center"/>
          </w:tcPr>
          <w:p w14:paraId="34DF8778">
            <w:pPr>
              <w:jc w:val="center"/>
            </w:pPr>
            <w:r>
              <w:t>4 000</w:t>
            </w:r>
          </w:p>
        </w:tc>
      </w:tr>
      <w:tr w14:paraId="4C6F9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AB0FB">
            <w:pPr>
              <w:numPr>
                <w:ilvl w:val="0"/>
                <w:numId w:val="2"/>
              </w:numPr>
              <w:jc w:val="both"/>
              <w:rPr>
                <w:rFonts w:eastAsia="Times New Roman"/>
              </w:rPr>
            </w:pPr>
          </w:p>
        </w:tc>
        <w:tc>
          <w:tcPr>
            <w:tcW w:w="4732" w:type="dxa"/>
            <w:noWrap w:val="0"/>
            <w:vAlign w:val="center"/>
          </w:tcPr>
          <w:p w14:paraId="1E470465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</w:rPr>
              <w:t>Оплата привлеченных специалистов (спикеры)</w:t>
            </w:r>
          </w:p>
        </w:tc>
        <w:tc>
          <w:tcPr>
            <w:tcW w:w="941" w:type="dxa"/>
            <w:noWrap w:val="0"/>
            <w:vAlign w:val="center"/>
          </w:tcPr>
          <w:p w14:paraId="43F12F6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час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2DAB8">
            <w:pPr>
              <w:jc w:val="center"/>
            </w:pPr>
            <w:r>
              <w:t>6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804C1">
            <w:pPr>
              <w:jc w:val="center"/>
            </w:pPr>
            <w:r>
              <w:t>2 000</w:t>
            </w:r>
          </w:p>
        </w:tc>
        <w:tc>
          <w:tcPr>
            <w:tcW w:w="1112" w:type="dxa"/>
            <w:noWrap w:val="0"/>
            <w:vAlign w:val="center"/>
          </w:tcPr>
          <w:p w14:paraId="06D74661">
            <w:pPr>
              <w:jc w:val="center"/>
            </w:pPr>
            <w:r>
              <w:t>12 000</w:t>
            </w:r>
          </w:p>
        </w:tc>
      </w:tr>
      <w:tr w14:paraId="62979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150D8">
            <w:pPr>
              <w:numPr>
                <w:ilvl w:val="0"/>
                <w:numId w:val="2"/>
              </w:numPr>
              <w:jc w:val="both"/>
              <w:rPr>
                <w:rFonts w:eastAsia="Times New Roman"/>
              </w:rPr>
            </w:pPr>
          </w:p>
        </w:tc>
        <w:tc>
          <w:tcPr>
            <w:tcW w:w="4732" w:type="dxa"/>
            <w:noWrap w:val="0"/>
            <w:vAlign w:val="center"/>
          </w:tcPr>
          <w:p w14:paraId="519281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Питание (обед)</w:t>
            </w:r>
          </w:p>
        </w:tc>
        <w:tc>
          <w:tcPr>
            <w:tcW w:w="941" w:type="dxa"/>
            <w:noWrap w:val="0"/>
            <w:vAlign w:val="center"/>
          </w:tcPr>
          <w:p w14:paraId="2E199D4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порц.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0B610">
            <w:pPr>
              <w:jc w:val="center"/>
            </w:pPr>
            <w:r>
              <w:t>45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94BC4">
            <w:pPr>
              <w:jc w:val="center"/>
            </w:pPr>
            <w:r>
              <w:t>500</w:t>
            </w:r>
          </w:p>
        </w:tc>
        <w:tc>
          <w:tcPr>
            <w:tcW w:w="1112" w:type="dxa"/>
            <w:noWrap w:val="0"/>
            <w:vAlign w:val="center"/>
          </w:tcPr>
          <w:p w14:paraId="19C44AFF">
            <w:pPr>
              <w:jc w:val="center"/>
            </w:pPr>
            <w:r>
              <w:t>22 500</w:t>
            </w:r>
          </w:p>
        </w:tc>
      </w:tr>
      <w:tr w14:paraId="51ABC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04D25">
            <w:pPr>
              <w:numPr>
                <w:ilvl w:val="0"/>
                <w:numId w:val="2"/>
              </w:numPr>
              <w:jc w:val="both"/>
              <w:rPr>
                <w:rFonts w:eastAsia="Times New Roman"/>
              </w:rPr>
            </w:pPr>
          </w:p>
        </w:tc>
        <w:tc>
          <w:tcPr>
            <w:tcW w:w="4732" w:type="dxa"/>
            <w:noWrap w:val="0"/>
            <w:vAlign w:val="center"/>
          </w:tcPr>
          <w:p w14:paraId="2AF6A81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Питание (кофе-брейк)</w:t>
            </w:r>
          </w:p>
        </w:tc>
        <w:tc>
          <w:tcPr>
            <w:tcW w:w="941" w:type="dxa"/>
            <w:noWrap w:val="0"/>
            <w:vAlign w:val="center"/>
          </w:tcPr>
          <w:p w14:paraId="2DBD085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порц.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A06EE">
            <w:pPr>
              <w:jc w:val="center"/>
            </w:pPr>
            <w:r>
              <w:t>45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E19A5">
            <w:pPr>
              <w:jc w:val="center"/>
            </w:pPr>
            <w:r>
              <w:t>200</w:t>
            </w:r>
          </w:p>
        </w:tc>
        <w:tc>
          <w:tcPr>
            <w:tcW w:w="1112" w:type="dxa"/>
            <w:noWrap w:val="0"/>
            <w:vAlign w:val="center"/>
          </w:tcPr>
          <w:p w14:paraId="78AB9B99">
            <w:pPr>
              <w:jc w:val="center"/>
            </w:pPr>
            <w:r>
              <w:t>9 000</w:t>
            </w:r>
          </w:p>
        </w:tc>
      </w:tr>
      <w:tr w14:paraId="5EB69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569BB">
            <w:pPr>
              <w:numPr>
                <w:ilvl w:val="0"/>
                <w:numId w:val="2"/>
              </w:numPr>
              <w:jc w:val="both"/>
              <w:rPr>
                <w:rFonts w:eastAsia="Times New Roman"/>
              </w:rPr>
            </w:pPr>
          </w:p>
        </w:tc>
        <w:tc>
          <w:tcPr>
            <w:tcW w:w="4732" w:type="dxa"/>
            <w:noWrap w:val="0"/>
            <w:vAlign w:val="center"/>
          </w:tcPr>
          <w:p w14:paraId="526067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Разработка дизайн-макетов</w:t>
            </w:r>
          </w:p>
        </w:tc>
        <w:tc>
          <w:tcPr>
            <w:tcW w:w="941" w:type="dxa"/>
            <w:noWrap w:val="0"/>
            <w:vAlign w:val="center"/>
          </w:tcPr>
          <w:p w14:paraId="1DF8857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усл.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E9167">
            <w:pPr>
              <w:jc w:val="center"/>
            </w:pPr>
            <w:r>
              <w:t>1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5FD03">
            <w:pPr>
              <w:jc w:val="center"/>
            </w:pPr>
            <w:r>
              <w:t>3 000</w:t>
            </w:r>
          </w:p>
        </w:tc>
        <w:tc>
          <w:tcPr>
            <w:tcW w:w="1112" w:type="dxa"/>
            <w:noWrap w:val="0"/>
            <w:vAlign w:val="center"/>
          </w:tcPr>
          <w:p w14:paraId="4DE15E58">
            <w:pPr>
              <w:jc w:val="center"/>
            </w:pPr>
            <w:r>
              <w:t>3 000</w:t>
            </w:r>
          </w:p>
        </w:tc>
      </w:tr>
      <w:tr w14:paraId="4460F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836EF">
            <w:pPr>
              <w:numPr>
                <w:ilvl w:val="0"/>
                <w:numId w:val="2"/>
              </w:numPr>
              <w:jc w:val="both"/>
              <w:rPr>
                <w:rFonts w:eastAsia="Times New Roman"/>
              </w:rPr>
            </w:pPr>
          </w:p>
        </w:tc>
        <w:tc>
          <w:tcPr>
            <w:tcW w:w="4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BF842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Организационные услуги, включая налоги, банковское сопровождение и т.д.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BCEE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усл.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CDEC2">
            <w:pPr>
              <w:jc w:val="center"/>
            </w:pPr>
            <w:r>
              <w:t>1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00437">
            <w:pPr>
              <w:jc w:val="center"/>
            </w:pPr>
            <w:r>
              <w:t>7 400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774B1">
            <w:pPr>
              <w:jc w:val="center"/>
            </w:pPr>
            <w:r>
              <w:t>7 400</w:t>
            </w:r>
          </w:p>
        </w:tc>
      </w:tr>
      <w:tr w14:paraId="3ED2E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49" w:hRule="atLeast"/>
          <w:jc w:val="center"/>
        </w:trPr>
        <w:tc>
          <w:tcPr>
            <w:tcW w:w="87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4FB0A">
            <w:pPr>
              <w:jc w:val="righ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ИТОГО: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D903A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66 900</w:t>
            </w:r>
          </w:p>
        </w:tc>
      </w:tr>
      <w:tr w14:paraId="15092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49" w:hRule="atLeast"/>
          <w:jc w:val="center"/>
        </w:trPr>
        <w:tc>
          <w:tcPr>
            <w:tcW w:w="98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9B62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Шестьдесят шесть тысяч девятьсот рублей</w:t>
            </w:r>
          </w:p>
        </w:tc>
      </w:tr>
    </w:tbl>
    <w:p w14:paraId="5D5C22D9">
      <w:pPr>
        <w:jc w:val="center"/>
        <w:rPr>
          <w:b/>
        </w:rPr>
      </w:pPr>
    </w:p>
    <w:tbl>
      <w:tblPr>
        <w:tblStyle w:val="6"/>
        <w:tblW w:w="1000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8"/>
        <w:gridCol w:w="5040"/>
      </w:tblGrid>
      <w:tr w14:paraId="33387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29" w:hRule="atLeast"/>
        </w:trPr>
        <w:tc>
          <w:tcPr>
            <w:tcW w:w="4968" w:type="dxa"/>
            <w:noWrap w:val="0"/>
            <w:vAlign w:val="top"/>
          </w:tcPr>
          <w:p w14:paraId="419F189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Исполнитель</w:t>
            </w:r>
          </w:p>
          <w:p w14:paraId="1DE0B6A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______________________</w:t>
            </w:r>
          </w:p>
          <w:p w14:paraId="5C2D1E9D"/>
          <w:p w14:paraId="198956B9">
            <w:r>
              <w:t>Адрес</w:t>
            </w:r>
          </w:p>
          <w:p w14:paraId="7F6D9061">
            <w:r>
              <w:t>Телефон</w:t>
            </w:r>
          </w:p>
          <w:p w14:paraId="480FE12A"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</w:p>
          <w:p w14:paraId="61FD327E">
            <w:r>
              <w:t>ИНН/КПП</w:t>
            </w:r>
          </w:p>
          <w:p w14:paraId="5DE2F83A">
            <w:r>
              <w:t>ОГРН</w:t>
            </w:r>
          </w:p>
          <w:p w14:paraId="7B1DD296">
            <w:r>
              <w:t>Р/с 4</w:t>
            </w:r>
          </w:p>
          <w:p w14:paraId="53A79BBC">
            <w:r>
              <w:t>банк</w:t>
            </w:r>
          </w:p>
          <w:p w14:paraId="55DA1BB9">
            <w:r>
              <w:t xml:space="preserve">К/с </w:t>
            </w:r>
          </w:p>
          <w:p w14:paraId="7D820426">
            <w:r>
              <w:t>БИК</w:t>
            </w:r>
          </w:p>
          <w:p w14:paraId="701C12E6"/>
        </w:tc>
        <w:tc>
          <w:tcPr>
            <w:tcW w:w="5040" w:type="dxa"/>
            <w:noWrap w:val="0"/>
            <w:vAlign w:val="top"/>
          </w:tcPr>
          <w:p w14:paraId="0A4CCDF7">
            <w:pPr>
              <w:keepNext/>
              <w:jc w:val="center"/>
              <w:outlineLvl w:val="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Заказчик</w:t>
            </w:r>
          </w:p>
          <w:p w14:paraId="289A6850">
            <w:pPr>
              <w:spacing w:before="120" w:after="120"/>
              <w:rPr>
                <w:b/>
              </w:rPr>
            </w:pPr>
            <w:r>
              <w:rPr>
                <w:b/>
              </w:rPr>
              <w:t>Федеральное государственное бюджетное образовательное учреждение высшего образования «Тверской государственный технический университет»</w:t>
            </w:r>
          </w:p>
          <w:p w14:paraId="39610DD1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170026, г. Тверь, наб. А. Никитина, 22</w:t>
            </w:r>
          </w:p>
          <w:p w14:paraId="483FD443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тел. (4822) 52-63-35</w:t>
            </w:r>
          </w:p>
          <w:p w14:paraId="218B21E1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ИНН  6902010135   КПП 695201001</w:t>
            </w:r>
          </w:p>
          <w:p w14:paraId="1BA8A242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 xml:space="preserve">УФК по Нижегородской области (ТвГТУ л/с 20366Х41460) </w:t>
            </w:r>
          </w:p>
          <w:p w14:paraId="07A74F96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 xml:space="preserve">ОКЦ № 1ВВГУ Банка России//УФК по Нижегородской области, г. Нижний Новгород </w:t>
            </w:r>
          </w:p>
          <w:p w14:paraId="4052F255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БИК банка: 012202102</w:t>
            </w:r>
          </w:p>
          <w:p w14:paraId="4C172D47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Кор. счет банка: 40102810745370000024</w:t>
            </w:r>
          </w:p>
          <w:p w14:paraId="5B40AA0A">
            <w:pPr>
              <w:rPr>
                <w:bCs/>
                <w:iCs/>
              </w:rPr>
            </w:pPr>
            <w:r>
              <w:rPr>
                <w:bCs/>
                <w:iCs/>
              </w:rPr>
              <w:t>Банковский счет (для бюджетного учреждения): 03214643000000013223</w:t>
            </w:r>
          </w:p>
          <w:p w14:paraId="3B4F13E7"/>
        </w:tc>
      </w:tr>
      <w:tr w14:paraId="58B63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4968" w:type="dxa"/>
            <w:noWrap w:val="0"/>
            <w:vAlign w:val="top"/>
          </w:tcPr>
          <w:p w14:paraId="16037BA0">
            <w:r>
              <w:t>Руководитель</w:t>
            </w:r>
          </w:p>
          <w:p w14:paraId="24794777"/>
          <w:p w14:paraId="1128A19E">
            <w:pPr>
              <w:rPr>
                <w:color w:val="000000"/>
              </w:rPr>
            </w:pPr>
            <w:r>
              <w:t xml:space="preserve">_____________________ </w:t>
            </w:r>
          </w:p>
          <w:p w14:paraId="738EF82E">
            <w:pPr>
              <w:rPr>
                <w:color w:val="000000"/>
              </w:rPr>
            </w:pPr>
            <w:r>
              <w:rPr>
                <w:color w:val="000000"/>
              </w:rPr>
              <w:t xml:space="preserve">М.п. </w:t>
            </w:r>
          </w:p>
        </w:tc>
        <w:tc>
          <w:tcPr>
            <w:tcW w:w="5040" w:type="dxa"/>
            <w:noWrap w:val="0"/>
            <w:vAlign w:val="top"/>
          </w:tcPr>
          <w:p w14:paraId="51E2AC50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Проректор по ИРиУФИ</w:t>
            </w:r>
          </w:p>
          <w:p w14:paraId="1231AB36">
            <w:pPr>
              <w:keepNext/>
              <w:jc w:val="both"/>
              <w:outlineLvl w:val="3"/>
              <w:rPr>
                <w:bCs/>
                <w:iCs/>
              </w:rPr>
            </w:pPr>
          </w:p>
          <w:p w14:paraId="1C6583DA">
            <w:pPr>
              <w:keepNext/>
              <w:jc w:val="both"/>
              <w:outlineLvl w:val="3"/>
            </w:pPr>
            <w:r>
              <w:t>______________________ Пашаев Ф.А.</w:t>
            </w:r>
          </w:p>
          <w:p w14:paraId="3FAFA6BC">
            <w:pPr>
              <w:keepNext/>
              <w:jc w:val="both"/>
              <w:outlineLvl w:val="3"/>
              <w:rPr>
                <w:bCs/>
                <w:iCs/>
              </w:rPr>
            </w:pPr>
            <w:r>
              <w:t xml:space="preserve">М.п. </w:t>
            </w:r>
          </w:p>
        </w:tc>
      </w:tr>
    </w:tbl>
    <w:p w14:paraId="3F92C628">
      <w:pPr>
        <w:jc w:val="center"/>
        <w:rPr>
          <w:b/>
        </w:rPr>
      </w:pPr>
    </w:p>
    <w:p w14:paraId="0D1D8018">
      <w:pPr>
        <w:rPr>
          <w:b/>
        </w:rPr>
      </w:pPr>
    </w:p>
    <w:sectPr>
      <w:footerReference r:id="rId3" w:type="default"/>
      <w:footerReference r:id="rId4" w:type="even"/>
      <w:pgSz w:w="11906" w:h="16838"/>
      <w:pgMar w:top="567" w:right="424" w:bottom="426" w:left="851" w:header="708" w:footer="38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3FB00B">
    <w:pPr>
      <w:pStyle w:val="1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C367B">
    <w:pPr>
      <w:pStyle w:val="13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237BFAD4">
    <w:pPr>
      <w:pStyle w:val="1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B33D7D"/>
    <w:multiLevelType w:val="multilevel"/>
    <w:tmpl w:val="14B33D7D"/>
    <w:lvl w:ilvl="0" w:tentative="0">
      <w:start w:val="1"/>
      <w:numFmt w:val="decimal"/>
      <w:lvlText w:val="%1."/>
      <w:lvlJc w:val="lef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8B09EF"/>
    <w:multiLevelType w:val="multilevel"/>
    <w:tmpl w:val="4D8B09EF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D26"/>
    <w:rsid w:val="00000733"/>
    <w:rsid w:val="000028ED"/>
    <w:rsid w:val="00002E0E"/>
    <w:rsid w:val="00003390"/>
    <w:rsid w:val="0000339F"/>
    <w:rsid w:val="00003ADF"/>
    <w:rsid w:val="00003D3B"/>
    <w:rsid w:val="00004548"/>
    <w:rsid w:val="00005424"/>
    <w:rsid w:val="0001191A"/>
    <w:rsid w:val="00012DCB"/>
    <w:rsid w:val="00014336"/>
    <w:rsid w:val="00014D10"/>
    <w:rsid w:val="00015447"/>
    <w:rsid w:val="00016ABD"/>
    <w:rsid w:val="00017102"/>
    <w:rsid w:val="000214BE"/>
    <w:rsid w:val="0002168A"/>
    <w:rsid w:val="00024FC4"/>
    <w:rsid w:val="000326E6"/>
    <w:rsid w:val="000346D4"/>
    <w:rsid w:val="00036654"/>
    <w:rsid w:val="00036F85"/>
    <w:rsid w:val="00037473"/>
    <w:rsid w:val="000452BD"/>
    <w:rsid w:val="00053357"/>
    <w:rsid w:val="00054DA1"/>
    <w:rsid w:val="00055D3F"/>
    <w:rsid w:val="000603A4"/>
    <w:rsid w:val="0006101A"/>
    <w:rsid w:val="000654A8"/>
    <w:rsid w:val="00065788"/>
    <w:rsid w:val="00066D57"/>
    <w:rsid w:val="00070A57"/>
    <w:rsid w:val="000722A4"/>
    <w:rsid w:val="000744E6"/>
    <w:rsid w:val="000744EB"/>
    <w:rsid w:val="000822C1"/>
    <w:rsid w:val="00083A30"/>
    <w:rsid w:val="00086BA3"/>
    <w:rsid w:val="00087097"/>
    <w:rsid w:val="00092F75"/>
    <w:rsid w:val="00094F24"/>
    <w:rsid w:val="00094FB3"/>
    <w:rsid w:val="000A3945"/>
    <w:rsid w:val="000A50D5"/>
    <w:rsid w:val="000A6829"/>
    <w:rsid w:val="000A7794"/>
    <w:rsid w:val="000B40E9"/>
    <w:rsid w:val="000B7C7B"/>
    <w:rsid w:val="000C085D"/>
    <w:rsid w:val="000C0A5F"/>
    <w:rsid w:val="000C0BEA"/>
    <w:rsid w:val="000C0D88"/>
    <w:rsid w:val="000C3E56"/>
    <w:rsid w:val="000C5A2F"/>
    <w:rsid w:val="000C5B5C"/>
    <w:rsid w:val="000C5CA7"/>
    <w:rsid w:val="000C5CDC"/>
    <w:rsid w:val="000C6382"/>
    <w:rsid w:val="000C7411"/>
    <w:rsid w:val="000D2693"/>
    <w:rsid w:val="000D2E23"/>
    <w:rsid w:val="000D32E0"/>
    <w:rsid w:val="000D38F7"/>
    <w:rsid w:val="000D46B8"/>
    <w:rsid w:val="000D4AC0"/>
    <w:rsid w:val="000D4F00"/>
    <w:rsid w:val="000E468A"/>
    <w:rsid w:val="000E7B6F"/>
    <w:rsid w:val="000F03AA"/>
    <w:rsid w:val="000F04A6"/>
    <w:rsid w:val="000F39BA"/>
    <w:rsid w:val="00100981"/>
    <w:rsid w:val="0010119F"/>
    <w:rsid w:val="0010760D"/>
    <w:rsid w:val="0011340A"/>
    <w:rsid w:val="00114621"/>
    <w:rsid w:val="00116232"/>
    <w:rsid w:val="00116363"/>
    <w:rsid w:val="00121766"/>
    <w:rsid w:val="00122494"/>
    <w:rsid w:val="00123A17"/>
    <w:rsid w:val="0012404B"/>
    <w:rsid w:val="00124470"/>
    <w:rsid w:val="0012487F"/>
    <w:rsid w:val="00124FE5"/>
    <w:rsid w:val="001256A4"/>
    <w:rsid w:val="00125DC5"/>
    <w:rsid w:val="00127E4E"/>
    <w:rsid w:val="00130D9C"/>
    <w:rsid w:val="001314EF"/>
    <w:rsid w:val="00136D13"/>
    <w:rsid w:val="0013778A"/>
    <w:rsid w:val="001415A0"/>
    <w:rsid w:val="001442E4"/>
    <w:rsid w:val="001446F5"/>
    <w:rsid w:val="00145325"/>
    <w:rsid w:val="00146147"/>
    <w:rsid w:val="001536CE"/>
    <w:rsid w:val="0015654A"/>
    <w:rsid w:val="001603AD"/>
    <w:rsid w:val="00161EE2"/>
    <w:rsid w:val="00162849"/>
    <w:rsid w:val="001638E2"/>
    <w:rsid w:val="001640B9"/>
    <w:rsid w:val="00171397"/>
    <w:rsid w:val="00171AAE"/>
    <w:rsid w:val="00176C4D"/>
    <w:rsid w:val="001828D2"/>
    <w:rsid w:val="00183640"/>
    <w:rsid w:val="001856D5"/>
    <w:rsid w:val="00185E77"/>
    <w:rsid w:val="00186383"/>
    <w:rsid w:val="0019226C"/>
    <w:rsid w:val="001963FF"/>
    <w:rsid w:val="001972B8"/>
    <w:rsid w:val="001A03A1"/>
    <w:rsid w:val="001A21F5"/>
    <w:rsid w:val="001A3154"/>
    <w:rsid w:val="001A436D"/>
    <w:rsid w:val="001A576D"/>
    <w:rsid w:val="001A69B6"/>
    <w:rsid w:val="001B28F3"/>
    <w:rsid w:val="001B4824"/>
    <w:rsid w:val="001B589E"/>
    <w:rsid w:val="001B69E5"/>
    <w:rsid w:val="001C17DE"/>
    <w:rsid w:val="001C18D6"/>
    <w:rsid w:val="001C1C78"/>
    <w:rsid w:val="001D0239"/>
    <w:rsid w:val="001D04B6"/>
    <w:rsid w:val="001D0781"/>
    <w:rsid w:val="001D10C8"/>
    <w:rsid w:val="001D55F7"/>
    <w:rsid w:val="001D7417"/>
    <w:rsid w:val="001E06CA"/>
    <w:rsid w:val="001E1881"/>
    <w:rsid w:val="001E1934"/>
    <w:rsid w:val="001E69C7"/>
    <w:rsid w:val="001E6D98"/>
    <w:rsid w:val="001F7DDD"/>
    <w:rsid w:val="00200993"/>
    <w:rsid w:val="002119DA"/>
    <w:rsid w:val="002128BB"/>
    <w:rsid w:val="00216C73"/>
    <w:rsid w:val="00217505"/>
    <w:rsid w:val="00224282"/>
    <w:rsid w:val="0022555A"/>
    <w:rsid w:val="00232D6A"/>
    <w:rsid w:val="00233FF2"/>
    <w:rsid w:val="0023451F"/>
    <w:rsid w:val="00234C7E"/>
    <w:rsid w:val="00234ED8"/>
    <w:rsid w:val="00236A40"/>
    <w:rsid w:val="00237679"/>
    <w:rsid w:val="0024366C"/>
    <w:rsid w:val="00244E01"/>
    <w:rsid w:val="00245359"/>
    <w:rsid w:val="0024667E"/>
    <w:rsid w:val="00253E2B"/>
    <w:rsid w:val="00254B5E"/>
    <w:rsid w:val="00255108"/>
    <w:rsid w:val="0025523F"/>
    <w:rsid w:val="0025616A"/>
    <w:rsid w:val="0025711F"/>
    <w:rsid w:val="00260D54"/>
    <w:rsid w:val="0026152D"/>
    <w:rsid w:val="00262BFA"/>
    <w:rsid w:val="00265264"/>
    <w:rsid w:val="00266ED2"/>
    <w:rsid w:val="00270790"/>
    <w:rsid w:val="00271DAB"/>
    <w:rsid w:val="0027240D"/>
    <w:rsid w:val="00274ADE"/>
    <w:rsid w:val="00276222"/>
    <w:rsid w:val="00284705"/>
    <w:rsid w:val="00286557"/>
    <w:rsid w:val="00286C29"/>
    <w:rsid w:val="002958DA"/>
    <w:rsid w:val="002A0CF7"/>
    <w:rsid w:val="002A23E3"/>
    <w:rsid w:val="002A313F"/>
    <w:rsid w:val="002A3AA7"/>
    <w:rsid w:val="002A485B"/>
    <w:rsid w:val="002A5B3A"/>
    <w:rsid w:val="002A6738"/>
    <w:rsid w:val="002A6D37"/>
    <w:rsid w:val="002B6345"/>
    <w:rsid w:val="002B6AC8"/>
    <w:rsid w:val="002C471D"/>
    <w:rsid w:val="002D2108"/>
    <w:rsid w:val="002D7DA5"/>
    <w:rsid w:val="002E032D"/>
    <w:rsid w:val="002E141A"/>
    <w:rsid w:val="002E4679"/>
    <w:rsid w:val="002E5496"/>
    <w:rsid w:val="002E5811"/>
    <w:rsid w:val="002E6823"/>
    <w:rsid w:val="002F04F8"/>
    <w:rsid w:val="002F2483"/>
    <w:rsid w:val="002F25FF"/>
    <w:rsid w:val="002F31DF"/>
    <w:rsid w:val="002F6B2A"/>
    <w:rsid w:val="00301209"/>
    <w:rsid w:val="00304D0E"/>
    <w:rsid w:val="00306368"/>
    <w:rsid w:val="00307A1A"/>
    <w:rsid w:val="00310AE8"/>
    <w:rsid w:val="003118A1"/>
    <w:rsid w:val="00312B75"/>
    <w:rsid w:val="00313550"/>
    <w:rsid w:val="00314BE9"/>
    <w:rsid w:val="00317E4E"/>
    <w:rsid w:val="003202AC"/>
    <w:rsid w:val="00321D00"/>
    <w:rsid w:val="00322B97"/>
    <w:rsid w:val="0033078A"/>
    <w:rsid w:val="00332F21"/>
    <w:rsid w:val="00336EB5"/>
    <w:rsid w:val="0034051E"/>
    <w:rsid w:val="00340B5B"/>
    <w:rsid w:val="00342334"/>
    <w:rsid w:val="00351CAC"/>
    <w:rsid w:val="00351CD5"/>
    <w:rsid w:val="00353E4B"/>
    <w:rsid w:val="00354C42"/>
    <w:rsid w:val="00356AD8"/>
    <w:rsid w:val="003579CD"/>
    <w:rsid w:val="00360A44"/>
    <w:rsid w:val="00362AE3"/>
    <w:rsid w:val="00365264"/>
    <w:rsid w:val="003659E6"/>
    <w:rsid w:val="00371803"/>
    <w:rsid w:val="0037338C"/>
    <w:rsid w:val="0037376B"/>
    <w:rsid w:val="003759F7"/>
    <w:rsid w:val="0037617A"/>
    <w:rsid w:val="00376487"/>
    <w:rsid w:val="00376560"/>
    <w:rsid w:val="00376A4C"/>
    <w:rsid w:val="00382236"/>
    <w:rsid w:val="0038348A"/>
    <w:rsid w:val="003845A9"/>
    <w:rsid w:val="0038707F"/>
    <w:rsid w:val="003901D4"/>
    <w:rsid w:val="003909A5"/>
    <w:rsid w:val="00392BA0"/>
    <w:rsid w:val="0039443A"/>
    <w:rsid w:val="00395EEE"/>
    <w:rsid w:val="0039730C"/>
    <w:rsid w:val="003A1F61"/>
    <w:rsid w:val="003A29B5"/>
    <w:rsid w:val="003A50A9"/>
    <w:rsid w:val="003A513D"/>
    <w:rsid w:val="003A6675"/>
    <w:rsid w:val="003B16A3"/>
    <w:rsid w:val="003B18E9"/>
    <w:rsid w:val="003B5E74"/>
    <w:rsid w:val="003C13F9"/>
    <w:rsid w:val="003C2936"/>
    <w:rsid w:val="003C3BD6"/>
    <w:rsid w:val="003C6917"/>
    <w:rsid w:val="003C6EEF"/>
    <w:rsid w:val="003D011B"/>
    <w:rsid w:val="003D08AD"/>
    <w:rsid w:val="003D30E8"/>
    <w:rsid w:val="003D603D"/>
    <w:rsid w:val="003D73AA"/>
    <w:rsid w:val="003E06A7"/>
    <w:rsid w:val="003E1157"/>
    <w:rsid w:val="003E209A"/>
    <w:rsid w:val="003E3275"/>
    <w:rsid w:val="003F25E1"/>
    <w:rsid w:val="003F33A9"/>
    <w:rsid w:val="003F33B2"/>
    <w:rsid w:val="003F7140"/>
    <w:rsid w:val="00403ED0"/>
    <w:rsid w:val="00405A92"/>
    <w:rsid w:val="00405E5B"/>
    <w:rsid w:val="00405FAD"/>
    <w:rsid w:val="00406382"/>
    <w:rsid w:val="0040749C"/>
    <w:rsid w:val="00410053"/>
    <w:rsid w:val="00413673"/>
    <w:rsid w:val="004201EE"/>
    <w:rsid w:val="0042132D"/>
    <w:rsid w:val="00421CEF"/>
    <w:rsid w:val="00422BE4"/>
    <w:rsid w:val="00427FEF"/>
    <w:rsid w:val="004306DB"/>
    <w:rsid w:val="00440A2C"/>
    <w:rsid w:val="00441229"/>
    <w:rsid w:val="00441308"/>
    <w:rsid w:val="00441ABE"/>
    <w:rsid w:val="0044500D"/>
    <w:rsid w:val="0045056B"/>
    <w:rsid w:val="00450B2D"/>
    <w:rsid w:val="00452D28"/>
    <w:rsid w:val="00453153"/>
    <w:rsid w:val="00461D92"/>
    <w:rsid w:val="00462311"/>
    <w:rsid w:val="004633B6"/>
    <w:rsid w:val="00464489"/>
    <w:rsid w:val="00464B92"/>
    <w:rsid w:val="00473E1B"/>
    <w:rsid w:val="00474A40"/>
    <w:rsid w:val="004751A5"/>
    <w:rsid w:val="004847E0"/>
    <w:rsid w:val="004866E0"/>
    <w:rsid w:val="004909A5"/>
    <w:rsid w:val="0049159C"/>
    <w:rsid w:val="00494ABB"/>
    <w:rsid w:val="004958D5"/>
    <w:rsid w:val="00495E90"/>
    <w:rsid w:val="004A2BA8"/>
    <w:rsid w:val="004A4023"/>
    <w:rsid w:val="004A5346"/>
    <w:rsid w:val="004B1F4F"/>
    <w:rsid w:val="004B23B0"/>
    <w:rsid w:val="004B294F"/>
    <w:rsid w:val="004B7A41"/>
    <w:rsid w:val="004C0180"/>
    <w:rsid w:val="004C36D6"/>
    <w:rsid w:val="004C4404"/>
    <w:rsid w:val="004C5EED"/>
    <w:rsid w:val="004C65B3"/>
    <w:rsid w:val="004C6A40"/>
    <w:rsid w:val="004D199E"/>
    <w:rsid w:val="004D24F1"/>
    <w:rsid w:val="004D3A0D"/>
    <w:rsid w:val="004D4932"/>
    <w:rsid w:val="004D4B7A"/>
    <w:rsid w:val="004D75B8"/>
    <w:rsid w:val="004E13FF"/>
    <w:rsid w:val="004E1435"/>
    <w:rsid w:val="004F1BE5"/>
    <w:rsid w:val="004F498F"/>
    <w:rsid w:val="004F53BE"/>
    <w:rsid w:val="004F63B2"/>
    <w:rsid w:val="004F7281"/>
    <w:rsid w:val="00502349"/>
    <w:rsid w:val="0050506E"/>
    <w:rsid w:val="0050735D"/>
    <w:rsid w:val="0050788F"/>
    <w:rsid w:val="00510F40"/>
    <w:rsid w:val="0051330B"/>
    <w:rsid w:val="00515EAA"/>
    <w:rsid w:val="0051757B"/>
    <w:rsid w:val="0051769E"/>
    <w:rsid w:val="005204A2"/>
    <w:rsid w:val="00521EA7"/>
    <w:rsid w:val="005227C5"/>
    <w:rsid w:val="00523DCC"/>
    <w:rsid w:val="00524B69"/>
    <w:rsid w:val="00525058"/>
    <w:rsid w:val="0052658D"/>
    <w:rsid w:val="00527DB2"/>
    <w:rsid w:val="005316AA"/>
    <w:rsid w:val="00533683"/>
    <w:rsid w:val="005351F9"/>
    <w:rsid w:val="00535387"/>
    <w:rsid w:val="00535883"/>
    <w:rsid w:val="00537615"/>
    <w:rsid w:val="00537752"/>
    <w:rsid w:val="00543BD8"/>
    <w:rsid w:val="005475FA"/>
    <w:rsid w:val="005533F3"/>
    <w:rsid w:val="0055383F"/>
    <w:rsid w:val="005539AE"/>
    <w:rsid w:val="00555581"/>
    <w:rsid w:val="005556EF"/>
    <w:rsid w:val="005605B6"/>
    <w:rsid w:val="00560A9B"/>
    <w:rsid w:val="00560C2C"/>
    <w:rsid w:val="005615EC"/>
    <w:rsid w:val="00561F6C"/>
    <w:rsid w:val="00563D8D"/>
    <w:rsid w:val="00563E94"/>
    <w:rsid w:val="00565925"/>
    <w:rsid w:val="00565F9E"/>
    <w:rsid w:val="0057333A"/>
    <w:rsid w:val="00574F95"/>
    <w:rsid w:val="005753A6"/>
    <w:rsid w:val="00577990"/>
    <w:rsid w:val="0058296B"/>
    <w:rsid w:val="00584C29"/>
    <w:rsid w:val="00586BB0"/>
    <w:rsid w:val="00590062"/>
    <w:rsid w:val="0059209A"/>
    <w:rsid w:val="00593ACB"/>
    <w:rsid w:val="00594307"/>
    <w:rsid w:val="00594552"/>
    <w:rsid w:val="00595360"/>
    <w:rsid w:val="00596185"/>
    <w:rsid w:val="005A26FD"/>
    <w:rsid w:val="005A5A56"/>
    <w:rsid w:val="005B0EFA"/>
    <w:rsid w:val="005B27E5"/>
    <w:rsid w:val="005B2E4A"/>
    <w:rsid w:val="005B3A91"/>
    <w:rsid w:val="005B3ECB"/>
    <w:rsid w:val="005B5A06"/>
    <w:rsid w:val="005B6450"/>
    <w:rsid w:val="005C06D4"/>
    <w:rsid w:val="005C0D6C"/>
    <w:rsid w:val="005C1769"/>
    <w:rsid w:val="005C334E"/>
    <w:rsid w:val="005D14C1"/>
    <w:rsid w:val="005D224D"/>
    <w:rsid w:val="005D3E67"/>
    <w:rsid w:val="005D3EBF"/>
    <w:rsid w:val="005D6C31"/>
    <w:rsid w:val="005D7D98"/>
    <w:rsid w:val="005E0167"/>
    <w:rsid w:val="005E4E07"/>
    <w:rsid w:val="005E5086"/>
    <w:rsid w:val="005E7A42"/>
    <w:rsid w:val="005F1EF8"/>
    <w:rsid w:val="005F3ABD"/>
    <w:rsid w:val="005F3F97"/>
    <w:rsid w:val="005F61D7"/>
    <w:rsid w:val="005F731F"/>
    <w:rsid w:val="0060007B"/>
    <w:rsid w:val="006003D8"/>
    <w:rsid w:val="006006F7"/>
    <w:rsid w:val="006013FD"/>
    <w:rsid w:val="00603D72"/>
    <w:rsid w:val="006047B8"/>
    <w:rsid w:val="006075BC"/>
    <w:rsid w:val="006101EF"/>
    <w:rsid w:val="006121F6"/>
    <w:rsid w:val="006134DC"/>
    <w:rsid w:val="006171F2"/>
    <w:rsid w:val="006209FA"/>
    <w:rsid w:val="00620BD2"/>
    <w:rsid w:val="006239E0"/>
    <w:rsid w:val="00623CE9"/>
    <w:rsid w:val="0062530C"/>
    <w:rsid w:val="00633BD5"/>
    <w:rsid w:val="00636BD1"/>
    <w:rsid w:val="00636E19"/>
    <w:rsid w:val="00637466"/>
    <w:rsid w:val="0064005A"/>
    <w:rsid w:val="00640DDA"/>
    <w:rsid w:val="0064314F"/>
    <w:rsid w:val="00643905"/>
    <w:rsid w:val="00644208"/>
    <w:rsid w:val="00644237"/>
    <w:rsid w:val="00645D6F"/>
    <w:rsid w:val="006465F1"/>
    <w:rsid w:val="006470BE"/>
    <w:rsid w:val="00651A88"/>
    <w:rsid w:val="00651AD0"/>
    <w:rsid w:val="006522FC"/>
    <w:rsid w:val="00652C92"/>
    <w:rsid w:val="00653293"/>
    <w:rsid w:val="00653EF0"/>
    <w:rsid w:val="00656057"/>
    <w:rsid w:val="0065749F"/>
    <w:rsid w:val="00660AB9"/>
    <w:rsid w:val="006639DB"/>
    <w:rsid w:val="00664A26"/>
    <w:rsid w:val="0066536C"/>
    <w:rsid w:val="006666F1"/>
    <w:rsid w:val="0066695F"/>
    <w:rsid w:val="00671472"/>
    <w:rsid w:val="0067382B"/>
    <w:rsid w:val="00674D37"/>
    <w:rsid w:val="00675EC0"/>
    <w:rsid w:val="006772FF"/>
    <w:rsid w:val="00680A2A"/>
    <w:rsid w:val="00684284"/>
    <w:rsid w:val="006855A7"/>
    <w:rsid w:val="00694222"/>
    <w:rsid w:val="00696798"/>
    <w:rsid w:val="006A04F3"/>
    <w:rsid w:val="006A4A55"/>
    <w:rsid w:val="006B055A"/>
    <w:rsid w:val="006B08F6"/>
    <w:rsid w:val="006B5650"/>
    <w:rsid w:val="006C02A8"/>
    <w:rsid w:val="006C03CC"/>
    <w:rsid w:val="006C25F0"/>
    <w:rsid w:val="006C57E9"/>
    <w:rsid w:val="006C6D25"/>
    <w:rsid w:val="006D1901"/>
    <w:rsid w:val="006D1DE3"/>
    <w:rsid w:val="006D390B"/>
    <w:rsid w:val="006E1BA2"/>
    <w:rsid w:val="006F014A"/>
    <w:rsid w:val="006F1E80"/>
    <w:rsid w:val="006F24B0"/>
    <w:rsid w:val="006F2603"/>
    <w:rsid w:val="006F7678"/>
    <w:rsid w:val="00700748"/>
    <w:rsid w:val="00702288"/>
    <w:rsid w:val="007031E0"/>
    <w:rsid w:val="007055C3"/>
    <w:rsid w:val="00710E06"/>
    <w:rsid w:val="0071134F"/>
    <w:rsid w:val="0071428F"/>
    <w:rsid w:val="007142BE"/>
    <w:rsid w:val="00715904"/>
    <w:rsid w:val="00716A95"/>
    <w:rsid w:val="007228F7"/>
    <w:rsid w:val="007236FE"/>
    <w:rsid w:val="007241F3"/>
    <w:rsid w:val="0072437F"/>
    <w:rsid w:val="00724718"/>
    <w:rsid w:val="0072610C"/>
    <w:rsid w:val="00727D9B"/>
    <w:rsid w:val="00732CF2"/>
    <w:rsid w:val="007374D5"/>
    <w:rsid w:val="00740465"/>
    <w:rsid w:val="0074145F"/>
    <w:rsid w:val="0074418B"/>
    <w:rsid w:val="0074458E"/>
    <w:rsid w:val="007465C2"/>
    <w:rsid w:val="007470A9"/>
    <w:rsid w:val="00754985"/>
    <w:rsid w:val="007560C1"/>
    <w:rsid w:val="00757F92"/>
    <w:rsid w:val="00760448"/>
    <w:rsid w:val="00760651"/>
    <w:rsid w:val="007642D7"/>
    <w:rsid w:val="00770918"/>
    <w:rsid w:val="00772E85"/>
    <w:rsid w:val="007732EF"/>
    <w:rsid w:val="00780E9B"/>
    <w:rsid w:val="007824A1"/>
    <w:rsid w:val="007826B7"/>
    <w:rsid w:val="0078382D"/>
    <w:rsid w:val="007868BF"/>
    <w:rsid w:val="00791C4B"/>
    <w:rsid w:val="007937A4"/>
    <w:rsid w:val="007953D3"/>
    <w:rsid w:val="00797203"/>
    <w:rsid w:val="007977BA"/>
    <w:rsid w:val="007A019E"/>
    <w:rsid w:val="007A10D9"/>
    <w:rsid w:val="007A1AEB"/>
    <w:rsid w:val="007A1AF0"/>
    <w:rsid w:val="007A5113"/>
    <w:rsid w:val="007A7B26"/>
    <w:rsid w:val="007B3D71"/>
    <w:rsid w:val="007B4833"/>
    <w:rsid w:val="007B5D4B"/>
    <w:rsid w:val="007B6645"/>
    <w:rsid w:val="007C01B0"/>
    <w:rsid w:val="007C0499"/>
    <w:rsid w:val="007C4E91"/>
    <w:rsid w:val="007C5E35"/>
    <w:rsid w:val="007C6534"/>
    <w:rsid w:val="007D0C16"/>
    <w:rsid w:val="007D118B"/>
    <w:rsid w:val="007D2D5B"/>
    <w:rsid w:val="007D2F0D"/>
    <w:rsid w:val="007D30F8"/>
    <w:rsid w:val="007D34D2"/>
    <w:rsid w:val="007D784E"/>
    <w:rsid w:val="007E26EA"/>
    <w:rsid w:val="007E3EEB"/>
    <w:rsid w:val="007F13D6"/>
    <w:rsid w:val="007F1C87"/>
    <w:rsid w:val="007F326C"/>
    <w:rsid w:val="007F35A2"/>
    <w:rsid w:val="007F53E6"/>
    <w:rsid w:val="007F63D2"/>
    <w:rsid w:val="007F6C2E"/>
    <w:rsid w:val="007F74AB"/>
    <w:rsid w:val="0080039D"/>
    <w:rsid w:val="0080113C"/>
    <w:rsid w:val="00801940"/>
    <w:rsid w:val="008043C7"/>
    <w:rsid w:val="00807D7A"/>
    <w:rsid w:val="00810C9F"/>
    <w:rsid w:val="0081126F"/>
    <w:rsid w:val="00811810"/>
    <w:rsid w:val="00813517"/>
    <w:rsid w:val="00813603"/>
    <w:rsid w:val="00813617"/>
    <w:rsid w:val="00814F02"/>
    <w:rsid w:val="0081685B"/>
    <w:rsid w:val="0081752E"/>
    <w:rsid w:val="00823991"/>
    <w:rsid w:val="00824256"/>
    <w:rsid w:val="00824DBA"/>
    <w:rsid w:val="008252FB"/>
    <w:rsid w:val="00826415"/>
    <w:rsid w:val="00830A09"/>
    <w:rsid w:val="00835FC5"/>
    <w:rsid w:val="008364D2"/>
    <w:rsid w:val="00836E47"/>
    <w:rsid w:val="00837DAA"/>
    <w:rsid w:val="00841916"/>
    <w:rsid w:val="00841D0D"/>
    <w:rsid w:val="00841EA9"/>
    <w:rsid w:val="00842262"/>
    <w:rsid w:val="00842D90"/>
    <w:rsid w:val="008467CF"/>
    <w:rsid w:val="00850E1C"/>
    <w:rsid w:val="00853645"/>
    <w:rsid w:val="0085394A"/>
    <w:rsid w:val="00861D7A"/>
    <w:rsid w:val="00864FF9"/>
    <w:rsid w:val="00865B49"/>
    <w:rsid w:val="008663F1"/>
    <w:rsid w:val="00866F63"/>
    <w:rsid w:val="008670E6"/>
    <w:rsid w:val="00870494"/>
    <w:rsid w:val="00870834"/>
    <w:rsid w:val="0087339F"/>
    <w:rsid w:val="00873D5B"/>
    <w:rsid w:val="008740A1"/>
    <w:rsid w:val="00875130"/>
    <w:rsid w:val="008810DD"/>
    <w:rsid w:val="0088168A"/>
    <w:rsid w:val="00882181"/>
    <w:rsid w:val="008849DA"/>
    <w:rsid w:val="00886731"/>
    <w:rsid w:val="008904A6"/>
    <w:rsid w:val="00895A0A"/>
    <w:rsid w:val="00895FEA"/>
    <w:rsid w:val="00896C61"/>
    <w:rsid w:val="00897629"/>
    <w:rsid w:val="008A173B"/>
    <w:rsid w:val="008A1F92"/>
    <w:rsid w:val="008A237B"/>
    <w:rsid w:val="008A2708"/>
    <w:rsid w:val="008A4099"/>
    <w:rsid w:val="008A5B4D"/>
    <w:rsid w:val="008A6177"/>
    <w:rsid w:val="008B170C"/>
    <w:rsid w:val="008B2FBF"/>
    <w:rsid w:val="008B4A11"/>
    <w:rsid w:val="008B5484"/>
    <w:rsid w:val="008B6B57"/>
    <w:rsid w:val="008C2328"/>
    <w:rsid w:val="008C4CD7"/>
    <w:rsid w:val="008C59A4"/>
    <w:rsid w:val="008D0263"/>
    <w:rsid w:val="008D445E"/>
    <w:rsid w:val="008D6041"/>
    <w:rsid w:val="008D621C"/>
    <w:rsid w:val="008D6C7E"/>
    <w:rsid w:val="008E05A8"/>
    <w:rsid w:val="008E2424"/>
    <w:rsid w:val="008E2A43"/>
    <w:rsid w:val="008E2BB4"/>
    <w:rsid w:val="008E5504"/>
    <w:rsid w:val="008F0438"/>
    <w:rsid w:val="008F1681"/>
    <w:rsid w:val="008F3E37"/>
    <w:rsid w:val="008F7B75"/>
    <w:rsid w:val="008F7E2A"/>
    <w:rsid w:val="00900984"/>
    <w:rsid w:val="0090178D"/>
    <w:rsid w:val="00901C95"/>
    <w:rsid w:val="0090226B"/>
    <w:rsid w:val="00902A1C"/>
    <w:rsid w:val="00904E55"/>
    <w:rsid w:val="00915590"/>
    <w:rsid w:val="00917383"/>
    <w:rsid w:val="00920D26"/>
    <w:rsid w:val="009242A6"/>
    <w:rsid w:val="00927D44"/>
    <w:rsid w:val="00930189"/>
    <w:rsid w:val="00934BCE"/>
    <w:rsid w:val="00937AF7"/>
    <w:rsid w:val="00937FB0"/>
    <w:rsid w:val="009402FD"/>
    <w:rsid w:val="009426A8"/>
    <w:rsid w:val="00942A66"/>
    <w:rsid w:val="009464EF"/>
    <w:rsid w:val="00946BD6"/>
    <w:rsid w:val="009475C5"/>
    <w:rsid w:val="009546DD"/>
    <w:rsid w:val="00960C91"/>
    <w:rsid w:val="009675F2"/>
    <w:rsid w:val="00971092"/>
    <w:rsid w:val="00977708"/>
    <w:rsid w:val="00983539"/>
    <w:rsid w:val="00985481"/>
    <w:rsid w:val="0098743A"/>
    <w:rsid w:val="00993468"/>
    <w:rsid w:val="00993DDA"/>
    <w:rsid w:val="0099602B"/>
    <w:rsid w:val="00996BE3"/>
    <w:rsid w:val="009971A4"/>
    <w:rsid w:val="009A13B5"/>
    <w:rsid w:val="009A1533"/>
    <w:rsid w:val="009A2764"/>
    <w:rsid w:val="009A336F"/>
    <w:rsid w:val="009A5444"/>
    <w:rsid w:val="009A6757"/>
    <w:rsid w:val="009A781B"/>
    <w:rsid w:val="009B1103"/>
    <w:rsid w:val="009B1974"/>
    <w:rsid w:val="009B3DB1"/>
    <w:rsid w:val="009B461B"/>
    <w:rsid w:val="009B732C"/>
    <w:rsid w:val="009C0540"/>
    <w:rsid w:val="009C1DBB"/>
    <w:rsid w:val="009D0504"/>
    <w:rsid w:val="009D13B8"/>
    <w:rsid w:val="009D150B"/>
    <w:rsid w:val="009D3029"/>
    <w:rsid w:val="009D4AFD"/>
    <w:rsid w:val="009D6988"/>
    <w:rsid w:val="009D7C44"/>
    <w:rsid w:val="009E2539"/>
    <w:rsid w:val="009E3950"/>
    <w:rsid w:val="009E3FD5"/>
    <w:rsid w:val="009E5F5D"/>
    <w:rsid w:val="009E63B0"/>
    <w:rsid w:val="009F03E1"/>
    <w:rsid w:val="009F06B0"/>
    <w:rsid w:val="009F26FB"/>
    <w:rsid w:val="009F41A4"/>
    <w:rsid w:val="009F7B27"/>
    <w:rsid w:val="00A02555"/>
    <w:rsid w:val="00A02C43"/>
    <w:rsid w:val="00A07472"/>
    <w:rsid w:val="00A07DC6"/>
    <w:rsid w:val="00A10F63"/>
    <w:rsid w:val="00A1227E"/>
    <w:rsid w:val="00A13E24"/>
    <w:rsid w:val="00A14B4A"/>
    <w:rsid w:val="00A1503B"/>
    <w:rsid w:val="00A1583B"/>
    <w:rsid w:val="00A170AB"/>
    <w:rsid w:val="00A214E6"/>
    <w:rsid w:val="00A243F6"/>
    <w:rsid w:val="00A265E4"/>
    <w:rsid w:val="00A319F8"/>
    <w:rsid w:val="00A3587B"/>
    <w:rsid w:val="00A40003"/>
    <w:rsid w:val="00A4029E"/>
    <w:rsid w:val="00A40ED8"/>
    <w:rsid w:val="00A44A87"/>
    <w:rsid w:val="00A46404"/>
    <w:rsid w:val="00A46EF1"/>
    <w:rsid w:val="00A50FCF"/>
    <w:rsid w:val="00A525F6"/>
    <w:rsid w:val="00A52EC3"/>
    <w:rsid w:val="00A55500"/>
    <w:rsid w:val="00A63CC8"/>
    <w:rsid w:val="00A66E9C"/>
    <w:rsid w:val="00A6736F"/>
    <w:rsid w:val="00A71C8F"/>
    <w:rsid w:val="00A736C0"/>
    <w:rsid w:val="00A73BF6"/>
    <w:rsid w:val="00A73C22"/>
    <w:rsid w:val="00A73ED4"/>
    <w:rsid w:val="00A7403D"/>
    <w:rsid w:val="00A75454"/>
    <w:rsid w:val="00A7685C"/>
    <w:rsid w:val="00A76B5B"/>
    <w:rsid w:val="00A76C41"/>
    <w:rsid w:val="00A77E64"/>
    <w:rsid w:val="00A80D4F"/>
    <w:rsid w:val="00A82417"/>
    <w:rsid w:val="00A84843"/>
    <w:rsid w:val="00A909BC"/>
    <w:rsid w:val="00A927A1"/>
    <w:rsid w:val="00A942EA"/>
    <w:rsid w:val="00A96A8A"/>
    <w:rsid w:val="00AA0F49"/>
    <w:rsid w:val="00AA2E39"/>
    <w:rsid w:val="00AA2F07"/>
    <w:rsid w:val="00AA447B"/>
    <w:rsid w:val="00AA6298"/>
    <w:rsid w:val="00AA7B38"/>
    <w:rsid w:val="00AB0574"/>
    <w:rsid w:val="00AB1B5F"/>
    <w:rsid w:val="00AB24EE"/>
    <w:rsid w:val="00AC01AA"/>
    <w:rsid w:val="00AC0398"/>
    <w:rsid w:val="00AC181D"/>
    <w:rsid w:val="00AC26A6"/>
    <w:rsid w:val="00AC2BD1"/>
    <w:rsid w:val="00AC3647"/>
    <w:rsid w:val="00AC3882"/>
    <w:rsid w:val="00AC5196"/>
    <w:rsid w:val="00AC546E"/>
    <w:rsid w:val="00AC5FAC"/>
    <w:rsid w:val="00AD3B50"/>
    <w:rsid w:val="00AD47CC"/>
    <w:rsid w:val="00AE3ED6"/>
    <w:rsid w:val="00AE4CB1"/>
    <w:rsid w:val="00AE62B4"/>
    <w:rsid w:val="00AF12F2"/>
    <w:rsid w:val="00AF4388"/>
    <w:rsid w:val="00AF4FCD"/>
    <w:rsid w:val="00AF7DFE"/>
    <w:rsid w:val="00B039A7"/>
    <w:rsid w:val="00B04E4D"/>
    <w:rsid w:val="00B07BA0"/>
    <w:rsid w:val="00B10CFF"/>
    <w:rsid w:val="00B1446F"/>
    <w:rsid w:val="00B20A9D"/>
    <w:rsid w:val="00B2186B"/>
    <w:rsid w:val="00B237BC"/>
    <w:rsid w:val="00B24814"/>
    <w:rsid w:val="00B313AD"/>
    <w:rsid w:val="00B37058"/>
    <w:rsid w:val="00B3744E"/>
    <w:rsid w:val="00B37712"/>
    <w:rsid w:val="00B4119D"/>
    <w:rsid w:val="00B43203"/>
    <w:rsid w:val="00B43245"/>
    <w:rsid w:val="00B43748"/>
    <w:rsid w:val="00B45341"/>
    <w:rsid w:val="00B46E50"/>
    <w:rsid w:val="00B46E59"/>
    <w:rsid w:val="00B51014"/>
    <w:rsid w:val="00B510EB"/>
    <w:rsid w:val="00B5444C"/>
    <w:rsid w:val="00B55EF2"/>
    <w:rsid w:val="00B6243F"/>
    <w:rsid w:val="00B625DF"/>
    <w:rsid w:val="00B62F1D"/>
    <w:rsid w:val="00B65AC2"/>
    <w:rsid w:val="00B66828"/>
    <w:rsid w:val="00B700CF"/>
    <w:rsid w:val="00B70C6B"/>
    <w:rsid w:val="00B7773E"/>
    <w:rsid w:val="00B77AE7"/>
    <w:rsid w:val="00B77EE8"/>
    <w:rsid w:val="00B82650"/>
    <w:rsid w:val="00B8301F"/>
    <w:rsid w:val="00B9112D"/>
    <w:rsid w:val="00B92606"/>
    <w:rsid w:val="00B94522"/>
    <w:rsid w:val="00B95210"/>
    <w:rsid w:val="00B9562C"/>
    <w:rsid w:val="00BA07A9"/>
    <w:rsid w:val="00BA0F23"/>
    <w:rsid w:val="00BA1B31"/>
    <w:rsid w:val="00BA2572"/>
    <w:rsid w:val="00BA420A"/>
    <w:rsid w:val="00BA52FE"/>
    <w:rsid w:val="00BA6477"/>
    <w:rsid w:val="00BB3943"/>
    <w:rsid w:val="00BC6531"/>
    <w:rsid w:val="00BD0CCA"/>
    <w:rsid w:val="00BD2DFC"/>
    <w:rsid w:val="00BD495D"/>
    <w:rsid w:val="00BD4AF5"/>
    <w:rsid w:val="00BD6A4D"/>
    <w:rsid w:val="00BE2161"/>
    <w:rsid w:val="00BE462D"/>
    <w:rsid w:val="00BE5752"/>
    <w:rsid w:val="00BE6481"/>
    <w:rsid w:val="00BF4E83"/>
    <w:rsid w:val="00BF75B6"/>
    <w:rsid w:val="00C00A17"/>
    <w:rsid w:val="00C00A81"/>
    <w:rsid w:val="00C047FA"/>
    <w:rsid w:val="00C04A1D"/>
    <w:rsid w:val="00C06B8C"/>
    <w:rsid w:val="00C0724D"/>
    <w:rsid w:val="00C12804"/>
    <w:rsid w:val="00C1432F"/>
    <w:rsid w:val="00C14686"/>
    <w:rsid w:val="00C16DD7"/>
    <w:rsid w:val="00C20DD0"/>
    <w:rsid w:val="00C24842"/>
    <w:rsid w:val="00C26BD7"/>
    <w:rsid w:val="00C27F42"/>
    <w:rsid w:val="00C31697"/>
    <w:rsid w:val="00C33FF5"/>
    <w:rsid w:val="00C35E2B"/>
    <w:rsid w:val="00C4359C"/>
    <w:rsid w:val="00C446F2"/>
    <w:rsid w:val="00C454E5"/>
    <w:rsid w:val="00C458F6"/>
    <w:rsid w:val="00C45FBA"/>
    <w:rsid w:val="00C46FCC"/>
    <w:rsid w:val="00C473BD"/>
    <w:rsid w:val="00C47E0C"/>
    <w:rsid w:val="00C51071"/>
    <w:rsid w:val="00C5318E"/>
    <w:rsid w:val="00C57630"/>
    <w:rsid w:val="00C71D04"/>
    <w:rsid w:val="00C72313"/>
    <w:rsid w:val="00C7677D"/>
    <w:rsid w:val="00C76B58"/>
    <w:rsid w:val="00C80BAD"/>
    <w:rsid w:val="00C821BF"/>
    <w:rsid w:val="00C90023"/>
    <w:rsid w:val="00C93235"/>
    <w:rsid w:val="00C934F0"/>
    <w:rsid w:val="00C9726B"/>
    <w:rsid w:val="00CA028F"/>
    <w:rsid w:val="00CA2BB3"/>
    <w:rsid w:val="00CA2ED2"/>
    <w:rsid w:val="00CA5894"/>
    <w:rsid w:val="00CB5C3C"/>
    <w:rsid w:val="00CB6A76"/>
    <w:rsid w:val="00CB6F3E"/>
    <w:rsid w:val="00CC1636"/>
    <w:rsid w:val="00CC2D9A"/>
    <w:rsid w:val="00CC30FA"/>
    <w:rsid w:val="00CC31B3"/>
    <w:rsid w:val="00CC589F"/>
    <w:rsid w:val="00CC689D"/>
    <w:rsid w:val="00CD1A75"/>
    <w:rsid w:val="00CD270E"/>
    <w:rsid w:val="00CD3AE3"/>
    <w:rsid w:val="00CD7D77"/>
    <w:rsid w:val="00CE1685"/>
    <w:rsid w:val="00CE4614"/>
    <w:rsid w:val="00CE54B0"/>
    <w:rsid w:val="00CF2212"/>
    <w:rsid w:val="00CF40E0"/>
    <w:rsid w:val="00D0370F"/>
    <w:rsid w:val="00D042B2"/>
    <w:rsid w:val="00D05871"/>
    <w:rsid w:val="00D07499"/>
    <w:rsid w:val="00D13026"/>
    <w:rsid w:val="00D1611E"/>
    <w:rsid w:val="00D20802"/>
    <w:rsid w:val="00D25E47"/>
    <w:rsid w:val="00D2681B"/>
    <w:rsid w:val="00D27E03"/>
    <w:rsid w:val="00D324CB"/>
    <w:rsid w:val="00D33784"/>
    <w:rsid w:val="00D36F2C"/>
    <w:rsid w:val="00D40632"/>
    <w:rsid w:val="00D41F74"/>
    <w:rsid w:val="00D439F0"/>
    <w:rsid w:val="00D43F42"/>
    <w:rsid w:val="00D441FD"/>
    <w:rsid w:val="00D44487"/>
    <w:rsid w:val="00D45A6A"/>
    <w:rsid w:val="00D47686"/>
    <w:rsid w:val="00D47722"/>
    <w:rsid w:val="00D47ABF"/>
    <w:rsid w:val="00D50953"/>
    <w:rsid w:val="00D54690"/>
    <w:rsid w:val="00D56D59"/>
    <w:rsid w:val="00D60AE7"/>
    <w:rsid w:val="00D6134A"/>
    <w:rsid w:val="00D616D3"/>
    <w:rsid w:val="00D679EF"/>
    <w:rsid w:val="00D724AF"/>
    <w:rsid w:val="00D728CC"/>
    <w:rsid w:val="00D72F3E"/>
    <w:rsid w:val="00D81A49"/>
    <w:rsid w:val="00D8391F"/>
    <w:rsid w:val="00D84915"/>
    <w:rsid w:val="00D908B3"/>
    <w:rsid w:val="00D93CFF"/>
    <w:rsid w:val="00D9696D"/>
    <w:rsid w:val="00DA424A"/>
    <w:rsid w:val="00DA4C51"/>
    <w:rsid w:val="00DA7F31"/>
    <w:rsid w:val="00DB0CDA"/>
    <w:rsid w:val="00DB0E4D"/>
    <w:rsid w:val="00DB12CB"/>
    <w:rsid w:val="00DB5A66"/>
    <w:rsid w:val="00DC0FA8"/>
    <w:rsid w:val="00DC26FD"/>
    <w:rsid w:val="00DC60B4"/>
    <w:rsid w:val="00DC6367"/>
    <w:rsid w:val="00DD2CE9"/>
    <w:rsid w:val="00DD3AAB"/>
    <w:rsid w:val="00DD3D32"/>
    <w:rsid w:val="00DD6DD3"/>
    <w:rsid w:val="00DD761A"/>
    <w:rsid w:val="00DD771F"/>
    <w:rsid w:val="00DD79B9"/>
    <w:rsid w:val="00DD7AF2"/>
    <w:rsid w:val="00DD7ECF"/>
    <w:rsid w:val="00DE4F46"/>
    <w:rsid w:val="00DF06EA"/>
    <w:rsid w:val="00DF3695"/>
    <w:rsid w:val="00DF4B94"/>
    <w:rsid w:val="00DF6584"/>
    <w:rsid w:val="00DF6839"/>
    <w:rsid w:val="00E03A4E"/>
    <w:rsid w:val="00E041EE"/>
    <w:rsid w:val="00E062B0"/>
    <w:rsid w:val="00E065D4"/>
    <w:rsid w:val="00E15DBC"/>
    <w:rsid w:val="00E161E7"/>
    <w:rsid w:val="00E175C2"/>
    <w:rsid w:val="00E21EA2"/>
    <w:rsid w:val="00E22A55"/>
    <w:rsid w:val="00E24E23"/>
    <w:rsid w:val="00E2592C"/>
    <w:rsid w:val="00E268C8"/>
    <w:rsid w:val="00E2749F"/>
    <w:rsid w:val="00E36B98"/>
    <w:rsid w:val="00E37586"/>
    <w:rsid w:val="00E41B50"/>
    <w:rsid w:val="00E43506"/>
    <w:rsid w:val="00E443FF"/>
    <w:rsid w:val="00E4690B"/>
    <w:rsid w:val="00E46E60"/>
    <w:rsid w:val="00E5437B"/>
    <w:rsid w:val="00E600F9"/>
    <w:rsid w:val="00E62B73"/>
    <w:rsid w:val="00E64B08"/>
    <w:rsid w:val="00E677CD"/>
    <w:rsid w:val="00E71ED3"/>
    <w:rsid w:val="00E72B5C"/>
    <w:rsid w:val="00E73017"/>
    <w:rsid w:val="00E7610B"/>
    <w:rsid w:val="00E76C2F"/>
    <w:rsid w:val="00E770A6"/>
    <w:rsid w:val="00E80034"/>
    <w:rsid w:val="00E81016"/>
    <w:rsid w:val="00E85131"/>
    <w:rsid w:val="00E851C3"/>
    <w:rsid w:val="00E9063F"/>
    <w:rsid w:val="00EA1EBF"/>
    <w:rsid w:val="00EA2D2B"/>
    <w:rsid w:val="00EA369E"/>
    <w:rsid w:val="00EA41E8"/>
    <w:rsid w:val="00EA7CAA"/>
    <w:rsid w:val="00EB1BA9"/>
    <w:rsid w:val="00EB3054"/>
    <w:rsid w:val="00EB591F"/>
    <w:rsid w:val="00EB5B81"/>
    <w:rsid w:val="00EC109F"/>
    <w:rsid w:val="00EC203F"/>
    <w:rsid w:val="00EC2C36"/>
    <w:rsid w:val="00EC3596"/>
    <w:rsid w:val="00EC7412"/>
    <w:rsid w:val="00ED01EC"/>
    <w:rsid w:val="00ED44B1"/>
    <w:rsid w:val="00EE013F"/>
    <w:rsid w:val="00EE06C8"/>
    <w:rsid w:val="00EE0DBE"/>
    <w:rsid w:val="00EE1687"/>
    <w:rsid w:val="00EE23A4"/>
    <w:rsid w:val="00EE2A44"/>
    <w:rsid w:val="00EE32FD"/>
    <w:rsid w:val="00EE4060"/>
    <w:rsid w:val="00EE4DD7"/>
    <w:rsid w:val="00EE6120"/>
    <w:rsid w:val="00EE760A"/>
    <w:rsid w:val="00EF0814"/>
    <w:rsid w:val="00EF190A"/>
    <w:rsid w:val="00EF1AE5"/>
    <w:rsid w:val="00EF1AEC"/>
    <w:rsid w:val="00EF28CE"/>
    <w:rsid w:val="00EF4C2D"/>
    <w:rsid w:val="00EF5376"/>
    <w:rsid w:val="00EF5959"/>
    <w:rsid w:val="00F02FD4"/>
    <w:rsid w:val="00F03EAA"/>
    <w:rsid w:val="00F04482"/>
    <w:rsid w:val="00F064DB"/>
    <w:rsid w:val="00F119AC"/>
    <w:rsid w:val="00F137FC"/>
    <w:rsid w:val="00F14392"/>
    <w:rsid w:val="00F14776"/>
    <w:rsid w:val="00F14BCF"/>
    <w:rsid w:val="00F1528C"/>
    <w:rsid w:val="00F164BC"/>
    <w:rsid w:val="00F16645"/>
    <w:rsid w:val="00F17DEA"/>
    <w:rsid w:val="00F2182B"/>
    <w:rsid w:val="00F21F35"/>
    <w:rsid w:val="00F227A7"/>
    <w:rsid w:val="00F23C4D"/>
    <w:rsid w:val="00F25422"/>
    <w:rsid w:val="00F25777"/>
    <w:rsid w:val="00F26B4B"/>
    <w:rsid w:val="00F320F4"/>
    <w:rsid w:val="00F35D39"/>
    <w:rsid w:val="00F36251"/>
    <w:rsid w:val="00F41E81"/>
    <w:rsid w:val="00F42F5A"/>
    <w:rsid w:val="00F43EEA"/>
    <w:rsid w:val="00F51CD7"/>
    <w:rsid w:val="00F53950"/>
    <w:rsid w:val="00F53A52"/>
    <w:rsid w:val="00F5444C"/>
    <w:rsid w:val="00F55492"/>
    <w:rsid w:val="00F56A8F"/>
    <w:rsid w:val="00F57D9D"/>
    <w:rsid w:val="00F628F8"/>
    <w:rsid w:val="00F629E7"/>
    <w:rsid w:val="00F659D8"/>
    <w:rsid w:val="00F71CBA"/>
    <w:rsid w:val="00F74DE2"/>
    <w:rsid w:val="00F81195"/>
    <w:rsid w:val="00F841A5"/>
    <w:rsid w:val="00F861D9"/>
    <w:rsid w:val="00F879E6"/>
    <w:rsid w:val="00F87FE4"/>
    <w:rsid w:val="00F91353"/>
    <w:rsid w:val="00F93B0D"/>
    <w:rsid w:val="00F94CF7"/>
    <w:rsid w:val="00F96370"/>
    <w:rsid w:val="00F96738"/>
    <w:rsid w:val="00F97446"/>
    <w:rsid w:val="00FA00F5"/>
    <w:rsid w:val="00FA4F18"/>
    <w:rsid w:val="00FA60BB"/>
    <w:rsid w:val="00FA78A8"/>
    <w:rsid w:val="00FB13E9"/>
    <w:rsid w:val="00FB1D10"/>
    <w:rsid w:val="00FB3C6E"/>
    <w:rsid w:val="00FB3DDA"/>
    <w:rsid w:val="00FB58B8"/>
    <w:rsid w:val="00FB6565"/>
    <w:rsid w:val="00FC1B53"/>
    <w:rsid w:val="00FC3A7E"/>
    <w:rsid w:val="00FC66CC"/>
    <w:rsid w:val="00FD2C9C"/>
    <w:rsid w:val="00FD4C1A"/>
    <w:rsid w:val="00FD4ED3"/>
    <w:rsid w:val="00FD5B5D"/>
    <w:rsid w:val="00FD6568"/>
    <w:rsid w:val="00FD6E4C"/>
    <w:rsid w:val="00FF0201"/>
    <w:rsid w:val="00FF0FC3"/>
    <w:rsid w:val="00FF4FB9"/>
    <w:rsid w:val="00FF6984"/>
    <w:rsid w:val="12E62AC9"/>
    <w:rsid w:val="40ED2B91"/>
    <w:rsid w:val="61F80560"/>
    <w:rsid w:val="76DF5DC3"/>
    <w:rsid w:val="774200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nhideWhenUsed="0" w:uiPriority="0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rPr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4"/>
    <w:basedOn w:val="1"/>
    <w:next w:val="1"/>
    <w:link w:val="17"/>
    <w:qFormat/>
    <w:uiPriority w:val="0"/>
    <w:pPr>
      <w:keepNext/>
      <w:jc w:val="both"/>
      <w:outlineLvl w:val="3"/>
    </w:pPr>
    <w:rPr>
      <w:b/>
      <w:bCs/>
      <w:i/>
      <w:iCs/>
      <w:sz w:val="28"/>
    </w:rPr>
  </w:style>
  <w:style w:type="character" w:default="1" w:styleId="4">
    <w:name w:val="Default Paragraph Font"/>
    <w:link w:val="5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 Знак3 Знак"/>
    <w:basedOn w:val="1"/>
    <w:link w:val="4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7">
    <w:name w:val="Hyperlink"/>
    <w:unhideWhenUsed/>
    <w:uiPriority w:val="99"/>
    <w:rPr>
      <w:color w:val="0000FF"/>
      <w:u w:val="single"/>
    </w:rPr>
  </w:style>
  <w:style w:type="character" w:styleId="8">
    <w:name w:val="page number"/>
    <w:uiPriority w:val="0"/>
  </w:style>
  <w:style w:type="paragraph" w:styleId="9">
    <w:name w:val="Balloon Text"/>
    <w:basedOn w:val="1"/>
    <w:link w:val="18"/>
    <w:unhideWhenUsed/>
    <w:uiPriority w:val="99"/>
    <w:rPr>
      <w:rFonts w:ascii="Segoe UI" w:hAnsi="Segoe UI" w:cs="Segoe UI"/>
      <w:sz w:val="18"/>
      <w:szCs w:val="18"/>
    </w:rPr>
  </w:style>
  <w:style w:type="paragraph" w:styleId="10">
    <w:name w:val="header"/>
    <w:basedOn w:val="1"/>
    <w:uiPriority w:val="0"/>
    <w:pPr>
      <w:tabs>
        <w:tab w:val="center" w:pos="4677"/>
        <w:tab w:val="right" w:pos="9355"/>
      </w:tabs>
    </w:pPr>
  </w:style>
  <w:style w:type="paragraph" w:styleId="11">
    <w:name w:val="Body Text"/>
    <w:basedOn w:val="1"/>
    <w:uiPriority w:val="0"/>
    <w:rPr>
      <w:sz w:val="28"/>
    </w:rPr>
  </w:style>
  <w:style w:type="paragraph" w:styleId="12">
    <w:name w:val="Title"/>
    <w:basedOn w:val="1"/>
    <w:qFormat/>
    <w:uiPriority w:val="0"/>
    <w:pPr>
      <w:jc w:val="center"/>
    </w:pPr>
    <w:rPr>
      <w:b/>
      <w:caps/>
      <w:spacing w:val="20"/>
      <w:sz w:val="32"/>
    </w:rPr>
  </w:style>
  <w:style w:type="paragraph" w:styleId="13">
    <w:name w:val="footer"/>
    <w:basedOn w:val="1"/>
    <w:uiPriority w:val="0"/>
    <w:pPr>
      <w:tabs>
        <w:tab w:val="center" w:pos="4677"/>
        <w:tab w:val="right" w:pos="9355"/>
      </w:tabs>
    </w:pPr>
  </w:style>
  <w:style w:type="paragraph" w:styleId="14">
    <w:name w:val="Normal (Web)"/>
    <w:basedOn w:val="1"/>
    <w:uiPriority w:val="0"/>
    <w:pPr>
      <w:spacing w:before="100" w:beforeAutospacing="1" w:after="100" w:afterAutospacing="1"/>
    </w:pPr>
  </w:style>
  <w:style w:type="paragraph" w:styleId="15">
    <w:name w:val="Body Text Indent 2"/>
    <w:basedOn w:val="1"/>
    <w:uiPriority w:val="0"/>
    <w:pPr>
      <w:spacing w:after="120" w:line="480" w:lineRule="auto"/>
      <w:ind w:left="283"/>
    </w:pPr>
  </w:style>
  <w:style w:type="table" w:styleId="16">
    <w:name w:val="Table Grid"/>
    <w:basedOn w:val="6"/>
    <w:uiPriority w:val="0"/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Заголовок 4 Знак"/>
    <w:link w:val="3"/>
    <w:uiPriority w:val="0"/>
    <w:rPr>
      <w:b/>
      <w:bCs/>
      <w:i/>
      <w:iCs/>
      <w:sz w:val="28"/>
      <w:szCs w:val="24"/>
      <w:lang w:val="ru-RU" w:eastAsia="ru-RU" w:bidi="ar-SA"/>
    </w:rPr>
  </w:style>
  <w:style w:type="character" w:customStyle="1" w:styleId="18">
    <w:name w:val="Текст выноски Знак"/>
    <w:link w:val="9"/>
    <w:semiHidden/>
    <w:uiPriority w:val="99"/>
    <w:rPr>
      <w:rFonts w:ascii="Segoe UI" w:hAnsi="Segoe UI" w:cs="Segoe UI"/>
      <w:sz w:val="18"/>
      <w:szCs w:val="18"/>
    </w:rPr>
  </w:style>
  <w:style w:type="paragraph" w:customStyle="1" w:styleId="19">
    <w:name w:val="ConsPlusNonformat"/>
    <w:uiPriority w:val="0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 w:bidi="ar-SA"/>
    </w:rPr>
  </w:style>
  <w:style w:type="paragraph" w:customStyle="1" w:styleId="20">
    <w:name w:val="ConsPlusNormal"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 w:bidi="ar-SA"/>
    </w:rPr>
  </w:style>
  <w:style w:type="paragraph" w:customStyle="1" w:styleId="21">
    <w:name w:val="Прижатый влево"/>
    <w:basedOn w:val="1"/>
    <w:next w:val="1"/>
    <w:uiPriority w:val="9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2">
    <w:name w:val="1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3">
    <w:name w:val=" Знак Знак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4">
    <w:name w:val=" Знак1 Знак Знак"/>
    <w:basedOn w:val="1"/>
    <w:uiPriority w:val="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">
    <w:name w:val=" Знак Знак Знак Знак Знак Знак Знак Знак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6">
    <w:name w:val="Стиль3"/>
    <w:basedOn w:val="15"/>
    <w:uiPriority w:val="0"/>
    <w:pPr>
      <w:widowControl w:val="0"/>
      <w:tabs>
        <w:tab w:val="left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27">
    <w:name w:val=" Знак12 Знак Знак Знак Знак Знак Знак Знак Знак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8">
    <w:name w:val="Îáû÷íûé"/>
    <w:uiPriority w:val="0"/>
    <w:rPr>
      <w:lang w:val="ru-RU" w:eastAsia="ru-RU" w:bidi="ar-SA"/>
    </w:rPr>
  </w:style>
  <w:style w:type="paragraph" w:customStyle="1" w:styleId="29">
    <w:name w:val=" Знак1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0">
    <w:name w:val="apple-converted-space"/>
    <w:uiPriority w:val="0"/>
  </w:style>
  <w:style w:type="paragraph" w:customStyle="1" w:styleId="31">
    <w:name w:val="p26"/>
    <w:basedOn w:val="1"/>
    <w:uiPriority w:val="0"/>
    <w:pPr>
      <w:spacing w:before="100" w:beforeAutospacing="1" w:after="100" w:afterAutospacing="1"/>
    </w:pPr>
  </w:style>
  <w:style w:type="character" w:customStyle="1" w:styleId="32">
    <w:name w:val="s3"/>
    <w:uiPriority w:val="0"/>
  </w:style>
  <w:style w:type="paragraph" w:customStyle="1" w:styleId="33">
    <w:name w:val=" Знак Знак1 Знак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4">
    <w:name w:val=" Знак Знак1 Знак Знак Знак Знак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5">
    <w:name w:val=" Знак Знак1 Знак1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6">
    <w:name w:val=" Знак12 Знак Знак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7">
    <w:name w:val=" Знак Знак1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Тверской Государственный Университет</Company>
  <Pages>8</Pages>
  <Words>2966</Words>
  <Characters>21174</Characters>
  <Lines>172</Lines>
  <Paragraphs>48</Paragraphs>
  <TotalTime>7</TotalTime>
  <ScaleCrop>false</ScaleCrop>
  <LinksUpToDate>false</LinksUpToDate>
  <CharactersWithSpaces>23927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2026-08-13T12:04:00Z</dcterms:created>
  <dc:creator>Юридический Отдел</dc:creator>
  <cp:lastModifiedBy>WPS_1777879831</cp:lastModifiedBy>
  <cp:lastPrinted>2024-06-05T12:57:00Z</cp:lastPrinted>
  <dcterms:modified xsi:type="dcterms:W3CDTF">2026-08-14T10:48:55Z</dcterms:modified>
  <dc:title>ГОСУДАРСТВЕННЫЙ КОНТРАКТ № __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B304803F2DE840FABB414563FFE1E0BB_13</vt:lpwstr>
  </property>
</Properties>
</file>