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6CF66510"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0248EA" w:rsidRPr="000248EA">
        <w:rPr>
          <w:rFonts w:eastAsia="Calibri" w:cs="Times New Roman"/>
          <w:b/>
          <w:sz w:val="20"/>
          <w:szCs w:val="20"/>
          <w:lang w:eastAsia="en-US"/>
        </w:rPr>
        <w:t xml:space="preserve">товара (крышки медицинские для флаконов)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 xml:space="preserve">Цена Контракта включает в себя </w:t>
      </w:r>
      <w:bookmarkStart w:id="1" w:name="_GoBack"/>
      <w:r w:rsidR="006D5417" w:rsidRPr="00F8188C">
        <w:rPr>
          <w:rFonts w:eastAsia="Times New Roman" w:cs="Times New Roman"/>
          <w:sz w:val="20"/>
          <w:szCs w:val="20"/>
        </w:rPr>
        <w:t xml:space="preserve">стоимость Товара, а также все расходы на транспортировку, погрузо-разгрузочные работы (в случае поставки Товара с разгрузкой </w:t>
      </w:r>
      <w:bookmarkEnd w:id="1"/>
      <w:r w:rsidR="006D5417" w:rsidRPr="00F8188C">
        <w:rPr>
          <w:rFonts w:eastAsia="Times New Roman" w:cs="Times New Roman"/>
          <w:sz w:val="20"/>
          <w:szCs w:val="20"/>
        </w:rPr>
        <w:t>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424FC" w14:textId="77777777" w:rsidR="006A08A9" w:rsidRDefault="006A08A9" w:rsidP="00A35A39">
      <w:r>
        <w:separator/>
      </w:r>
    </w:p>
  </w:endnote>
  <w:endnote w:type="continuationSeparator" w:id="0">
    <w:p w14:paraId="79AA5717" w14:textId="77777777" w:rsidR="006A08A9" w:rsidRDefault="006A08A9"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A3F5C" w14:textId="77777777" w:rsidR="006A08A9" w:rsidRDefault="006A08A9" w:rsidP="00A35A39">
      <w:r>
        <w:separator/>
      </w:r>
    </w:p>
  </w:footnote>
  <w:footnote w:type="continuationSeparator" w:id="0">
    <w:p w14:paraId="14B3DC0D" w14:textId="77777777" w:rsidR="006A08A9" w:rsidRDefault="006A08A9"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CA764-8DB6-4A82-AA42-560E7641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2849</Words>
  <Characters>16242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1044</cp:revision>
  <cp:lastPrinted>2024-02-20T07:26:00Z</cp:lastPrinted>
  <dcterms:created xsi:type="dcterms:W3CDTF">2024-02-28T14:22:00Z</dcterms:created>
  <dcterms:modified xsi:type="dcterms:W3CDTF">2026-07-01T08:59:00Z</dcterms:modified>
</cp:coreProperties>
</file>