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ed0bdd0bdd18bd0b922203a2022d0a1d183d0b1d0bbd0b8d186d0b5d0bdd0b7d0b8d0bed0bdd0bdd18bd0b922257d"/>
          <w:id w:val="-934661655"/>
          <w:lock w:val="contentLocked"/>
        </w:sdtPr>
        <w:sdtContent>
          <w:r>
            <w:rPr>
              <w:rFonts w:eastAsia="Tahoma" w:cs="Tahoma"/>
              <w:b/>
              <w:bCs/>
              <w:color w:val="auto"/>
              <w:sz w:val="14"/>
              <w:szCs w:val="14"/>
            </w:rPr>
          </w:r>
          <w:r>
            <w:rPr>
              <w:rFonts w:eastAsia="Tahoma" w:cs="Tahoma"/>
              <w:b/>
              <w:bCs/>
              <w:color w:val="auto"/>
              <w:sz w:val="14"/>
              <w:szCs w:val="14"/>
            </w:rPr>
            <w:t>Сублицензионный</w:t>
          </w:r>
        </w:sdtContent>
      </w:sdt>
      <w:r>
        <w:rPr>
          <w:rFonts w:eastAsia="Tahoma" w:cs="Tahoma"/>
          <w:b/>
          <w:bCs/>
          <w:color w:val="auto"/>
          <w:sz w:val="14"/>
          <w:szCs w:val="14"/>
        </w:rPr>
        <w:t xml:space="preserve">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договор </w:t>
      </w:r>
    </w:p>
    <w:tbl>
      <w:tblPr>
        <w:tblW w:w="105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252"/>
        <w:gridCol w:w="7267"/>
      </w:tblGrid>
      <w:tr>
        <w:trPr>
          <w:trHeight w:val="68" w:hRule="atLeast"/>
        </w:trPr>
        <w:tc>
          <w:tcPr>
            <w:tcW w:w="3252" w:type="dxa"/>
            <w:tcBorders/>
            <w:vAlign w:val="center"/>
          </w:tcPr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 Омск</w:t>
            </w:r>
          </w:p>
        </w:tc>
        <w:tc>
          <w:tcPr>
            <w:tcW w:w="7267" w:type="dxa"/>
            <w:tcBorders/>
            <w:vAlign w:val="center"/>
          </w:tcPr>
          <w:p>
            <w:pPr>
              <w:pStyle w:val="Normal"/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«___»___________ 20__</w:t>
            </w:r>
            <w:r>
              <w:rPr>
                <w:rFonts w:eastAsia="Tahoma" w:cs="Tahoma"/>
                <w:color w:val="auto"/>
                <w:sz w:val="14"/>
                <w:szCs w:val="14"/>
                <w:lang w:val="en-US"/>
              </w:rPr>
              <w:t> </w:t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г.</w:t>
            </w:r>
          </w:p>
        </w:tc>
      </w:tr>
    </w:tbl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hyperlink r:id="rId2" w:tgtFrame="ГУФССП РОССИИ ПО ОМСКОЙ ОБЛАСТИ">
        <w:r>
          <w:rPr>
            <w:rStyle w:val="ListLabel1"/>
            <w:rFonts w:eastAsia="Tahoma" w:cs="Tahoma"/>
            <w:color w:val="auto"/>
            <w:sz w:val="14"/>
            <w:szCs w:val="14"/>
          </w:rPr>
          <w:t>ГЛАВНОЕ УПРАВЛЕНИЕ ФЕДЕРАЛЬНОЙ СЛУЖБЫ СУДЕБНЫХ ПРИСТАВОВ ПО ОМСКОЙ ОБЛАСТИ</w:t>
        </w:r>
      </w:hyperlink>
      <w:r>
        <w:rPr>
          <w:rFonts w:eastAsia="Tahoma" w:cs="Tahoma"/>
          <w:color w:val="auto"/>
          <w:sz w:val="14"/>
          <w:szCs w:val="14"/>
        </w:rPr>
        <w:t>, именуемое в дальнейшем Сублицензиат (Пользователь программного комплекса «СБИС», далее - Программа), в лице  РУКОВОДИТЕЛЯ Титовой Галины Михайловны_, действующего на основании Положения,  одной стороны, и _____________________, именуемый в дальнейшем Лицензиат, в лице _________________________ , действующ__ на основании _________________с другой стороны, руководствуясь п. 4 ст.93  Федерального закона от 5 апреля 2013г.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ИКЗ:261550308551455030100100010000000000.</w:t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1. Предмет договора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1.1. По настоящему договору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обязуется передать, 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 </w:t>
      </w:r>
    </w:p>
    <w:tbl>
      <w:tblPr>
        <w:tblStyle w:val="a4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3"/>
        <w:gridCol w:w="6627"/>
        <w:gridCol w:w="837"/>
        <w:gridCol w:w="1120"/>
        <w:gridCol w:w="1479"/>
      </w:tblGrid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№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Наименование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Кол-во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Цена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color w:val="auto"/>
                <w:kern w:val="0"/>
                <w:sz w:val="14"/>
                <w:szCs w:val="14"/>
                <w:lang w:val="ru-RU" w:bidi="ar-SA"/>
              </w:rPr>
              <w:t>Сумма</w:t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СБИС модуль ЭО-Базовый, Бюджет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2583,36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2583,36</w:t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2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ЭО-Базовый для сдачи отчетности по дополнительному направлению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229,16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687,48</w:t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ЭДО 200 документов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833,35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833,35</w:t>
            </w:r>
          </w:p>
        </w:tc>
      </w:tr>
      <w:tr>
        <w:trPr/>
        <w:tc>
          <w:tcPr>
            <w:tcW w:w="393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4</w:t>
            </w:r>
          </w:p>
        </w:tc>
        <w:tc>
          <w:tcPr>
            <w:tcW w:w="662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Права использования Saby модуль Сверка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1</w:t>
            </w:r>
          </w:p>
        </w:tc>
        <w:tc>
          <w:tcPr>
            <w:tcW w:w="112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3125,00</w:t>
            </w:r>
          </w:p>
        </w:tc>
        <w:tc>
          <w:tcPr>
            <w:tcW w:w="1479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textAlignment w:val="baseline"/>
              <w:rPr>
                <w:rFonts w:eastAsia="Tahoma"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kern w:val="0"/>
                <w:sz w:val="14"/>
                <w:szCs w:val="14"/>
                <w:lang w:val="ru-RU" w:bidi="ar-SA"/>
              </w:rPr>
              <w:t>3125,00</w:t>
            </w:r>
          </w:p>
        </w:tc>
      </w:tr>
    </w:tbl>
    <w:p>
      <w:pPr>
        <w:pStyle w:val="Normal"/>
        <w:spacing w:before="0" w:after="0"/>
        <w:textAlignment w:val="baseline"/>
        <w:rPr>
          <w:rFonts w:cs="Tahoma"/>
          <w:color w:val="auto"/>
          <w:sz w:val="12"/>
          <w:szCs w:val="12"/>
        </w:rPr>
      </w:pPr>
      <w:r>
        <w:rPr>
          <w:rFonts w:eastAsia="Tahoma" w:cs="Tahoma"/>
          <w:color w:val="auto"/>
          <w:sz w:val="12"/>
          <w:szCs w:val="12"/>
        </w:rPr>
        <w:t>Функциональные возможности прав описаны на официальном сайте разработчика Программы http</w:t>
      </w:r>
      <w:r>
        <w:rPr>
          <w:rFonts w:eastAsia="Tahoma" w:cs="Tahoma"/>
          <w:color w:val="auto"/>
          <w:sz w:val="12"/>
          <w:szCs w:val="12"/>
          <w:lang w:val="en-US"/>
        </w:rPr>
        <w:t>s</w:t>
      </w:r>
      <w:r>
        <w:rPr>
          <w:rFonts w:eastAsia="Tahoma" w:cs="Tahoma"/>
          <w:color w:val="auto"/>
          <w:sz w:val="12"/>
          <w:szCs w:val="12"/>
        </w:rPr>
        <w:t>://sbis.ru/tariffs.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1.2. 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в соответствии со ст. 428 ГК РФ присоединяется к Регламенту, опубликованному по адресу http://sbis.ru/reglament (далее - Регламент).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1.3. 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12.01.2015, опубликованы по адресу https://sbis.ru/o_kompanii/Licenzii).Лицензиат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ООО Компания Тензор. </w:t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2.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Права и обязанности сторон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2.1. 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в течение срока действия настоящего договора гарантирует работу Программы в соответствии с документацией, опубликованной на http://help.sbis.ru, и в рамках прав, указанных в п.1.1 настоящего договора, а также при условии выполнения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Сублицензиатом</w:t>
      </w:r>
      <w:r>
        <w:rPr>
          <w:rFonts w:eastAsia="Tahoma" w:cs="Tahoma"/>
          <w:color w:val="auto"/>
          <w:sz w:val="14"/>
          <w:szCs w:val="14"/>
        </w:rPr>
        <w:t xml:space="preserve"> его обязанностей по настоящему договору.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2.2. 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>за невыполнение или ненадлежащее выполнение обязательств по настоящему Договору несет ответственность в пределах стоимости настоящего договора.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2.3. 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не несет ответственность за достоверность сформированных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документов (отчетов), а так же за прямые или косвенные убытки, включая упущенную выгоду, возникшие в результате использования Программы.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2.4.   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имеет право: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2.4.1. Круглосуточно использовать Программу, за исключением времени профилактических работ, проводимых в соответствии с Регламентом. 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2.4.2. Регистрировать в своем личном кабинете (далее – аккаунте) третьих лиц, принимая на себя ответственность за их действия.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2.4.3. Предоставить права, перечисленные в п. 1.1. настоящего договора, любому контрагенту, зарегистрированному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в аккаунте.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обязан: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2.5.1. Оплачивать лицензионные вознаграждения в порядке и в сроки установленные настоящим договором.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2.5.2. 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2.5.3. Использовать Программу в соответствии с пользовательской документацией, опубликованной на http</w:t>
      </w:r>
      <w:r>
        <w:rPr>
          <w:rFonts w:eastAsia="Tahoma" w:cs="Tahoma"/>
          <w:color w:val="auto"/>
          <w:sz w:val="14"/>
          <w:szCs w:val="14"/>
          <w:lang w:val="en-US"/>
        </w:rPr>
        <w:t>s</w:t>
      </w:r>
      <w:r>
        <w:rPr>
          <w:rFonts w:eastAsia="Tahoma" w:cs="Tahoma"/>
          <w:color w:val="auto"/>
          <w:sz w:val="14"/>
          <w:szCs w:val="14"/>
        </w:rPr>
        <w:t>://help.sbis.ru. 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2.6.   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 xml:space="preserve">не имеет права передавать учетные данные для доступа в Программу третьим лицам, незарегистрированным в аккаунте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Сублицензиата</w:t>
      </w:r>
      <w:r>
        <w:rPr>
          <w:rFonts w:eastAsia="Tahoma" w:cs="Tahoma"/>
          <w:color w:val="auto"/>
          <w:sz w:val="14"/>
          <w:szCs w:val="14"/>
        </w:rPr>
        <w:t>.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cs="Tahoma"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3.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Стоимость и порядок расчетов</w:t>
      </w:r>
      <w:r>
        <w:rPr>
          <w:rFonts w:eastAsia="Tahoma" w:cs="Tahoma"/>
          <w:color w:val="auto"/>
          <w:sz w:val="14"/>
          <w:szCs w:val="14"/>
        </w:rPr>
        <w:t>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3.1.   Стоимость неисключительных прав, передаваемых по настоящему договору, составляет </w:t>
      </w:r>
      <w:r>
        <w:rPr>
          <w:rFonts w:eastAsia="Tahoma" w:cs="Tahoma"/>
          <w:b/>
          <w:color w:val="auto"/>
          <w:sz w:val="14"/>
          <w:szCs w:val="14"/>
        </w:rPr>
        <w:t>7229,19</w:t>
      </w:r>
      <w:r>
        <w:rPr>
          <w:rFonts w:eastAsia="Tahoma" w:cs="Tahoma"/>
          <w:color w:val="auto"/>
          <w:sz w:val="14"/>
          <w:szCs w:val="14"/>
        </w:rPr>
        <w:t xml:space="preserve"> рублей (НДС не облагается, в соответствии пп. 26 п.2 ст. 149 НК РФ). </w:t>
      </w:r>
      <w:r>
        <w:rPr>
          <w:rFonts w:eastAsia="Tahoma" w:cs="Tahoma" w:ascii="Liberation Serif" w:hAnsi="Liberation Serif"/>
          <w:color w:val="auto"/>
          <w:kern w:val="2"/>
          <w:sz w:val="16"/>
          <w:szCs w:val="16"/>
          <w:lang w:eastAsia="ar-SA"/>
        </w:rPr>
        <w:t>Цена договора является твердой</w:t>
      </w:r>
      <w:r>
        <w:rPr>
          <w:rFonts w:eastAsia="Tahoma" w:cs="Tahoma" w:ascii="Liberation Serif" w:hAnsi="Liberation Serif"/>
          <w:bCs/>
          <w:color w:val="auto"/>
          <w:sz w:val="16"/>
          <w:szCs w:val="16"/>
        </w:rPr>
        <w:t xml:space="preserve"> </w:t>
      </w:r>
      <w:r>
        <w:rPr>
          <w:rFonts w:eastAsia="Tahoma" w:cs="Tahoma" w:ascii="Liberation Serif" w:hAnsi="Liberation Serif"/>
          <w:color w:val="auto"/>
          <w:kern w:val="2"/>
          <w:sz w:val="16"/>
          <w:szCs w:val="16"/>
          <w:lang w:eastAsia="ar-SA"/>
        </w:rPr>
        <w:t xml:space="preserve"> и определяется на весь срок использования договора. 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3.2.   Если в течение действия настоящего договора </w:t>
      </w:r>
      <w:r>
        <w:rPr>
          <w:rFonts w:eastAsia="Tahoma" w:cs="Tahoma"/>
          <w:b/>
          <w:bCs/>
          <w:color w:val="auto"/>
          <w:sz w:val="14"/>
          <w:szCs w:val="14"/>
        </w:rPr>
        <w:t>Сублицензиат или иные лица, зарегистрированные в аккаунте Сублицензиата</w:t>
      </w:r>
      <w:r>
        <w:rPr>
          <w:rFonts w:eastAsia="Tahoma" w:cs="Tahoma"/>
          <w:color w:val="auto"/>
          <w:sz w:val="14"/>
          <w:szCs w:val="14"/>
        </w:rPr>
        <w:t xml:space="preserve">, в соответствии с п.2.4.2  настоящего договора использовали функционал, права на который не передавались ему по настоящему договору, то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022203a2022d09bd0b8d186d0b5d0bdd0b7d0b8d0b0d18222257d"/>
          <w:id w:val="802822905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b/>
              <w:bCs/>
              <w:color w:val="auto"/>
              <w:sz w:val="14"/>
              <w:szCs w:val="14"/>
            </w:rPr>
            <w:t>Лицензиат</w:t>
          </w:r>
        </w:sdtContent>
      </w:sdt>
      <w:r>
        <w:rPr>
          <w:rFonts w:eastAsia="Tahoma" w:cs="Tahoma"/>
          <w:b/>
          <w:bCs/>
          <w:color w:val="auto"/>
          <w:sz w:val="14"/>
          <w:szCs w:val="14"/>
        </w:rPr>
        <w:t xml:space="preserve"> </w:t>
      </w:r>
      <w:r>
        <w:rPr>
          <w:rFonts w:eastAsia="Tahoma" w:cs="Tahoma"/>
          <w:color w:val="auto"/>
          <w:sz w:val="14"/>
          <w:szCs w:val="14"/>
        </w:rPr>
        <w:t>выставляет счет, определяя стоимость в соответствии с прайс-листом, опубликованным на http</w:t>
      </w:r>
      <w:r>
        <w:rPr>
          <w:rFonts w:eastAsia="Tahoma" w:cs="Tahoma"/>
          <w:color w:val="auto"/>
          <w:sz w:val="14"/>
          <w:szCs w:val="14"/>
          <w:lang w:val="en-US"/>
        </w:rPr>
        <w:t>s</w:t>
      </w:r>
      <w:r>
        <w:rPr>
          <w:rFonts w:eastAsia="Tahoma" w:cs="Tahoma"/>
          <w:color w:val="auto"/>
          <w:sz w:val="14"/>
          <w:szCs w:val="14"/>
        </w:rPr>
        <w:t xml:space="preserve">://sbis.ru/tariffs, 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 </w:t>
      </w:r>
      <w:r>
        <w:rPr>
          <w:rFonts w:eastAsia="Tahoma" w:cs="Tahoma"/>
          <w:color w:val="auto"/>
          <w:sz w:val="14"/>
          <w:szCs w:val="14"/>
        </w:rPr>
        <w:t>обязуется оплатить данный счет в течение 30 (тридцати) календарных дней с момента его выставления.  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Liberation Serif" w:hAnsi="Liberation Serif"/>
          <w:sz w:val="16"/>
          <w:szCs w:val="16"/>
        </w:rPr>
      </w:pPr>
      <w:r>
        <w:rPr>
          <w:rFonts w:eastAsia="Times New Roman" w:ascii="Liberation Serif" w:hAnsi="Liberation Serif"/>
          <w:b w:val="false"/>
          <w:bCs w:val="false"/>
          <w:color w:val="000000"/>
          <w:kern w:val="2"/>
          <w:sz w:val="16"/>
          <w:szCs w:val="16"/>
          <w:lang w:eastAsia="ar-SA"/>
        </w:rPr>
        <w:t xml:space="preserve">3.3. </w:t>
      </w:r>
      <w:r>
        <w:rPr>
          <w:rFonts w:eastAsia="Times New Roman" w:ascii="Liberation Serif" w:hAnsi="Liberation Serif"/>
          <w:color w:val="000000"/>
          <w:kern w:val="2"/>
          <w:sz w:val="16"/>
          <w:szCs w:val="16"/>
          <w:lang w:eastAsia="ar-SA"/>
        </w:rPr>
        <w:t xml:space="preserve">Платеж по Договору за неисключительные права использования Программы производится Сублицензиатом в  размере 100 % оплаты по факту предоставления неисключительных прав на основании выставленного счета, акта приема-передачи неисключительных прав. Счет подлежит оплате не позднее 10 (десяти) рабочих дней со дня подписания </w:t>
      </w:r>
      <w:r>
        <w:rPr>
          <w:rFonts w:eastAsia="Times New Roman" w:ascii="Liberation Serif" w:hAnsi="Liberation Serif"/>
          <w:b/>
          <w:bCs/>
          <w:color w:val="000000"/>
          <w:kern w:val="2"/>
          <w:sz w:val="16"/>
          <w:szCs w:val="16"/>
          <w:lang w:eastAsia="ar-SA"/>
        </w:rPr>
        <w:t>Сублицензиатом</w:t>
      </w:r>
      <w:r>
        <w:rPr>
          <w:rFonts w:eastAsia="Times New Roman" w:ascii="Liberation Serif" w:hAnsi="Liberation Serif"/>
          <w:color w:val="000000"/>
          <w:kern w:val="2"/>
          <w:sz w:val="16"/>
          <w:szCs w:val="16"/>
          <w:lang w:eastAsia="ar-SA"/>
        </w:rPr>
        <w:t xml:space="preserve"> документа о приемке.</w:t>
      </w:r>
    </w:p>
    <w:p>
      <w:pPr>
        <w:pStyle w:val="NormalWeb"/>
        <w:jc w:val="both"/>
        <w:rPr>
          <w:rFonts w:ascii="Liberation Serif" w:hAnsi="Liberation Serif"/>
          <w:sz w:val="16"/>
          <w:szCs w:val="16"/>
        </w:rPr>
      </w:pPr>
      <w:r>
        <w:rPr>
          <w:rFonts w:eastAsia="Tahoma" w:cs="Tahoma" w:ascii="Liberation Serif" w:hAnsi="Liberation Serif"/>
          <w:b w:val="false"/>
          <w:bCs w:val="false"/>
          <w:color w:val="000000"/>
          <w:sz w:val="16"/>
          <w:szCs w:val="16"/>
        </w:rPr>
        <w:t xml:space="preserve">3.4. 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Оплата всех услуг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Лицензиата,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 производится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Сублицензиатом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 xml:space="preserve"> путем перечисления на расчетный счет. Датой оплаты считается дата зачисления денежных средств на расчетный счет </w:t>
      </w:r>
      <w:r>
        <w:rPr>
          <w:rFonts w:eastAsia="Tahoma" w:cs="Tahoma" w:ascii="Liberation Serif" w:hAnsi="Liberation Serif"/>
          <w:b/>
          <w:color w:val="000000"/>
          <w:sz w:val="16"/>
          <w:szCs w:val="16"/>
        </w:rPr>
        <w:t>Лицензиата</w:t>
      </w:r>
      <w:r>
        <w:rPr>
          <w:rFonts w:eastAsia="Tahoma" w:cs="Tahoma" w:ascii="Liberation Serif" w:hAnsi="Liberation Serif"/>
          <w:color w:val="000000"/>
          <w:sz w:val="16"/>
          <w:szCs w:val="16"/>
        </w:rPr>
        <w:t>.</w:t>
      </w:r>
    </w:p>
    <w:p>
      <w:pPr>
        <w:pStyle w:val="Normal"/>
        <w:spacing w:before="0" w:after="0"/>
        <w:textAlignment w:val="baseline"/>
        <w:rPr/>
      </w:pPr>
      <w:r>
        <w:rPr>
          <w:rFonts w:eastAsia="Tahoma" w:cs="Tahoma"/>
          <w:color w:val="auto"/>
          <w:sz w:val="14"/>
          <w:szCs w:val="14"/>
        </w:rPr>
        <w:t>3.5. Стороны договорились, что к их отношениям по настоящему договору нормы ст. 317.1. ГК РФ  не применяются.</w:t>
      </w:r>
      <w:sdt>
        <w:sdtPr>
          <w:alias w:val="{%var goods_arr = &lt;Документ.Номенклатура&gt;;var valid_codes = [&quot;EO"/>
          <w:tag w:val="tensor_te_exp:7b25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e2809cd094d0bed0bad183d0bcd0b5d0bdd1822ed09dd0bed0bcd0b5d0bdd0bad0bbd0b0d182d183d180d0b02ed09dd0bed0bcd0b5d180e2809d5d29203e202d313b207d293b76617220737461747573203d2076616c69645f676f6f64732e6c656e6774683b76617220726573756c74203d2028737461747573203e2030203f20225c6e332e342e20d098d181d0bfd0bed0bbd18cd0b7d0bed0b2d0b0d0bdd0b8d0b520d09fd180d0bed0b3d180d0b0d0bcd0bcd18b20d0b220d0bad0bed0bdd184d0b8d0b3d183d180d0b0d186d0b8d0b820d0add0bbd0b5d0bad182d180d0bed0bdd0bdd18bd0b920d0b4d0bed0bad183d0bcd0b5d0bdd182d0bed0bed0b1d0bed180d0bed1822c20d0a3d0bfd0bed0bbd0bdd0bed0bcd0bed187d0b5d0bdd0bdd0b0d18f20d0b1d183d185d0b3d0b0d0bbd182d0b5d180d0b8d18f20d0bfd180d0b5d0b4d0bfd0bed0bbd0b0d0b3d0b0d0b5d18220d183d0bfd0bbd0b0d182d18320d0b4d0bed0bfd0bed0bbd0bdd0b8d182d0b5d0bbd18cd0bdd0bed0b3d0be20d0bfd0b5d180d0b5d0bcd0b5d0bdd0bdd0bed0b3d0be20d0bfd0bbd0b0d182d0b5d0b6d0b02c20d0bfd180d0b0d0b2d0b8d0bbd0b020d180d0b0d181d187d0b5d182d0b020d0bad0bed182d0bed180d0bed0b3d0be20d0bed0bfd183d0b1d0bbd0b8d0bad0bed0b2d0b0d0bdd18b20d0bdd0b02068747470733a2f2f736269732e72752f746172696666732e22203a202222293b2072657475726e20726573756c74257d"/>
          <w:id w:val="553590169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color w:val="auto"/>
              <w:sz w:val="14"/>
              <w:szCs w:val="14"/>
            </w:rPr>
          </w:r>
        </w:sdtContent>
      </w:sdt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3.6. Источник финансирования: федеральный бюджет, КБК 322 0304 42 4 08 90049 242.</w:t>
      </w:r>
    </w:p>
    <w:p>
      <w:pPr>
        <w:pStyle w:val="Normal"/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4.</w:t>
      </w:r>
      <w:r>
        <w:rPr>
          <w:rFonts w:eastAsia="Tahoma" w:cs="Tahoma"/>
          <w:color w:val="auto"/>
          <w:sz w:val="14"/>
          <w:szCs w:val="14"/>
        </w:rPr>
        <w:t> </w:t>
      </w:r>
      <w:r>
        <w:rPr>
          <w:rFonts w:eastAsia="Tahoma" w:cs="Tahoma"/>
          <w:b/>
          <w:bCs/>
          <w:color w:val="auto"/>
          <w:sz w:val="14"/>
          <w:szCs w:val="14"/>
        </w:rPr>
        <w:t>Действие договора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4.1.   Настоящий Договор вступает в силу с «2</w:t>
      </w:r>
      <w:r>
        <w:rPr>
          <w:rFonts w:eastAsia="Tahoma" w:cs="Tahoma"/>
          <w:color w:val="auto"/>
          <w:sz w:val="14"/>
          <w:szCs w:val="14"/>
        </w:rPr>
        <w:t>0</w:t>
      </w:r>
      <w:r>
        <w:rPr>
          <w:rFonts w:eastAsia="Tahoma" w:cs="Tahoma"/>
          <w:color w:val="auto"/>
          <w:sz w:val="14"/>
          <w:szCs w:val="14"/>
        </w:rPr>
        <w:t>» июля 2026 года и действует до «20» декабря 2026 года, а в части исполнения обязательств – до полного их исполнения.</w:t>
      </w:r>
    </w:p>
    <w:p>
      <w:pPr>
        <w:pStyle w:val="Normal"/>
        <w:spacing w:before="0" w:after="0"/>
        <w:textAlignment w:val="baseline"/>
        <w:rPr>
          <w:rFonts w:eastAsia="Tahoma"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>4.2.   Передача неисключительных прав по настоящему Договору оформляется Актом приема-передачи в течение 5-ти рабочих дней с момента активации неисключительных прав, указанной в п. 1.1 настоящего договора посредством документооборота в электронном виде по телекоммуникационным каналам связи с использованием усиленной квалифицированной электронной подписи.  </w:t>
      </w:r>
    </w:p>
    <w:p>
      <w:pPr>
        <w:pStyle w:val="Normal"/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color w:val="auto"/>
          <w:sz w:val="14"/>
          <w:szCs w:val="14"/>
        </w:rPr>
        <w:t xml:space="preserve">4.3. В случае нарушения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 xml:space="preserve">п.3, п.2.5, п.2.6 настоящего договора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Лицензиат </w:t>
      </w:r>
      <w:r>
        <w:rPr>
          <w:rFonts w:eastAsia="Tahoma"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r>
        <w:rPr>
          <w:rFonts w:eastAsia="Tahoma" w:cs="Tahoma"/>
          <w:b/>
          <w:bCs/>
          <w:color w:val="auto"/>
          <w:sz w:val="14"/>
          <w:szCs w:val="14"/>
        </w:rPr>
        <w:t xml:space="preserve">Сублицензиатом </w:t>
      </w:r>
      <w:r>
        <w:rPr>
          <w:rFonts w:eastAsia="Tahoma" w:cs="Tahoma"/>
          <w:color w:val="auto"/>
          <w:sz w:val="14"/>
          <w:szCs w:val="14"/>
        </w:rPr>
        <w:t>без предварительного уведомления.</w:t>
      </w:r>
      <w:sdt>
        <w:sdtPr>
          <w:alias w:val="{%var licensee = &lt;Наша организация.Дополнительно.ИНН&gt; == &quot;783000"/>
          <w:tag w:val="tensor_te_exp:7b25766172206c6963656e736565203d203cd09dd0b0d188d0b020d0bed180d0b3d0b0d0bdd0b8d0b7d0b0d186d0b8d18f2ed094d0bed0bfd0bed0bbd0bdd0b8d182d0b5d0bbd18cd0bdd0be2ed098d09dd09d3e203d3d20223738333030303232393322203f2022d09bd0b8d186d0b5d0bdd0b7d0b8d0b0d18022203a2022d09bd0b8d186d0b5d0bdd0b7d0b8d0b0d182223b766172206c6963656e736572203d203cd09dd0b0d188d0b020d0bed180d0b3d0b0d0bdd0b8d0b7d0b0d186d0b8d18f2ed094d0bed0bfd0bed0bbd0bdd0b8d182d0b5d0bbd18cd0bdd0be2ed098d09dd09d3e203d3d20223738333030303232393322203f202220d09bd0b8d186d0b5d0bdd0b7d0b8d0b0d1822022203a202220d0a1d183d0b1d0bbd0b8d186d0b5d0bdd0b7d0b8d0b0d18220223b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e2809d20583833363831353231393931383037e2809d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20d09fd180d0b820d0bfd180d0bed0bbd0bed0bdd0b3d0b0d186d0b8d0b820d0bdd0b0d181d182d0bed18fd189d0b5d0b3d0be20d0b4d0bed0b3d0bed0b2d0bed180d0b020d184d0b8d0bad181d0b8d180d0bed0b2d0b0d0bdd0bdd0b0d18f20d0bfd0bbd0b0d182d0b020d0b7d0b020d0bdd0b5d0b8d181d0bad0bbd18ed187d0b8d182d0b5d0bbd18cd0bdd18bd0b520d0bfd180d0b0d0b2d0b020d0b8d181d0bfd0bed0bbd18cd0b7d0bed0b2d0b0d0bdd0b8d18f20d0bfd180d0bed0b3d180d0b0d0bcd0bcd18b20d0b220d0bad0bed0bdd184d0b8d0b3d183d180d0b0d186d0b8d0b8205c22d0a3d0bfd0bed0bbd0bdd0bed0bcd0bed187d0b5d0bdd0bdd0b0d18f20d0b1d183d185d0b3d0b0d0bbd182d0b5d180d0b8d18f5c2220d0bdd0b520d0b2d0b7d0b8d0bcd0b0d0b5d182d181d18f2c20d0bfd180d0b820d183d181d0bbd0bed0b2d0b8d0b820d0bed0bfd0bbd0b0d182d18b20d0bfd0b5d180d0b5d0bcd0b5d0bdd0bdd18bd18520d0bfd0bbd0b0d182d0b5d0b6d0b5d0b920d0b820d0b2d18bd0bfd0bed0bbd0bdd0b5d0bdd0b8d18f20d0bf2e332e3420d0bdd0b0d181d182d0bed18fd189d0b5d0b3d0be20d0b4d0bed0b3d0bed0b2d0bed180d0b02e22203a202222293b72657475726e2028726573756c74293b257d"/>
          <w:id w:val="1933233951"/>
          <w:lock w:val="contentLocked"/>
        </w:sdtPr>
        <w:sdtContent>
          <w:r>
            <w:rPr>
              <w:rFonts w:eastAsia="Tahoma" w:cs="Tahoma"/>
              <w:color w:val="auto"/>
              <w:sz w:val="14"/>
              <w:szCs w:val="14"/>
            </w:rPr>
          </w:r>
          <w:r>
            <w:rPr>
              <w:rFonts w:eastAsia="Tahoma" w:cs="Tahoma"/>
              <w:color w:val="auto"/>
              <w:sz w:val="14"/>
              <w:szCs w:val="14"/>
            </w:rPr>
          </w:r>
        </w:sdtContent>
      </w:sdt>
    </w:p>
    <w:p>
      <w:pPr>
        <w:pStyle w:val="Normal"/>
        <w:spacing w:before="0" w:after="0"/>
        <w:jc w:val="center"/>
        <w:textAlignment w:val="baseline"/>
        <w:rPr>
          <w:rFonts w:eastAsia="Tahoma" w:cs="Tahoma"/>
          <w:b/>
          <w:bCs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</w:r>
    </w:p>
    <w:p>
      <w:pPr>
        <w:pStyle w:val="Normal"/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>
        <w:rPr>
          <w:rFonts w:eastAsia="Tahoma" w:cs="Tahoma"/>
          <w:b/>
          <w:bCs/>
          <w:color w:val="auto"/>
          <w:sz w:val="14"/>
          <w:szCs w:val="14"/>
        </w:rPr>
        <w:t>5. Реквизиты сторон</w:t>
      </w:r>
      <w:r>
        <w:rPr>
          <w:rFonts w:eastAsia="Tahoma" w:cs="Tahoma"/>
          <w:color w:val="auto"/>
          <w:sz w:val="14"/>
          <w:szCs w:val="14"/>
        </w:rPr>
        <w:t> </w:t>
      </w:r>
    </w:p>
    <w:tbl>
      <w:tblPr>
        <w:tblW w:w="1052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7411"/>
        <w:gridCol w:w="3114"/>
      </w:tblGrid>
      <w:tr>
        <w:trPr>
          <w:trHeight w:val="20" w:hRule="atLeast"/>
        </w:trPr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: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366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7" w:type="dxa"/>
              </w:tblCellMar>
              <w:tblLook w:val="04a0" w:noHBand="0" w:noVBand="1" w:firstColumn="1" w:lastRow="0" w:lastColumn="0" w:firstRow="1"/>
            </w:tblPr>
            <w:tblGrid>
              <w:gridCol w:w="1275"/>
              <w:gridCol w:w="6090"/>
            </w:tblGrid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</w:p>
              </w:tc>
              <w:tc>
                <w:tcPr>
                  <w:tcW w:w="6090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eastAsia="Tahoma"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>
              <w:rPr/>
              <w:br/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ЛИЦЕНЗИАТ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____________________ /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 xml:space="preserve">                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М.П.</w:t>
            </w:r>
          </w:p>
        </w:tc>
      </w:tr>
      <w:tr>
        <w:trPr>
          <w:trHeight w:val="20" w:hRule="atLeast"/>
        </w:trPr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 xml:space="preserve">СУБЛИЦЕНЗИАТ:  </w:t>
            </w:r>
            <w:hyperlink r:id="rId3" w:tgtFrame="ГУФССП РОССИИ ПО ОМСКОЙ ОБЛАСТИ">
              <w:r>
                <w:rPr>
                  <w:rStyle w:val="ListLabel2"/>
                  <w:rFonts w:eastAsia="Tahoma" w:cs="Tahoma"/>
                  <w:b/>
                  <w:bCs/>
                  <w:color w:val="auto"/>
                  <w:sz w:val="14"/>
                  <w:szCs w:val="14"/>
                </w:rPr>
                <w:t>ГЛАВНОЕ УПРАВЛЕНИЕ ФЕДЕРАЛЬНОЙ СЛУЖБЫ СУДЕБНЫХ ПРИСТАВОВ ПО ОМСКОЙ ОБЛАСТИ</w:t>
              </w:r>
            </w:hyperlink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</w:tr>
      <w:tr>
        <w:trPr>
          <w:trHeight w:val="20" w:hRule="atLeast"/>
        </w:trPr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7366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1275"/>
              <w:gridCol w:w="6090"/>
            </w:tblGrid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color w:val="auto"/>
                      <w:sz w:val="14"/>
                      <w:szCs w:val="14"/>
                    </w:rPr>
                    <w:t>5503085514/550301001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644099 г.Омск, ул.Ленина, 14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Р/С: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03211643000000015108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ОКЦ No 1 СибГУ Банка России // УФК по Новосибирской области, г.</w:t>
                  </w:r>
                </w:p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Новосибирск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015004950</w:t>
                  </w:r>
                </w:p>
              </w:tc>
            </w:tr>
            <w:tr>
              <w:trPr>
                <w:trHeight w:val="20" w:hRule="atLeast"/>
              </w:trPr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eastAsia="Tahoma" w:cs="Tahoma"/>
                      <w:b/>
                      <w:bCs/>
                      <w:color w:val="auto"/>
                      <w:sz w:val="14"/>
                      <w:szCs w:val="14"/>
                    </w:rPr>
                    <w:t>К/С:</w:t>
                  </w:r>
                </w:p>
              </w:tc>
              <w:tc>
                <w:tcPr>
                  <w:tcW w:w="60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>
                    <w:rPr>
                      <w:rFonts w:cs="Tahoma"/>
                      <w:color w:val="auto"/>
                      <w:sz w:val="14"/>
                      <w:szCs w:val="14"/>
                    </w:rPr>
                    <w:t>40102810445370000043</w:t>
                  </w:r>
                </w:p>
              </w:tc>
            </w:tr>
          </w:tbl>
          <w:p>
            <w:pPr>
              <w:pStyle w:val="Normal"/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cs="Tahoma"/>
                <w:color w:val="auto"/>
                <w:sz w:val="14"/>
                <w:szCs w:val="14"/>
              </w:rPr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b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 </w:t>
            </w:r>
            <w:r>
              <w:rPr/>
              <w:br/>
            </w:r>
            <w:r>
              <w:rPr>
                <w:rFonts w:eastAsia="Tahoma" w:cs="Tahoma"/>
                <w:b/>
                <w:bCs/>
                <w:color w:val="auto"/>
                <w:sz w:val="14"/>
                <w:szCs w:val="14"/>
              </w:rPr>
              <w:t>СУБЛИЦЕНЗИАТ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>____________________ /Титова Г.М.</w:t>
            </w:r>
            <w:bookmarkStart w:id="0" w:name="_GoBack"/>
            <w:bookmarkEnd w:id="0"/>
            <w:r>
              <w:rPr>
                <w:rFonts w:eastAsia="Tahoma" w:cs="Tahoma"/>
                <w:color w:val="auto"/>
                <w:sz w:val="14"/>
                <w:szCs w:val="14"/>
              </w:rPr>
              <w:t>/</w:t>
            </w:r>
          </w:p>
          <w:p>
            <w:pPr>
              <w:pStyle w:val="Normal"/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>
              <w:rPr>
                <w:rFonts w:eastAsia="Tahoma" w:cs="Tahoma"/>
                <w:color w:val="auto"/>
                <w:sz w:val="14"/>
                <w:szCs w:val="14"/>
              </w:rPr>
              <w:t xml:space="preserve">                 </w:t>
            </w:r>
            <w:r>
              <w:rPr>
                <w:rFonts w:eastAsia="Tahoma" w:cs="Tahoma"/>
                <w:color w:val="auto"/>
                <w:sz w:val="14"/>
                <w:szCs w:val="14"/>
              </w:rPr>
              <w:t>М.П.</w:t>
            </w:r>
          </w:p>
        </w:tc>
      </w:tr>
    </w:tbl>
    <w:p>
      <w:pPr>
        <w:pStyle w:val="Normal"/>
        <w:spacing w:before="120" w:after="120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4" w:qFormat="1"/>
    <w:lsdException w:name="heading 1" w:uiPriority="9" w:qFormat="1"/>
    <w:lsdException w:name="heading 2" w:uiPriority="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4"/>
    <w:qFormat/>
    <w:rsid w:val="00d11ec1"/>
    <w:pPr>
      <w:widowControl/>
      <w:suppressAutoHyphens w:val="true"/>
      <w:bidi w:val="0"/>
      <w:spacing w:lineRule="auto" w:line="240" w:before="120" w:after="120"/>
      <w:jc w:val="both"/>
    </w:pPr>
    <w:rPr>
      <w:rFonts w:ascii="Tahoma" w:hAnsi="Tahoma" w:eastAsia="Times New Roman" w:cs="Times New Roman"/>
      <w:color w:val="16394F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2"/>
    <w:qFormat/>
    <w:rsid w:val="00d11ec1"/>
    <w:pPr>
      <w:keepNext w:val="true"/>
      <w:spacing w:before="400" w:after="120"/>
      <w:jc w:val="left"/>
      <w:outlineLvl w:val="1"/>
    </w:pPr>
    <w:rPr>
      <w:color w:val="003366"/>
      <w:sz w:val="32"/>
      <w:szCs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2"/>
    <w:qFormat/>
    <w:rsid w:val="00d11ec1"/>
    <w:rPr>
      <w:rFonts w:ascii="Tahoma" w:hAnsi="Tahoma" w:eastAsia="Times New Roman" w:cs="Times New Roman"/>
      <w:color w:val="003366"/>
      <w:sz w:val="32"/>
      <w:szCs w:val="44"/>
      <w:lang w:eastAsia="ru-RU"/>
    </w:rPr>
  </w:style>
  <w:style w:type="character" w:styleId="Normaltextrun" w:customStyle="1">
    <w:name w:val="normaltextrun"/>
    <w:basedOn w:val="DefaultParagraphFont"/>
    <w:qFormat/>
    <w:rsid w:val="00a21bd9"/>
    <w:rPr/>
  </w:style>
  <w:style w:type="character" w:styleId="Apple-converted-space" w:customStyle="1">
    <w:name w:val="apple-converted-space"/>
    <w:basedOn w:val="DefaultParagraphFont"/>
    <w:qFormat/>
    <w:rsid w:val="00a21bd9"/>
    <w:rPr/>
  </w:style>
  <w:style w:type="character" w:styleId="Spellingerror" w:customStyle="1">
    <w:name w:val="spellingerror"/>
    <w:basedOn w:val="DefaultParagraphFont"/>
    <w:qFormat/>
    <w:rsid w:val="00a21bd9"/>
    <w:rPr/>
  </w:style>
  <w:style w:type="character" w:styleId="Eop" w:customStyle="1">
    <w:name w:val="eop"/>
    <w:basedOn w:val="DefaultParagraphFont"/>
    <w:qFormat/>
    <w:rsid w:val="00a21bd9"/>
    <w:rPr/>
  </w:style>
  <w:style w:type="character" w:styleId="Scx7026291" w:customStyle="1">
    <w:name w:val="scx7026291"/>
    <w:basedOn w:val="DefaultParagraphFont"/>
    <w:qFormat/>
    <w:rsid w:val="00a21bd9"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ec2a2c"/>
    <w:rPr>
      <w:rFonts w:ascii="Tahoma" w:hAnsi="Tahoma" w:eastAsia="Times New Roman" w:cs="Tahoma"/>
      <w:color w:val="16394F"/>
      <w:sz w:val="16"/>
      <w:szCs w:val="16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dd7f0c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f2bf8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11ec1"/>
    <w:pPr>
      <w:spacing w:before="120" w:after="120"/>
      <w:ind w:left="720"/>
      <w:contextualSpacing/>
    </w:pPr>
    <w:rPr/>
  </w:style>
  <w:style w:type="paragraph" w:styleId="Paragraph" w:customStyle="1">
    <w:name w:val="paragraph"/>
    <w:basedOn w:val="Normal"/>
    <w:qFormat/>
    <w:rsid w:val="00a21bd9"/>
    <w:pPr>
      <w:spacing w:beforeAutospacing="1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ec2a2c"/>
    <w:pPr>
      <w:spacing w:before="0" w:after="0"/>
    </w:pPr>
    <w:rPr>
      <w:rFonts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dd7f0c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before="0" w:after="0"/>
      <w:jc w:val="left"/>
    </w:pPr>
    <w:rPr>
      <w:rFonts w:ascii="Courier New" w:hAnsi="Courier New" w:cs="Courier New"/>
      <w:color w:val="auto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ul.nalog.ru/index.html" TargetMode="External"/><Relationship Id="rId3" Type="http://schemas.openxmlformats.org/officeDocument/2006/relationships/hyperlink" Target="https://egrul.nalog.ru/index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53C1C-119F-439A-BEFE-5F433A8C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Application>LibreOffice/7.6.7.2$Linux_X86_64 LibreOffice_project/60$Build-2</Application>
  <AppVersion>15.0000</AppVersion>
  <Pages>2</Pages>
  <Words>803</Words>
  <Characters>5753</Characters>
  <CharactersWithSpaces>6561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2025-11-12T05:51:00Z</dcterms:created>
  <dc:creator>Русаков И.Е.</dc:creator>
  <dc:description/>
  <dc:language>ru-RU</dc:language>
  <cp:lastModifiedBy/>
  <dcterms:modified xsi:type="dcterms:W3CDTF">2026-05-22T11:25:08Z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