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79" w:rsidRDefault="00F05DC6">
      <w:pPr>
        <w:ind w:firstLine="0"/>
        <w:jc w:val="center"/>
        <w:rPr>
          <w:b/>
        </w:rPr>
      </w:pPr>
      <w:r>
        <w:rPr>
          <w:b/>
        </w:rPr>
        <w:t>ОПИСАНИЕ ОБЪЕКТА ЗАКУПКИ</w:t>
      </w:r>
    </w:p>
    <w:p w:rsidR="00DA2479" w:rsidRDefault="00F05DC6">
      <w:pPr>
        <w:ind w:firstLine="0"/>
        <w:jc w:val="center"/>
        <w:rPr>
          <w:b/>
        </w:rPr>
      </w:pPr>
      <w:r>
        <w:rPr>
          <w:b/>
        </w:rPr>
        <w:t xml:space="preserve">на приобретение технических средств обучения и воспитания </w:t>
      </w:r>
    </w:p>
    <w:p w:rsidR="00DA2479" w:rsidRDefault="00DA2479">
      <w:pPr>
        <w:keepNext/>
        <w:keepLines/>
        <w:suppressLineNumbers/>
        <w:ind w:firstLine="0"/>
        <w:jc w:val="center"/>
        <w:rPr>
          <w:b/>
          <w:sz w:val="16"/>
          <w:szCs w:val="16"/>
        </w:rPr>
      </w:pPr>
    </w:p>
    <w:p w:rsidR="00DA2479" w:rsidRDefault="00F05DC6">
      <w:pPr>
        <w:widowControl/>
        <w:ind w:firstLine="0"/>
      </w:pPr>
      <w:r>
        <w:rPr>
          <w:b/>
          <w:lang w:eastAsia="ru-RU"/>
        </w:rPr>
        <w:t>Заказчик:</w:t>
      </w:r>
      <w:r>
        <w:t xml:space="preserve"> </w:t>
      </w:r>
      <w:r>
        <w:rPr>
          <w:lang w:eastAsia="ru-RU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Марий Эл </w:t>
      </w:r>
    </w:p>
    <w:p w:rsidR="00DA2479" w:rsidRDefault="00F05DC6">
      <w:pPr>
        <w:widowControl/>
        <w:ind w:firstLine="0"/>
      </w:pPr>
      <w:r>
        <w:rPr>
          <w:b/>
          <w:lang w:eastAsia="ru-RU"/>
        </w:rPr>
        <w:t>Источник финансирования:</w:t>
      </w:r>
      <w:r>
        <w:rPr>
          <w:lang w:eastAsia="ru-RU"/>
        </w:rPr>
        <w:t xml:space="preserve"> федеральный бюджет 2026 года</w:t>
      </w:r>
    </w:p>
    <w:p w:rsidR="00DA2479" w:rsidRDefault="00F05DC6">
      <w:pPr>
        <w:widowControl/>
        <w:ind w:firstLine="0"/>
      </w:pPr>
      <w:r>
        <w:rPr>
          <w:b/>
          <w:lang w:eastAsia="ru-RU"/>
        </w:rPr>
        <w:t>Предмет закупки:</w:t>
      </w:r>
      <w:r>
        <w:rPr>
          <w:lang w:eastAsia="ru-RU"/>
        </w:rPr>
        <w:t xml:space="preserve"> Приобретение технических средств обучения и воспитания </w:t>
      </w:r>
    </w:p>
    <w:p w:rsidR="00DA2479" w:rsidRDefault="00F05DC6">
      <w:pPr>
        <w:widowControl/>
        <w:ind w:firstLine="0"/>
      </w:pPr>
      <w:r>
        <w:rPr>
          <w:b/>
          <w:lang w:eastAsia="ru-RU"/>
        </w:rPr>
        <w:t xml:space="preserve">Место поставки товара: </w:t>
      </w:r>
      <w:r>
        <w:rPr>
          <w:lang w:eastAsia="ru-RU"/>
        </w:rPr>
        <w:t xml:space="preserve">424032, </w:t>
      </w:r>
      <w:r>
        <w:t>Республика Марий Эл, г. Йошкар-Ола, пр. Гагарина, 16а</w:t>
      </w:r>
    </w:p>
    <w:p w:rsidR="00DA2479" w:rsidRDefault="00F05DC6">
      <w:pPr>
        <w:widowControl/>
        <w:ind w:firstLine="0"/>
      </w:pPr>
      <w:r>
        <w:rPr>
          <w:b/>
          <w:lang w:eastAsia="ru-RU"/>
        </w:rPr>
        <w:t xml:space="preserve">Контактное лицо: </w:t>
      </w:r>
      <w:r>
        <w:rPr>
          <w:lang w:eastAsia="ru-RU"/>
        </w:rPr>
        <w:t>Свердлова Анна.</w:t>
      </w:r>
      <w:r>
        <w:rPr>
          <w:color w:val="FF0000"/>
        </w:rPr>
        <w:t xml:space="preserve"> </w:t>
      </w:r>
      <w:r>
        <w:rPr>
          <w:color w:val="000000"/>
        </w:rPr>
        <w:t>Тел. (8362) 69-02-65</w:t>
      </w:r>
    </w:p>
    <w:p w:rsidR="00DA2479" w:rsidRDefault="00F05DC6">
      <w:pPr>
        <w:widowControl/>
        <w:ind w:firstLine="0"/>
      </w:pPr>
      <w:r>
        <w:rPr>
          <w:b/>
          <w:lang w:eastAsia="ru-RU"/>
        </w:rPr>
        <w:t xml:space="preserve">Сроки (периоды) поставки товара: </w:t>
      </w:r>
      <w:r>
        <w:t>в течение 45 (сорока пяти) рабочих дней с даты заключения контракта.</w:t>
      </w:r>
    </w:p>
    <w:p w:rsidR="00DA2479" w:rsidRDefault="00F05DC6">
      <w:pPr>
        <w:ind w:firstLine="0"/>
      </w:pPr>
      <w:r>
        <w:rPr>
          <w:b/>
          <w:lang w:eastAsia="ru-RU"/>
        </w:rPr>
        <w:t>Требования к поставке товара:</w:t>
      </w:r>
      <w:r>
        <w:rPr>
          <w:lang w:eastAsia="ru-RU"/>
        </w:rPr>
        <w:t xml:space="preserve"> Доставка товара и погрузо-разгрузочные работы производятся за счет и силами Поставщика в рабочее время Заказчика с 8-00 и до 17-00, обед с 12-00 до 13-00.</w:t>
      </w:r>
      <w:r>
        <w:rPr>
          <w:b/>
        </w:rPr>
        <w:t xml:space="preserve"> </w:t>
      </w:r>
    </w:p>
    <w:p w:rsidR="00DA2479" w:rsidRDefault="00DA2479">
      <w:pPr>
        <w:ind w:firstLine="567"/>
        <w:rPr>
          <w:sz w:val="16"/>
          <w:szCs w:val="16"/>
        </w:rPr>
      </w:pPr>
    </w:p>
    <w:p w:rsidR="00DA2479" w:rsidRDefault="00F05DC6">
      <w:pPr>
        <w:ind w:firstLine="567"/>
        <w:rPr>
          <w:rFonts w:eastAsia="Calibri"/>
          <w:color w:val="FF0000"/>
          <w:spacing w:val="-4"/>
          <w:lang w:eastAsia="ar-SA"/>
        </w:rPr>
      </w:pPr>
      <w:r>
        <w:rPr>
          <w:rFonts w:eastAsia="Calibri"/>
          <w:b/>
          <w:spacing w:val="-4"/>
          <w:lang w:eastAsia="ar-SA"/>
        </w:rPr>
        <w:t>1. Требования (характеристики) к поставляемым товарам:</w:t>
      </w:r>
    </w:p>
    <w:p w:rsidR="00DA2479" w:rsidRDefault="00DA2479">
      <w:pPr>
        <w:ind w:firstLine="567"/>
      </w:pPr>
    </w:p>
    <w:tbl>
      <w:tblPr>
        <w:tblW w:w="1513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139"/>
        <w:gridCol w:w="3165"/>
        <w:gridCol w:w="7996"/>
        <w:gridCol w:w="1365"/>
        <w:gridCol w:w="1470"/>
      </w:tblGrid>
      <w:tr w:rsidR="00DA2479" w:rsidTr="00A82E93">
        <w:trPr>
          <w:trHeight w:val="6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479" w:rsidRDefault="00F05DC6">
            <w:pPr>
              <w:ind w:firstLine="0"/>
              <w:jc w:val="center"/>
            </w:pPr>
            <w:r>
              <w:rPr>
                <w:b/>
                <w:bCs/>
              </w:rPr>
              <w:t xml:space="preserve">№ </w:t>
            </w:r>
          </w:p>
          <w:p w:rsidR="00DA2479" w:rsidRDefault="00F05DC6">
            <w:pPr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479" w:rsidRDefault="00F05DC6">
            <w:pPr>
              <w:ind w:firstLine="0"/>
              <w:jc w:val="center"/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479" w:rsidRDefault="00F05DC6">
            <w:pPr>
              <w:ind w:firstLine="0"/>
              <w:jc w:val="center"/>
            </w:pPr>
            <w:r>
              <w:rPr>
                <w:b/>
                <w:bCs/>
              </w:rPr>
              <w:t>Характеристики товара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479" w:rsidRDefault="00F05DC6">
            <w:pPr>
              <w:ind w:firstLine="0"/>
              <w:jc w:val="center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479" w:rsidRDefault="00F05DC6">
            <w:pPr>
              <w:ind w:firstLine="0"/>
              <w:jc w:val="center"/>
            </w:pPr>
            <w:r>
              <w:rPr>
                <w:b/>
                <w:bCs/>
              </w:rPr>
              <w:t>Кол-во</w:t>
            </w:r>
          </w:p>
        </w:tc>
      </w:tr>
      <w:tr w:rsidR="00DA2479" w:rsidTr="00A82E93">
        <w:trPr>
          <w:trHeight w:val="310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479" w:rsidRDefault="00F05DC6">
            <w:pPr>
              <w:tabs>
                <w:tab w:val="left" w:pos="563"/>
              </w:tabs>
              <w:ind w:right="227" w:firstLine="113"/>
              <w:jc w:val="center"/>
            </w:pPr>
            <w:r>
              <w:rPr>
                <w:rFonts w:eastAsia="Calibri"/>
              </w:rPr>
              <w:t>1</w:t>
            </w:r>
            <w:r w:rsidR="002D3BC4">
              <w:rPr>
                <w:rFonts w:eastAsia="Calibri"/>
              </w:rPr>
              <w:t>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479" w:rsidRDefault="00F05DC6">
            <w:pPr>
              <w:pStyle w:val="afa"/>
              <w:ind w:firstLine="0"/>
              <w:jc w:val="center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Музыкальный центр </w:t>
            </w:r>
          </w:p>
          <w:p w:rsidR="002D3BC4" w:rsidRDefault="002D3BC4">
            <w:pPr>
              <w:ind w:right="96" w:firstLine="0"/>
              <w:jc w:val="center"/>
              <w:rPr>
                <w:rFonts w:eastAsia="Tahoma" w:cs="Noto Sans Devanagari"/>
                <w:color w:val="000000"/>
                <w:kern w:val="2"/>
                <w:lang w:bidi="hi-IN"/>
              </w:rPr>
            </w:pPr>
          </w:p>
          <w:p w:rsidR="00DA2479" w:rsidRDefault="00F05DC6">
            <w:pPr>
              <w:ind w:right="96" w:firstLine="0"/>
              <w:jc w:val="center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ОКПД2 (КТРУ):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br/>
              <w:t>26.40.31.110-00000003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BC4" w:rsidRDefault="00F05DC6" w:rsidP="002D3BC4">
            <w:pPr>
              <w:pStyle w:val="afa"/>
              <w:ind w:left="254" w:firstLine="0"/>
              <w:jc w:val="left"/>
              <w:rPr>
                <w:rFonts w:eastAsia="Tahoma" w:cs="Noto Sans Devanagari"/>
                <w:color w:val="000000"/>
                <w:kern w:val="2"/>
                <w:lang w:bidi="hi-IN"/>
              </w:rPr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Вид</w:t>
            </w:r>
            <w:r w:rsidR="002D3BC4">
              <w:rPr>
                <w:rFonts w:eastAsia="Tahoma" w:cs="Noto Sans Devanagari"/>
                <w:color w:val="000000"/>
                <w:kern w:val="2"/>
                <w:lang w:bidi="hi-IN"/>
              </w:rPr>
              <w:t>: беспроводная колонка</w:t>
            </w:r>
            <w:r w:rsidR="006A17DD"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2D3BC4" w:rsidRPr="00A82E93" w:rsidRDefault="002D3BC4" w:rsidP="002D3BC4">
            <w:pPr>
              <w:pStyle w:val="afa"/>
              <w:ind w:left="254" w:firstLine="0"/>
              <w:jc w:val="left"/>
              <w:rPr>
                <w:rFonts w:eastAsia="Tahoma" w:cs="Noto Sans Devanagari"/>
                <w:color w:val="000000"/>
                <w:kern w:val="2"/>
                <w:lang w:bidi="hi-IN"/>
              </w:rPr>
            </w:pPr>
            <w:r w:rsidRPr="00A82E93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Модель: </w:t>
            </w:r>
            <w:r w:rsidR="00F05DC6" w:rsidRPr="00A82E93">
              <w:rPr>
                <w:rFonts w:eastAsia="Tahoma" w:cs="Noto Sans Devanagari"/>
                <w:color w:val="000000"/>
                <w:kern w:val="2"/>
                <w:lang w:bidi="hi-IN"/>
              </w:rPr>
              <w:t>SV</w:t>
            </w:r>
            <w:bookmarkStart w:id="0" w:name="_GoBack"/>
            <w:bookmarkEnd w:id="0"/>
            <w:r w:rsidR="00F05DC6" w:rsidRPr="00A82E93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EN PS-770 или </w:t>
            </w:r>
            <w:r w:rsidRPr="00A82E93">
              <w:rPr>
                <w:rFonts w:eastAsia="Tahoma" w:cs="Noto Sans Devanagari"/>
                <w:color w:val="000000"/>
                <w:kern w:val="2"/>
                <w:lang w:bidi="hi-IN"/>
              </w:rPr>
              <w:t>эквивалент</w:t>
            </w:r>
            <w:r w:rsidR="006A17DD" w:rsidRPr="00A82E93"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2D3BC4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С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уммарная 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звуковая 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мощность (</w:t>
            </w:r>
            <w:r w:rsidR="00F05DC6">
              <w:rPr>
                <w:rFonts w:eastAsia="Tahoma" w:cs="Noto Sans Devanagari"/>
                <w:color w:val="000000"/>
                <w:kern w:val="2"/>
                <w:lang w:val="en-US" w:bidi="hi-IN"/>
              </w:rPr>
              <w:t>RMS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): </w:t>
            </w:r>
            <w:r>
              <w:rPr>
                <w:rFonts w:eastAsia="Tahoma"/>
                <w:color w:val="000000"/>
                <w:kern w:val="2"/>
                <w:lang w:bidi="hi-IN"/>
              </w:rPr>
              <w:t xml:space="preserve">≥ 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100 Вт</w:t>
            </w:r>
            <w:r w:rsidR="006A17DD"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2D3BC4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П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итание: от аккумулятора, от электросети</w:t>
            </w:r>
            <w:r w:rsidR="006A17DD"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2D3BC4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Ц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вет</w:t>
            </w:r>
            <w:r w:rsidR="006A17DD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колонки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: черный</w:t>
            </w:r>
            <w:r w:rsidR="006A17DD"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У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правление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колонкой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: кнопочное, пульт ДУ, со смартфона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М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инимальная воспроизводимая частота: не менее 40 Гц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М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аксимальная воспроизводимая частота: не менее 22 000 Гц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Ф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ункции звука: синхронизация колонок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М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атериал корпуса: пластик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К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оличество динамиков: 2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шт.;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Д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иаметр ВЧ-динамика: не менее 38 мм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Д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иаметр НЧ-динамика: не менее 145 мм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Б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еспроводная связь: Bluetooth, NFC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В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ерсия Bluetooth: не менее 5.0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F05DC6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Наличие FM</w:t>
            </w:r>
            <w:r w:rsidR="006A17DD">
              <w:rPr>
                <w:rFonts w:eastAsia="Tahoma" w:cs="Noto Sans Devanagari"/>
                <w:color w:val="000000"/>
                <w:kern w:val="2"/>
                <w:lang w:bidi="hi-IN"/>
              </w:rPr>
              <w:t>-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радио: да</w:t>
            </w:r>
            <w:r w:rsidR="006A17DD"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2D3BC4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Р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азъемы и интерфейсы: USB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Type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-A (для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флешки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),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вход аудио, вход аудио -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mini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jack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3,5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mm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, вход микрофонный - 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mini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jack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6,5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mm</w:t>
            </w:r>
            <w:proofErr w:type="spellEnd"/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lastRenderedPageBreak/>
              <w:t>Р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азъем для зарядки: DC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К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оличество элементов питания: не менее 2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В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ремя автономной работы: не менее 18 ч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Е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мкость аккумулятора: не менее 4400 мА*ч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С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тепень защиты: влагозащищенный корпус, не менее IPX4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В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озможность зарядки устройств: да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Д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екоративное покрытие корпуса: пластик</w:t>
            </w: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О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собенности: световые эффекты, пульт ДУ,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cлот</w:t>
            </w:r>
            <w:proofErr w:type="spellEnd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</w:t>
            </w:r>
            <w:proofErr w:type="spellStart"/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MicroSD</w:t>
            </w:r>
            <w:proofErr w:type="spellEnd"/>
            <w:r>
              <w:rPr>
                <w:rFonts w:eastAsia="Tahoma" w:cs="Noto Sans Devanagari"/>
                <w:color w:val="000000"/>
                <w:kern w:val="2"/>
                <w:lang w:bidi="hi-IN"/>
              </w:rPr>
              <w:t>;</w:t>
            </w:r>
          </w:p>
          <w:p w:rsidR="00DA2479" w:rsidRDefault="006A17DD" w:rsidP="006A17DD">
            <w:pPr>
              <w:pStyle w:val="afa"/>
              <w:ind w:left="254" w:firstLine="0"/>
              <w:jc w:val="left"/>
            </w:pPr>
            <w:r>
              <w:rPr>
                <w:rFonts w:eastAsia="Tahoma" w:cs="Noto Sans Devanagari"/>
                <w:color w:val="000000"/>
                <w:kern w:val="2"/>
                <w:lang w:bidi="hi-IN"/>
              </w:rPr>
              <w:t>К</w:t>
            </w:r>
            <w:r w:rsidR="00F05DC6">
              <w:rPr>
                <w:rFonts w:eastAsia="Tahoma" w:cs="Noto Sans Devanagari"/>
                <w:color w:val="000000"/>
                <w:kern w:val="2"/>
                <w:lang w:bidi="hi-IN"/>
              </w:rPr>
              <w:t>омплектация: акустическая система, элементы питания типа ААА, сетевой адаптер питания, пульт ДУ, кабель-переходник, сигнальный кабель (3,5 мм</w:t>
            </w:r>
            <w:r w:rsidR="002D3BC4">
              <w:rPr>
                <w:rFonts w:eastAsia="Tahoma" w:cs="Noto Sans Devanagari"/>
                <w:color w:val="000000"/>
                <w:kern w:val="2"/>
                <w:lang w:bidi="hi-IN"/>
              </w:rPr>
              <w:t xml:space="preserve"> мини-</w:t>
            </w:r>
            <w:proofErr w:type="spellStart"/>
            <w:r w:rsidR="002D3BC4">
              <w:rPr>
                <w:rFonts w:eastAsia="Tahoma" w:cs="Noto Sans Devanagari"/>
                <w:color w:val="000000"/>
                <w:kern w:val="2"/>
                <w:lang w:bidi="hi-IN"/>
              </w:rPr>
              <w:t>джек</w:t>
            </w:r>
            <w:proofErr w:type="spellEnd"/>
            <w:r w:rsidR="002D3BC4">
              <w:rPr>
                <w:rFonts w:eastAsia="Tahoma" w:cs="Noto Sans Devanagari"/>
                <w:color w:val="000000"/>
                <w:kern w:val="2"/>
                <w:lang w:bidi="hi-IN"/>
              </w:rPr>
              <w:t>, к 3,5 мм мини-</w:t>
            </w:r>
            <w:proofErr w:type="spellStart"/>
            <w:r w:rsidR="002D3BC4">
              <w:rPr>
                <w:rFonts w:eastAsia="Tahoma" w:cs="Noto Sans Devanagari"/>
                <w:color w:val="000000"/>
                <w:kern w:val="2"/>
                <w:lang w:bidi="hi-IN"/>
              </w:rPr>
              <w:t>джек</w:t>
            </w:r>
            <w:proofErr w:type="spellEnd"/>
            <w:r w:rsidR="002D3BC4">
              <w:rPr>
                <w:rFonts w:eastAsia="Tahoma" w:cs="Noto Sans Devanagari"/>
                <w:color w:val="000000"/>
                <w:kern w:val="2"/>
                <w:lang w:bidi="hi-IN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479" w:rsidRDefault="00F05DC6">
            <w:pPr>
              <w:ind w:firstLine="0"/>
              <w:jc w:val="center"/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479" w:rsidRDefault="00F05DC6">
            <w:pPr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DA2479" w:rsidRDefault="00DA2479">
      <w:pPr>
        <w:widowControl/>
        <w:ind w:left="57" w:right="57" w:firstLine="0"/>
        <w:jc w:val="center"/>
        <w:rPr>
          <w:rFonts w:eastAsia="Calibri"/>
          <w:b/>
          <w:color w:val="FF0000"/>
          <w:spacing w:val="-4"/>
          <w:lang w:eastAsia="ar-SA"/>
        </w:rPr>
      </w:pPr>
    </w:p>
    <w:p w:rsidR="00DA2479" w:rsidRDefault="00DA2479">
      <w:pPr>
        <w:ind w:firstLine="567"/>
        <w:rPr>
          <w:rFonts w:eastAsia="Calibri"/>
          <w:color w:val="FF0000"/>
          <w:spacing w:val="-4"/>
          <w:lang w:eastAsia="ar-SA"/>
        </w:rPr>
      </w:pPr>
    </w:p>
    <w:p w:rsidR="00DA2479" w:rsidRDefault="00F05DC6">
      <w:pPr>
        <w:ind w:firstLine="709"/>
        <w:rPr>
          <w:b/>
        </w:rPr>
      </w:pPr>
      <w:r>
        <w:rPr>
          <w:b/>
        </w:rPr>
        <w:t>2. Условия поставки и приемки товара:</w:t>
      </w:r>
    </w:p>
    <w:p w:rsidR="00DA2479" w:rsidRDefault="00F05DC6">
      <w:pPr>
        <w:ind w:firstLine="709"/>
        <w:rPr>
          <w:rFonts w:eastAsia="Calibri"/>
        </w:rPr>
      </w:pPr>
      <w:r>
        <w:rPr>
          <w:rFonts w:eastAsia="Calibri"/>
        </w:rPr>
        <w:t xml:space="preserve">Товар должен быть новым, не бывшим в эксплуатации, не после капитального ремонта, не восстановленным, не выставочным экземпляром, работоспособным, обеспечивать предусмотренную изготовителем функциональность, а также должен быть свободным от прав третьих лиц.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модели. </w:t>
      </w:r>
    </w:p>
    <w:p w:rsidR="00DA2479" w:rsidRDefault="00F05DC6">
      <w:pPr>
        <w:ind w:firstLine="709"/>
        <w:rPr>
          <w:rFonts w:eastAsia="Calibri"/>
        </w:rPr>
      </w:pPr>
      <w:r>
        <w:rPr>
          <w:rFonts w:eastAsia="Calibri"/>
        </w:rPr>
        <w:t>Перед поставкой товара Поставщик обязан проверить работоспособность оборудования.</w:t>
      </w:r>
    </w:p>
    <w:p w:rsidR="00DA2479" w:rsidRDefault="00F05DC6">
      <w:pPr>
        <w:ind w:firstLine="709"/>
        <w:rPr>
          <w:rFonts w:eastAsia="Calibri"/>
        </w:rPr>
      </w:pPr>
      <w:r>
        <w:rPr>
          <w:rFonts w:eastAsia="Calibri"/>
        </w:rPr>
        <w:t>Поставщик обязуется поставить товар в соответствии Постановлением Правительства РФ от 31 декабря 2009 г.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:rsidR="00DA2479" w:rsidRDefault="00F05DC6">
      <w:pPr>
        <w:ind w:firstLine="709"/>
        <w:rPr>
          <w:rFonts w:eastAsia="Calibri"/>
        </w:rPr>
      </w:pPr>
      <w:r>
        <w:rPr>
          <w:rFonts w:eastAsia="Calibri"/>
        </w:rPr>
        <w:t>Поставщик обязан в случае, предусмотренном действующим законодательством РФ и контрактом, вывезти за свой счет и своими силами товар, от принятия которого отказался Заказчик.</w:t>
      </w:r>
    </w:p>
    <w:p w:rsidR="00DA2479" w:rsidRDefault="00F05DC6">
      <w:pPr>
        <w:ind w:firstLine="709"/>
      </w:pPr>
      <w:r>
        <w:t>Нести риск случайной гибели или случайного повреждения товара до его приемки Заказчиком.</w:t>
      </w:r>
    </w:p>
    <w:p w:rsidR="00DA2479" w:rsidRDefault="00F05DC6">
      <w:pPr>
        <w:ind w:firstLine="709"/>
      </w:pPr>
      <w:r>
        <w:t>Поставщик гарантирует соответствие поставляемого товара техническим условиям и характеристикам, указанным в паспорте завода-изготовителя при его использовании и хранении и несет все расходы по замене дефектного товара, выявленного Заказчиком в течение гарантийного срока, если дефект не зависит от неправильной эксплуатации.</w:t>
      </w:r>
    </w:p>
    <w:p w:rsidR="00DA2479" w:rsidRDefault="00F05DC6">
      <w:pPr>
        <w:ind w:firstLine="709"/>
      </w:pPr>
      <w:r>
        <w:t xml:space="preserve"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 </w:t>
      </w:r>
    </w:p>
    <w:p w:rsidR="00DA2479" w:rsidRDefault="00F05DC6">
      <w:pPr>
        <w:ind w:firstLine="709"/>
      </w:pPr>
      <w:r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Поставщиком.</w:t>
      </w:r>
    </w:p>
    <w:p w:rsidR="00DA2479" w:rsidRDefault="00F05DC6">
      <w:pPr>
        <w:ind w:firstLine="709"/>
      </w:pPr>
      <w:r>
        <w:t xml:space="preserve">Поставщик осуществляет разгрузку товара своими силами, с 08.00 до 17.00, обед с 12.00 до 13.00 (местного времени), кроме выходных и </w:t>
      </w:r>
      <w:r>
        <w:lastRenderedPageBreak/>
        <w:t>праздничных дней.</w:t>
      </w:r>
    </w:p>
    <w:p w:rsidR="00DA2479" w:rsidRDefault="00F05DC6">
      <w:pPr>
        <w:ind w:firstLine="709"/>
      </w:pPr>
      <w:r>
        <w:t>Разгрузка и распаковка товара производятся силами и за счет средств Поставщика на склад Заказчика.</w:t>
      </w:r>
    </w:p>
    <w:p w:rsidR="00DA2479" w:rsidRDefault="00F05DC6">
      <w:pPr>
        <w:ind w:firstLine="709"/>
      </w:pPr>
      <w:r>
        <w:t>Транспортировать товар в крытых транспортных средствах в соответствии с правилами перевозки грузов, действующих на транспорте данного вида.</w:t>
      </w:r>
    </w:p>
    <w:p w:rsidR="00DA2479" w:rsidRDefault="00F05DC6">
      <w:pPr>
        <w:ind w:firstLine="709"/>
      </w:pPr>
      <w:r>
        <w:t>Доставить товар своим транспортом и за свой счет, а также представить документы, относящиеся к товару, подтверждающие качество товара, оформленные в соответствии с законодательством Российской Федерации. В случае если товары, поставляемые в рамках Контракта, произведены за пределами Российской Федерации, Поставщик обязуется документально подтвердить Заказчику, что товары выпущены в свободное обращение на территории Российской Федерации.</w:t>
      </w:r>
    </w:p>
    <w:p w:rsidR="00DA2479" w:rsidRDefault="00DA2479">
      <w:pPr>
        <w:ind w:firstLine="709"/>
        <w:rPr>
          <w:b/>
        </w:rPr>
      </w:pPr>
    </w:p>
    <w:p w:rsidR="00DA2479" w:rsidRDefault="00F05DC6">
      <w:pPr>
        <w:ind w:firstLine="709"/>
        <w:rPr>
          <w:b/>
        </w:rPr>
      </w:pPr>
      <w:r>
        <w:rPr>
          <w:b/>
        </w:rPr>
        <w:t xml:space="preserve">3.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Товара. Требования к предоставлению гарантии производителя и (или) Поставщика Товара и к сроку действия гарантии: </w:t>
      </w:r>
    </w:p>
    <w:p w:rsidR="00DA2479" w:rsidRDefault="00F05DC6">
      <w:pPr>
        <w:ind w:firstLine="709"/>
      </w:pPr>
      <w:bookmarkStart w:id="1" w:name="_Hlk160525738"/>
      <w:r>
        <w:t>Предоставлять гарантию качества на весь объем поставляемого товара.</w:t>
      </w:r>
      <w:bookmarkEnd w:id="1"/>
    </w:p>
    <w:p w:rsidR="00DA2479" w:rsidRDefault="00F05DC6">
      <w:pPr>
        <w:ind w:firstLine="709"/>
      </w:pPr>
      <w:r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DA2479" w:rsidRDefault="00F05DC6">
      <w:pPr>
        <w:ind w:firstLine="709"/>
      </w:pPr>
      <w:r>
        <w:t>Безвозмездно исправить по требованию Заказчика все выявленные недостатки, если в процессе поставки товаров Поставщик допустил отступление от условий контракта, ухудшившее качество товара.</w:t>
      </w:r>
    </w:p>
    <w:p w:rsidR="00DA2479" w:rsidRDefault="00F05DC6">
      <w:pPr>
        <w:ind w:firstLine="709"/>
      </w:pPr>
      <w:bookmarkStart w:id="2" w:name="_Hlk160525636"/>
      <w:r>
        <w:t>В случае обнаружения некачественного товара, своими силами и за свой счет произвести замену в течение 14 (четырнадцати) календарных дней с момента получения письменного уведомления от Заказчика</w:t>
      </w:r>
      <w:bookmarkEnd w:id="2"/>
      <w:r>
        <w:t>.</w:t>
      </w:r>
    </w:p>
    <w:p w:rsidR="00DA2479" w:rsidRDefault="00F05DC6">
      <w:pPr>
        <w:ind w:firstLine="709"/>
      </w:pPr>
      <w:r>
        <w:t>Гарантийный срок товара должен быть не менее 12 (Двенадцати) месяцев и исчисляется с момента подписания Сторонами документа о приемке, но не менее срока гарантии, установленного производителем. Гарантия качества товара должна распространяться на все составляющие и комплектующие его части.</w:t>
      </w:r>
    </w:p>
    <w:p w:rsidR="00DA2479" w:rsidRDefault="00F05DC6">
      <w:pPr>
        <w:ind w:firstLine="709"/>
      </w:pPr>
      <w: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:rsidR="00DA2479" w:rsidRDefault="00F05DC6">
      <w:pPr>
        <w:ind w:firstLine="709"/>
      </w:pPr>
      <w:r>
        <w:t>Безвозмездно осуществлять гарантийные обязательства в отношении товара (замена, ремонт товара) в течение гарантийного срока. Осуществить гарантийные обязательства по месту нахождения Поставщика, доставку товара к месту гарантийного обслуживания (замены) и обратно осуществить за свой счет. Расходы, связанные с исполнением гарантийных обязательств, несет Поставщик.</w:t>
      </w:r>
    </w:p>
    <w:p w:rsidR="00DA2479" w:rsidRDefault="00F05DC6">
      <w:pPr>
        <w:ind w:firstLine="709"/>
      </w:pPr>
      <w:r>
        <w:t>При обнаружении в пределах гарантийного срока в поставленном товаре дефектов, устранение которых требует замены, Поставщик обязан в срок не более 14 (четырнадцати) календарных дней с момента извещения Заказчиком Поставщика об обнаружении в поставленном товаре дефектов, по требованию Заказчика за свой счет и своими силами заменить товар. При этом Поставщик не вправе ссылаться на факт принятия товара Заказчиком в период действия контракта. Для получения акта, фиксирующего дефекты, согласования порядка и сроков их устранения Поставщик обязан направить своего представителя не позднее 3-х дней со дня получения извещения Заказчика. В случае отсутствия представителя Поставщика в указанные сроки, акт направляется посредством электронной почты.</w:t>
      </w:r>
    </w:p>
    <w:p w:rsidR="00DA2479" w:rsidRDefault="00F05DC6">
      <w:pPr>
        <w:ind w:firstLine="709"/>
      </w:pPr>
      <w:r>
        <w:t>В случае замены или ремонта какой-либо части товара, Поставщик предоставляет гарантию. Срок гарантии при этом устанавливается Поставщиком или производителем детали товара не менее 12 (Двенадцати) месяцев.</w:t>
      </w:r>
    </w:p>
    <w:p w:rsidR="00DA2479" w:rsidRDefault="00F05DC6">
      <w:pPr>
        <w:ind w:firstLine="709"/>
      </w:pPr>
      <w:bookmarkStart w:id="3" w:name="_Hlk160525517"/>
      <w:r>
        <w:lastRenderedPageBreak/>
        <w:t>Товар при обычных условиях его использования, хранения, транспортировки и утилизации должен быть безопасен для жизни, здоровья потребителя, окружающей среды, а также не должен причинять вред имуществу потребителя.</w:t>
      </w:r>
      <w:bookmarkEnd w:id="3"/>
    </w:p>
    <w:p w:rsidR="00DA2479" w:rsidRDefault="00F05DC6">
      <w:pPr>
        <w:ind w:firstLine="709"/>
      </w:pPr>
      <w:r>
        <w:t>Поставщик одновременно при поставке товара должен передать Заказчику документы, подтверждающие качество и безопасность товара и его комплектующих:</w:t>
      </w:r>
    </w:p>
    <w:p w:rsidR="00DA2479" w:rsidRDefault="00F05DC6">
      <w:pPr>
        <w:ind w:firstLine="709"/>
      </w:pPr>
      <w:r>
        <w:t>•</w:t>
      </w:r>
      <w:r>
        <w:tab/>
        <w:t>технический паспорт (паспорт производителя) на товар на русском языке,</w:t>
      </w:r>
    </w:p>
    <w:p w:rsidR="00DA2479" w:rsidRDefault="00F05DC6">
      <w:pPr>
        <w:ind w:firstLine="709"/>
      </w:pPr>
      <w:r>
        <w:t>•</w:t>
      </w:r>
      <w:r>
        <w:tab/>
        <w:t>инструкция пользователя на русском языке,</w:t>
      </w:r>
    </w:p>
    <w:p w:rsidR="00DA2479" w:rsidRDefault="00F05DC6">
      <w:pPr>
        <w:ind w:firstLine="709"/>
      </w:pPr>
      <w:r>
        <w:t>•</w:t>
      </w:r>
      <w:r>
        <w:tab/>
        <w:t>документы, подтверждающие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паспорте),</w:t>
      </w:r>
    </w:p>
    <w:p w:rsidR="00DA2479" w:rsidRDefault="00F05DC6">
      <w:pPr>
        <w:ind w:firstLine="709"/>
        <w:rPr>
          <w:rFonts w:eastAsia="Calibri"/>
        </w:rPr>
      </w:pPr>
      <w:r>
        <w:t>•</w:t>
      </w:r>
      <w:r>
        <w:tab/>
        <w:t>руководство по эксплуатации.</w:t>
      </w:r>
    </w:p>
    <w:sectPr w:rsidR="00DA2479">
      <w:pgSz w:w="16838" w:h="11906" w:orient="landscape"/>
      <w:pgMar w:top="1134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79"/>
    <w:rsid w:val="002D3BC4"/>
    <w:rsid w:val="006A17DD"/>
    <w:rsid w:val="00A82E93"/>
    <w:rsid w:val="00DA2479"/>
    <w:rsid w:val="00F0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87BF0-A3A8-4E45-AEBE-AB571E50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ED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A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6028"/>
    <w:pPr>
      <w:widowControl/>
      <w:suppressAutoHyphens w:val="0"/>
      <w:spacing w:beforeAutospacing="1" w:afterAutospacing="1"/>
      <w:ind w:firstLine="0"/>
      <w:jc w:val="left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03D26"/>
    <w:pPr>
      <w:keepNext/>
      <w:widowControl/>
      <w:spacing w:before="240" w:after="60" w:line="276" w:lineRule="auto"/>
      <w:ind w:firstLine="0"/>
      <w:jc w:val="left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E1C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2E1C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qFormat/>
    <w:rsid w:val="00C674D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C674D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ма примечания Знак"/>
    <w:basedOn w:val="a6"/>
    <w:uiPriority w:val="99"/>
    <w:semiHidden/>
    <w:qFormat/>
    <w:rsid w:val="00C674D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C674D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217F1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Основной текст с отступом Знак1"/>
    <w:link w:val="aa"/>
    <w:qFormat/>
    <w:rsid w:val="00217F15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896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2">
    <w:name w:val="Гиперссылка1"/>
    <w:basedOn w:val="a0"/>
    <w:uiPriority w:val="99"/>
    <w:semiHidden/>
    <w:unhideWhenUsed/>
    <w:qFormat/>
    <w:rsid w:val="008960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BA3B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qFormat/>
    <w:rsid w:val="00D03D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lot-item-window-infolabel">
    <w:name w:val="lot-item-window-info__label"/>
    <w:basedOn w:val="a0"/>
    <w:qFormat/>
    <w:rsid w:val="00A2411B"/>
  </w:style>
  <w:style w:type="character" w:customStyle="1" w:styleId="lot-item-window-infovalue">
    <w:name w:val="lot-item-window-info__value"/>
    <w:basedOn w:val="a0"/>
    <w:qFormat/>
    <w:rsid w:val="00A2411B"/>
  </w:style>
  <w:style w:type="character" w:styleId="ab">
    <w:name w:val="Hyperlink"/>
    <w:basedOn w:val="a0"/>
    <w:uiPriority w:val="99"/>
    <w:semiHidden/>
    <w:unhideWhenUsed/>
    <w:rsid w:val="00A2411B"/>
    <w:rPr>
      <w:color w:val="0000FF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List Paragraph"/>
    <w:basedOn w:val="a"/>
    <w:uiPriority w:val="34"/>
    <w:qFormat/>
    <w:rsid w:val="002E1C0C"/>
    <w:pPr>
      <w:ind w:left="720"/>
      <w:contextualSpacing/>
    </w:p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2E1C0C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2E1C0C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EA3CC2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annotation text"/>
    <w:basedOn w:val="a"/>
    <w:uiPriority w:val="99"/>
    <w:semiHidden/>
    <w:unhideWhenUsed/>
    <w:qFormat/>
    <w:rsid w:val="00C674D1"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C674D1"/>
    <w:rPr>
      <w:b/>
      <w:bCs/>
    </w:rPr>
  </w:style>
  <w:style w:type="paragraph" w:styleId="af9">
    <w:name w:val="Balloon Text"/>
    <w:basedOn w:val="a"/>
    <w:uiPriority w:val="99"/>
    <w:semiHidden/>
    <w:unhideWhenUsed/>
    <w:qFormat/>
    <w:rsid w:val="00C674D1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11"/>
    <w:rsid w:val="00217F15"/>
    <w:pPr>
      <w:widowControl/>
      <w:spacing w:after="120"/>
      <w:ind w:left="283" w:firstLine="0"/>
      <w:jc w:val="left"/>
    </w:pPr>
    <w:rPr>
      <w:b/>
      <w:bCs/>
      <w:sz w:val="28"/>
      <w:szCs w:val="28"/>
      <w:lang w:val="x-none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3C97-1FE4-41E1-9FE0-72978B44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</dc:creator>
  <dc:description/>
  <cp:lastModifiedBy>user4100</cp:lastModifiedBy>
  <cp:revision>32</cp:revision>
  <cp:lastPrinted>2026-05-14T13:57:00Z</cp:lastPrinted>
  <dcterms:created xsi:type="dcterms:W3CDTF">2024-10-28T06:41:00Z</dcterms:created>
  <dcterms:modified xsi:type="dcterms:W3CDTF">2026-05-26T13:37:00Z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