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6"/>
        <w:rPr>
          <w:bCs/>
        </w:rPr>
      </w:pPr>
      <w:r>
        <w:rPr>
          <w:bCs/>
        </w:rPr>
        <w:t xml:space="preserve"> Государственный контракт № </w:t>
      </w:r>
      <w:r>
        <w:rPr>
          <w:bCs/>
        </w:rPr>
        <w:t xml:space="preserve">100201966126100126</w:t>
      </w:r>
      <w:r>
        <w:rPr>
          <w:bCs/>
        </w:rPr>
      </w:r>
      <w:r>
        <w:rPr>
          <w:bCs/>
        </w:rPr>
      </w:r>
    </w:p>
    <w:p>
      <w:pPr>
        <w:pStyle w:val="816"/>
      </w:pPr>
      <w:r>
        <w:t xml:space="preserve">на поставку IP -телефонных аппаратов</w:t>
      </w:r>
      <w:r/>
    </w:p>
    <w:p>
      <w:pPr>
        <w:pStyle w:val="816"/>
      </w:pPr>
      <w:r/>
      <w:r/>
    </w:p>
    <w:tbl>
      <w:tblPr>
        <w:tblStyle w:val="98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г. Москва</w:t>
            </w:r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«___» ________ 2026 г.</w:t>
            </w:r>
            <w:r/>
          </w:p>
        </w:tc>
      </w:tr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</w:tbl>
    <w:p>
      <w:r>
        <w:t xml:space="preserve">Министерство энергетики Российской Федерации (Минэнерго России), именуемое </w:t>
      </w:r>
      <w:r>
        <w:br/>
        <w:t xml:space="preserve">в дальнейшем «Заказчик», в лице директора Департамента цифровой трансформации Мицкевича Феликса Владимировича</w:t>
      </w:r>
      <w:r>
        <w:t xml:space="preserve">, действующего на основании приказа Минэнерго России от </w:t>
        <w:br/>
        <w:t xml:space="preserve">24.11.2021 № 1286 </w:t>
      </w:r>
      <w:r>
        <w:rPr>
          <w:lang w:eastAsia="en-US"/>
        </w:rPr>
        <w:t xml:space="preserve">и доверенности от 03.03.2025 № СЦ-3295/14</w:t>
      </w:r>
      <w:r>
        <w:t xml:space="preserve">, с одной стороны, </w:t>
      </w:r>
      <w:r>
        <w:br/>
        <w:t xml:space="preserve">и </w:t>
      </w:r>
      <w:r>
        <w:rPr>
          <w:sz w:val="24"/>
          <w:szCs w:val="26"/>
        </w:rPr>
        <w:t xml:space="preserve">публичное акционерное общество «СОФТЛАЙН» (ПАО «СОФТЛАЙН»)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именуемое </w:t>
        <w:br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дальнейшем «Поставщик», в лице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лице генер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ального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директора Лаврова Владимира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действующего на основании </w:t>
      </w:r>
      <w:r>
        <w:rPr>
          <w:sz w:val="24"/>
          <w:szCs w:val="26"/>
          <w:highlight w:val="white"/>
        </w:rPr>
        <w:t xml:space="preserve">Устава</w:t>
      </w:r>
      <w:r>
        <w:t xml:space="preserve">, с другой стороны, в дальнейшем именуемые «Стороны», а по отдельности – «Сторона», в соответствии</w:t>
      </w:r>
      <w:r>
        <w:t xml:space="preserve">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br/>
        <w:t xml:space="preserve">о контрактной системе) заключили настоящий государственный контракт (далее – Контракт)</w:t>
      </w:r>
      <w:r>
        <w:br/>
        <w:t xml:space="preserve">о нижеследующем:</w:t>
      </w:r>
      <w:r/>
    </w:p>
    <w:p>
      <w:pPr>
        <w:pStyle w:val="817"/>
        <w:ind w:left="357" w:hanging="357"/>
        <w:spacing w:before="120" w:after="120"/>
      </w:pPr>
      <w:r>
        <w:t xml:space="preserve">Предмет Контракта</w:t>
      </w:r>
      <w:r/>
    </w:p>
    <w:p>
      <w:pPr>
        <w:numPr>
          <w:ilvl w:val="0"/>
          <w:numId w:val="13"/>
        </w:numPr>
        <w:contextualSpacing/>
        <w:ind w:left="0" w:right="19" w:firstLine="567"/>
        <w:tabs>
          <w:tab w:val="left" w:pos="993" w:leader="none"/>
        </w:tabs>
        <w:outlineLvl w:val="9"/>
      </w:pPr>
      <w:r>
        <w:t xml:space="preserve">Поставщик обязуется</w:t>
      </w:r>
      <w:r>
        <w:t xml:space="preserve"> поставить </w:t>
      </w:r>
      <w:r>
        <w:rPr>
          <w:sz w:val="24"/>
          <w:szCs w:val="24"/>
        </w:rPr>
        <w:t xml:space="preserve">IP-телефонные аппараты</w:t>
      </w:r>
      <w:r>
        <w:rPr>
          <w:sz w:val="24"/>
          <w:szCs w:val="24"/>
        </w:rPr>
        <w:t xml:space="preserve"> </w:t>
      </w:r>
      <w:r>
        <w:t xml:space="preserve">(далее – Товар), </w:t>
        <w:br/>
        <w:t xml:space="preserve">а Заказчик принять и оплатить Товар.</w:t>
      </w:r>
      <w:r>
        <w:rPr>
          <w:sz w:val="24"/>
          <w:szCs w:val="24"/>
        </w:rPr>
      </w:r>
      <w:r/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Наименование, характеристики, стоимость и количество Товара указаны </w:t>
      </w:r>
      <w:r>
        <w:rPr>
          <w:lang w:eastAsia="ar-SA"/>
        </w:rPr>
        <w:br/>
        <w:t xml:space="preserve">в Техническом задании (</w:t>
      </w:r>
      <w:bookmarkStart w:id="0" w:name="_Hlk110243451"/>
      <w:r>
        <w:rPr>
          <w:lang w:eastAsia="ar-SA"/>
        </w:rPr>
        <w:t xml:space="preserve">Приложение № 1 к настоящему Контракту</w:t>
      </w:r>
      <w:bookmarkEnd w:id="0"/>
      <w:r>
        <w:rPr>
          <w:lang w:eastAsia="ar-SA"/>
        </w:rPr>
        <w:t xml:space="preserve">) и в Спецификации (Приложение № 2 к настоящему Контракту), которые являются неотъемлемой частью настоящего Контракта.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ИКЗ: </w:t>
      </w:r>
      <w:r>
        <w:rPr>
          <w:sz w:val="24"/>
          <w:szCs w:val="24"/>
        </w:rPr>
        <w:t xml:space="preserve">261770584752977050100100360000000244</w:t>
      </w:r>
      <w:r>
        <w:rPr>
          <w:sz w:val="24"/>
          <w:szCs w:val="24"/>
        </w:rPr>
        <w:t xml:space="preserve">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КМИ: </w:t>
      </w:r>
      <w:r>
        <w:rPr>
          <w:sz w:val="24"/>
          <w:szCs w:val="24"/>
        </w:rPr>
        <w:t xml:space="preserve"> 022.00100022.</w:t>
      </w:r>
      <w:r>
        <w:rPr>
          <w:sz w:val="24"/>
          <w:szCs w:val="24"/>
        </w:rPr>
        <w:t xml:space="preserve">22.Э.</w:t>
      </w:r>
      <w:r>
        <w:rPr>
          <w:sz w:val="24"/>
          <w:szCs w:val="24"/>
        </w:rPr>
        <w:t xml:space="preserve">50023.26</w:t>
      </w:r>
      <w:r>
        <w:rPr>
          <w:lang w:eastAsia="ar-SA"/>
        </w:rPr>
        <w:t xml:space="preserve">  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t xml:space="preserve">Заказчиком установлено требование об отсутствии в предусмотренном Законом </w:t>
      </w:r>
      <w:r>
        <w:br/>
        <w:t xml:space="preserve">о контрактной системе реестре недобросовестных поставщиков (подрядчиков, исполнителей) информации о Поставщике, в том числе о лицах, информация о которых содержится в заявке </w:t>
      </w:r>
      <w:r>
        <w:br/>
        <w:t xml:space="preserve">на участие в закупке в соответствии с подпунктом «в» пункта 1 части 1 статьи 43 </w:t>
      </w:r>
      <w:r>
        <w:t xml:space="preserve">Закон</w:t>
      </w:r>
      <w:r>
        <w:br/>
        <w:t xml:space="preserve">о контрактной системе</w:t>
      </w:r>
      <w:r>
        <w:t xml:space="preserve">, включенной в такой реестр в связи с отказом от исполнения</w:t>
      </w:r>
      <w:r>
        <w:t xml:space="preserve"> контракта</w:t>
      </w:r>
      <w:r>
        <w:t xml:space="preserve"> </w:t>
      </w:r>
      <w:r>
        <w:t xml:space="preserve">по причине введения </w:t>
      </w:r>
      <w:r>
        <w:t xml:space="preserve">в отношении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</w:t>
      </w:r>
      <w:r>
        <w:t xml:space="preserve">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lang w:eastAsia="ar-SA"/>
        </w:rPr>
      </w:r>
      <w:r>
        <w:rPr>
          <w:lang w:eastAsia="ar-SA"/>
        </w:rPr>
      </w:r>
    </w:p>
    <w:p>
      <w:pPr>
        <w:pStyle w:val="817"/>
        <w:ind w:left="357" w:hanging="357"/>
        <w:spacing w:before="120" w:after="120"/>
      </w:pPr>
      <w:r>
        <w:t xml:space="preserve">Цена Контракта и порядок оплаты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Цена Контракта составляет</w:t>
      </w:r>
      <w:r>
        <w:t xml:space="preserve"> </w:t>
      </w:r>
      <w:r>
        <w:t xml:space="preserve">599 700</w:t>
      </w:r>
      <w:r>
        <w:t xml:space="preserve"> (Пятьсот девяносто девять тысяч семьсот) </w:t>
      </w:r>
      <w:r>
        <w:t xml:space="preserve">рублей 00 копеек, </w:t>
      </w:r>
      <w:r>
        <w:t xml:space="preserve">в том числе НДС 22% </w:t>
      </w:r>
      <w:r>
        <w:t xml:space="preserve">108 142</w:t>
      </w:r>
      <w:r>
        <w:t xml:space="preserve"> (Сто восемь тысяч сто сорок два) рубля 62 копейки и включает </w:t>
      </w:r>
      <w:r>
        <w:t xml:space="preserve">в себя расходы на уплату налогов, пошлин и иных обязательных платежей, в том числе, расходов </w:t>
      </w:r>
      <w:r>
        <w:t xml:space="preserve">за доставку, подъем и разгрузку Товара.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Цена Контракта является твёрдой и определяется на весь срок исполнения Контракта </w:t>
      </w:r>
      <w:r>
        <w:br/>
        <w:t xml:space="preserve">и не подлежит изменению.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Все расчеты за поставленный Товар осуществляются в рублях и производятся путем безналичного перечисления денежных средств на расчетный счет Поставщика. 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Оплата по настоящему Контракту осуществляется за фактически поставленный Товар </w:t>
      </w:r>
      <w:r>
        <w:br/>
        <w:t xml:space="preserve">на основании Акта приема-передачи товара (Приложение № 3 к настоящему Контракту) </w:t>
      </w:r>
      <w:r>
        <w:br/>
        <w:t xml:space="preserve">с приложением счета, счета фактуры и товарной  накладной или универсального передаточного документа в течение 7 (семи) рабочих дней после подписания Заказчиком Акта приема-передачи товара (Приложение № 3 к </w:t>
      </w:r>
      <w:r>
        <w:rPr>
          <w:lang w:eastAsia="ar-SA"/>
        </w:rPr>
        <w:t xml:space="preserve">настоящему</w:t>
      </w:r>
      <w:r>
        <w:t xml:space="preserve"> Контракту). 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Финансирование по настоящему Контракту осуществляется за счет средств федерального бюджета.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В случае неисполнения Поставщиком требований об уплате неустоек (пеней), предъявляемых Заказчиком, Заказчик производит оплату по Контракту за вычетом соответствующего размера неустойки (пени). Исполнение обязательства Поставщиком </w:t>
      </w:r>
      <w:r>
        <w:br/>
        <w:t xml:space="preserve">по перечислению неустойки (пени) в доход бюджетной системы Российской Федерации </w:t>
      </w:r>
      <w:r>
        <w:br/>
        <w:t xml:space="preserve">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(пени) </w:t>
      </w:r>
      <w:r>
        <w:br/>
        <w:t xml:space="preserve">в доход соответствующего бюджета.</w:t>
      </w:r>
      <w:r/>
    </w:p>
    <w:p>
      <w:pPr>
        <w:pStyle w:val="817"/>
        <w:ind w:left="357" w:hanging="357"/>
        <w:spacing w:before="120" w:after="120"/>
      </w:pPr>
      <w:r>
        <w:t xml:space="preserve">Условия поставки Товара</w:t>
      </w:r>
      <w:r/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 w:themeColor="text1"/>
          <w:highlight w:val="white"/>
        </w:rPr>
        <w:outlineLvl w:val="9"/>
      </w:pPr>
      <w:r>
        <w:rPr>
          <w:color w:val="000000" w:themeColor="text1"/>
          <w:highlight w:val="white"/>
          <w:lang w:eastAsia="ar-SA"/>
        </w:rPr>
        <w:t xml:space="preserve">Место поставки Товара – административное здание Заказчика (далее – офис), расположенное по </w:t>
      </w:r>
      <w:r>
        <w:rPr>
          <w:color w:val="000000" w:themeColor="text1"/>
          <w:highlight w:val="white"/>
          <w:lang w:eastAsia="ar-SA"/>
        </w:rPr>
        <w:t xml:space="preserve">адресу: г. Москва, ул. Щепкина, д. 42, </w:t>
      </w:r>
      <w:r>
        <w:rPr>
          <w:color w:val="000000" w:themeColor="text1"/>
          <w:highlight w:val="white"/>
        </w:rPr>
        <w:t xml:space="preserve">стр. 1, кабинет 1808.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 w:themeColor="text1"/>
          <w:highlight w:val="white"/>
        </w:rPr>
        <w:outlineLvl w:val="9"/>
      </w:pPr>
      <w:r>
        <w:rPr>
          <w:color w:val="000000" w:themeColor="text1"/>
          <w:highlight w:val="white"/>
          <w:lang w:eastAsia="ar-SA"/>
        </w:rPr>
        <w:t xml:space="preserve">Срок поставки Товара: в течение 15</w:t>
      </w:r>
      <w:r>
        <w:rPr>
          <w:color w:val="000000" w:themeColor="text1"/>
          <w:highlight w:val="white"/>
          <w:lang w:eastAsia="ar-SA"/>
        </w:rPr>
        <w:t xml:space="preserve"> (пятнадцати</w:t>
      </w:r>
      <w:r>
        <w:rPr>
          <w:color w:val="000000" w:themeColor="text1"/>
          <w:highlight w:val="white"/>
          <w:lang w:eastAsia="ar-SA"/>
        </w:rPr>
        <w:t xml:space="preserve">) рабочих дней </w:t>
      </w:r>
      <w:r>
        <w:rPr>
          <w:color w:val="000000" w:themeColor="text1"/>
          <w:highlight w:val="white"/>
          <w:lang w:eastAsia="ar-SA"/>
        </w:rPr>
        <w:t xml:space="preserve">с даты заключения</w:t>
      </w:r>
      <w:r>
        <w:rPr>
          <w:color w:val="000000" w:themeColor="text1"/>
          <w:highlight w:val="white"/>
          <w:lang w:eastAsia="ar-SA"/>
        </w:rPr>
        <w:t xml:space="preserve"> Контракта.</w:t>
      </w:r>
      <w:r>
        <w:rPr>
          <w:color w:val="000000" w:themeColor="text1"/>
          <w:highlight w:val="white"/>
          <w:lang w:eastAsia="ar-SA"/>
        </w:rPr>
        <w:t xml:space="preserve">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 w:themeColor="text1"/>
          <w:highlight w:val="white"/>
        </w:rPr>
        <w:outlineLvl w:val="9"/>
      </w:pPr>
      <w:r>
        <w:rPr>
          <w:color w:val="000000" w:themeColor="text1"/>
          <w:highlight w:val="white"/>
          <w:lang w:eastAsia="ar-SA"/>
        </w:rPr>
        <w:t xml:space="preserve">Поставщик осуществляет в офис Заказчика поставку, разгрузку и подъём Товара своими силами и за свой счет.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Товар должен быть упакован и замаркирован в соответствии с действующими стандартами. Упаковка (тара) должна гарантировать целостность и сохранность Товара </w:t>
      </w:r>
      <w:r>
        <w:rPr>
          <w:color w:val="000000"/>
          <w:lang w:eastAsia="ar-SA"/>
        </w:rPr>
        <w:br/>
        <w:t xml:space="preserve">при перевозке и хранении. Упаковка (тара) не должна содержать вскрытие, вмятин, порезов </w:t>
      </w:r>
      <w:r>
        <w:rPr>
          <w:color w:val="000000"/>
          <w:lang w:eastAsia="ar-SA"/>
        </w:rPr>
        <w:br/>
        <w:t xml:space="preserve">и обеспечивать сохранность при транспортировке и хранении. Упаковка (тара) Товара </w:t>
      </w:r>
      <w:r>
        <w:rPr>
          <w:color w:val="000000"/>
          <w:lang w:eastAsia="ar-SA"/>
        </w:rPr>
        <w:br/>
        <w:t xml:space="preserve">и </w:t>
      </w:r>
      <w:r>
        <w:rPr>
          <w:color w:val="000000"/>
          <w:lang w:eastAsia="ar-SA"/>
        </w:rPr>
        <w:t xml:space="preserve">комплектующих</w:t>
      </w:r>
      <w:r>
        <w:rPr>
          <w:color w:val="000000"/>
          <w:lang w:eastAsia="ar-SA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</w:t>
      </w:r>
      <w:r>
        <w:rPr>
          <w:color w:val="000000"/>
          <w:lang w:eastAsia="ar-SA"/>
        </w:rPr>
        <w:br/>
        <w:t xml:space="preserve">или листы).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Поставщик сопроводительным письмом предоставляет Заказчику в день поставки Товара Акт приема-передачи товара (Приложение № 3 к настоящему Контракту) с приложением счета, товарной накладной и счета-фактуры или универсального передаточного документа.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Право на Товар переходит к Заказчику со дня его поставки Заказчику и оплаты полной стоимости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Заказчик в течение 10 (десяти) рабочих дней со дня получения Акта приема-передачи товара (Приложение № 3 к Контракту) обязан подписать представленный Поставщиком акт </w:t>
      </w:r>
      <w:r>
        <w:rPr>
          <w:color w:val="000000"/>
          <w:lang w:eastAsia="ar-SA"/>
        </w:rPr>
        <w:br/>
        <w:t xml:space="preserve">(или дать мотивированный отказ) и отправить второй экземпляр по адресу, указанному </w:t>
      </w:r>
      <w:r>
        <w:rPr>
          <w:color w:val="000000"/>
          <w:lang w:eastAsia="ar-SA"/>
        </w:rPr>
        <w:br/>
        <w:t xml:space="preserve">в настоящем Контракте.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17"/>
        <w:ind w:left="357" w:hanging="357"/>
        <w:spacing w:before="120" w:after="120"/>
      </w:pPr>
      <w:r>
        <w:t xml:space="preserve">Обязанности Сторон</w:t>
      </w:r>
      <w:r/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Обязанности Поставщика: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 Поставить Товар в офис Заказчика в сроки в соответствии с условиями настоящего Контракта.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 Передать Товар, который по количеству, качеству и описанию соответствует Техническому заданию (Приложение № 1 к настоящему Контракту) и Спецификации (Приложение № 2 к настоящему Контракту).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Своевременно и в полном объеме представить документы на оплату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Обязанности Заказчика: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Обеспечить оплату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Принять Товар в соответствии с разделом 3 настоящего Контракта, в том числе обеспечив приемку Товара, проверку Товара и соответствующей документации.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17"/>
        <w:ind w:left="357" w:hanging="357"/>
        <w:spacing w:before="120" w:after="120"/>
      </w:pPr>
      <w:r>
        <w:t xml:space="preserve">Ответственность Сторон</w:t>
      </w:r>
      <w:r/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возникновения споров Стороны обязуются принять все меры для их разрешения путем договоренности.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просрочки исполнения Поставщиком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</w:t>
      </w:r>
      <w:r>
        <w:rPr>
          <w:rFonts w:eastAsia="Arial Unicode MS"/>
          <w:lang w:eastAsia="ar-SA"/>
        </w:rPr>
        <w:t xml:space="preserve">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задержки платежей Заказчиком против срока, указанного в Контракте, Поставщик вправе потребовать от Заказчика выплату неустойки (п</w:t>
      </w:r>
      <w:r>
        <w:rPr>
          <w:rFonts w:eastAsia="Arial Unicode MS"/>
          <w:lang w:eastAsia="ar-SA"/>
        </w:rPr>
        <w:t xml:space="preserve">ени)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При недостижении дог</w:t>
      </w:r>
      <w:r>
        <w:rPr>
          <w:rFonts w:eastAsia="Arial Unicode MS"/>
          <w:lang w:eastAsia="ar-SA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pStyle w:val="817"/>
        <w:ind w:left="357" w:hanging="357"/>
        <w:spacing w:before="120" w:after="120"/>
      </w:pPr>
      <w:r>
        <w:t xml:space="preserve">Срок действия Контракта</w:t>
      </w:r>
      <w:r/>
    </w:p>
    <w:p>
      <w:pPr>
        <w:numPr>
          <w:ilvl w:val="0"/>
          <w:numId w:val="19"/>
        </w:numPr>
        <w:ind w:left="0" w:firstLine="567"/>
        <w:spacing w:line="100" w:lineRule="atLeast"/>
        <w:shd w:val="clear" w:color="auto" w:fill="ffffff"/>
        <w:tabs>
          <w:tab w:val="left" w:pos="993" w:leader="none"/>
        </w:tabs>
        <w:rPr>
          <w:spacing w:val="-2"/>
          <w:lang w:eastAsia="ar-SA"/>
        </w:rPr>
        <w:outlineLvl w:val="9"/>
      </w:pPr>
      <w:r>
        <w:rPr>
          <w:color w:val="000000"/>
          <w:spacing w:val="-2"/>
          <w:lang w:eastAsia="ar-SA"/>
        </w:rPr>
        <w:t xml:space="preserve">Настоящий Контра</w:t>
      </w:r>
      <w:r>
        <w:rPr>
          <w:color w:val="000000"/>
          <w:spacing w:val="-2"/>
          <w:lang w:eastAsia="ar-SA"/>
        </w:rPr>
        <w:t xml:space="preserve">кт вст</w:t>
      </w:r>
      <w:r>
        <w:rPr>
          <w:color w:val="000000"/>
          <w:spacing w:val="-2"/>
          <w:lang w:eastAsia="ar-SA"/>
        </w:rPr>
        <w:t xml:space="preserve">упает в силу с даты его заключения Сторонами и действует </w:t>
      </w:r>
      <w:r>
        <w:rPr>
          <w:color w:val="000000"/>
          <w:spacing w:val="-2"/>
          <w:lang w:eastAsia="ar-SA"/>
        </w:rPr>
        <w:br/>
        <w:t xml:space="preserve">до полного выполнения Сторонами свои</w:t>
      </w:r>
      <w:r>
        <w:rPr>
          <w:color w:val="000000"/>
          <w:spacing w:val="-2"/>
          <w:lang w:eastAsia="ar-SA"/>
        </w:rPr>
        <w:t xml:space="preserve">х обязательств, но не позднее 01</w:t>
      </w:r>
      <w:r>
        <w:rPr>
          <w:color w:val="000000"/>
          <w:spacing w:val="-2"/>
          <w:lang w:eastAsia="ar-SA"/>
        </w:rPr>
        <w:t xml:space="preserve">.10.2026.</w:t>
      </w:r>
      <w:r>
        <w:rPr>
          <w:spacing w:val="-2"/>
          <w:lang w:eastAsia="ar-SA"/>
        </w:rPr>
      </w:r>
      <w:r>
        <w:rPr>
          <w:spacing w:val="-2"/>
          <w:lang w:eastAsia="ar-SA"/>
        </w:rPr>
      </w:r>
    </w:p>
    <w:p>
      <w:pPr>
        <w:pStyle w:val="817"/>
        <w:ind w:left="357" w:hanging="357"/>
        <w:spacing w:before="120" w:after="120"/>
      </w:pPr>
      <w:r>
        <w:t xml:space="preserve">Досрочное прекращение Контракта</w:t>
      </w:r>
      <w:r/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color w:val="000000"/>
        </w:rPr>
        <w:br/>
        <w:t xml:space="preserve">с гражданским законодательством.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Заказчик вправе принять решение об одностороннем отказе от исполнения Контракта </w:t>
      </w:r>
      <w:r>
        <w:rPr>
          <w:color w:val="000000"/>
        </w:rPr>
        <w:br/>
        <w:t xml:space="preserve">в случае поставки Товара ненадлежащего качества, нарушении сроков поставки Товара и по иным основаниям,</w:t>
      </w:r>
      <w:r>
        <w:t xml:space="preserve"> </w:t>
      </w:r>
      <w:r>
        <w:rPr>
          <w:color w:val="000000"/>
        </w:rPr>
        <w:t xml:space="preserve">предусмотренным Гражданским кодексом Российской Федерации</w:t>
      </w:r>
      <w:r>
        <w:rPr>
          <w:rFonts w:eastAsia="Arial Unicode MS"/>
        </w:rPr>
        <w:t xml:space="preserve">.</w:t>
      </w:r>
      <w:r>
        <w:rPr>
          <w:lang w:eastAsia="ar-SA"/>
        </w:rPr>
      </w:r>
      <w:r>
        <w:rPr>
          <w:lang w:eastAsia="ar-SA"/>
        </w:rPr>
      </w:r>
    </w:p>
    <w:p>
      <w:pPr>
        <w:pStyle w:val="817"/>
        <w:ind w:left="357" w:hanging="357"/>
        <w:spacing w:before="120" w:after="120"/>
      </w:pPr>
      <w:r>
        <w:t xml:space="preserve">Обстоятельства непреодолимой силы (форс-мажор)</w:t>
      </w:r>
      <w:r/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О наступлении форс-мажорных обстоятельств, а также о предполагаемом сроке </w:t>
      </w:r>
      <w:r>
        <w:rPr>
          <w:color w:val="000000"/>
        </w:rPr>
        <w:br/>
        <w:t xml:space="preserve">их действия Сторона,</w:t>
      </w:r>
      <w:r>
        <w:rPr>
          <w:color w:val="000000"/>
        </w:rP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>
        <w:rPr>
          <w:color w:val="000000"/>
        </w:rPr>
      </w:r>
      <w:r>
        <w:rPr>
          <w:color w:val="000000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</w:t>
      </w:r>
      <w:r>
        <w:rPr>
          <w:color w:val="000000"/>
        </w:rPr>
        <w:t xml:space="preserve">от ответственности за несвоевременное исполнение обязательств по отношению к другой Стороне.</w:t>
      </w:r>
      <w:r>
        <w:rPr>
          <w:color w:val="000000"/>
        </w:rPr>
      </w:r>
      <w:r>
        <w:rPr>
          <w:color w:val="000000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</w:t>
      </w:r>
      <w:r>
        <w:rPr>
          <w:color w:val="000000"/>
        </w:rPr>
        <w:br/>
        <w:t xml:space="preserve">для урегулирования всех споров.</w:t>
      </w:r>
      <w:r>
        <w:rPr>
          <w:color w:val="000000"/>
        </w:rPr>
      </w:r>
      <w:r>
        <w:rPr>
          <w:color w:val="000000"/>
        </w:rPr>
      </w:r>
    </w:p>
    <w:p>
      <w:pPr>
        <w:pStyle w:val="817"/>
        <w:ind w:left="357" w:hanging="357"/>
        <w:spacing w:before="120" w:after="120"/>
      </w:pPr>
      <w:r>
        <w:t xml:space="preserve">Другие условия</w:t>
      </w:r>
      <w:r/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outlineLvl w:val="9"/>
      </w:pPr>
      <w:r>
        <w:rPr>
          <w:color w:val="000000"/>
          <w:lang w:eastAsia="ar-SA"/>
        </w:rPr>
        <w:t xml:space="preserve">Настоящий Контракт составлен в форме электронного документа, подписанного усиленными электронными подписями Сторон.</w:t>
      </w:r>
      <w:r>
        <w:rPr>
          <w:color w:val="000000"/>
          <w:lang w:eastAsia="ar-SA"/>
        </w:rPr>
      </w:r>
      <w:r/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outlineLvl w:val="9"/>
      </w:pPr>
      <w:r>
        <w:rPr>
          <w:color w:val="000000"/>
          <w:lang w:eastAsia="ar-SA"/>
        </w:rPr>
        <w:t xml:space="preserve">Все приложения и изменения по основаниям, предусмотренным настоящим Контрактом, являются его неотъемлемой частью.</w:t>
      </w:r>
      <w:r>
        <w:rPr>
          <w:color w:val="000000"/>
          <w:lang w:eastAsia="ar-SA"/>
        </w:rPr>
      </w:r>
      <w:r/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 изменении места нахождения и банковских реквизитов Стороны обязаны в течение 5 (пяти) рабочих дней письменно известить об этом друг друга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Приложения к Контракту: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1 – Техническое задание;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jc w:val="left"/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2 – Спецификация;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jc w:val="left"/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3 – Форма акта приема-передачи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17"/>
        <w:ind w:left="357" w:hanging="357"/>
        <w:spacing w:before="120" w:after="120"/>
      </w:pPr>
      <w:r/>
      <w:bookmarkStart w:id="1" w:name="_Ref94177724"/>
      <w:r>
        <w:t xml:space="preserve">Реквизиты Сторон</w:t>
      </w:r>
      <w:bookmarkEnd w:id="1"/>
      <w:r/>
      <w:r/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/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ЗАКАЗЧИК</w:t>
            </w:r>
            <w:r>
              <w:rPr>
                <w:b/>
                <w:color w:val="000000"/>
                <w:lang w:val="en-US" w:eastAsia="ar-SA"/>
              </w:rPr>
              <w:t xml:space="preserve">:</w:t>
            </w:r>
            <w:r>
              <w:rPr>
                <w:b/>
                <w:color w:val="000000"/>
                <w:lang w:val="en-US" w:eastAsia="ar-SA"/>
              </w:rPr>
            </w:r>
            <w:r>
              <w:rPr>
                <w:b/>
                <w:color w:val="000000"/>
                <w:lang w:val="en-US"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/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</w:t>
            </w:r>
            <w:r>
              <w:rPr>
                <w:b/>
                <w:color w:val="000000"/>
                <w:lang w:val="en-US" w:eastAsia="ar-SA"/>
              </w:rPr>
              <w:t xml:space="preserve">:</w:t>
            </w:r>
            <w:r>
              <w:rPr>
                <w:b/>
                <w:color w:val="000000"/>
                <w:lang w:val="en-US" w:eastAsia="ar-SA"/>
              </w:rPr>
            </w:r>
            <w:r>
              <w:rPr>
                <w:b/>
                <w:color w:val="000000"/>
                <w:lang w:val="en-US" w:eastAsia="ar-SA"/>
              </w:rPr>
            </w:r>
          </w:p>
        </w:tc>
      </w:tr>
      <w:tr>
        <w:tblPrEx/>
        <w:trPr>
          <w:trHeight w:val="1070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Министерство энергетики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Российской Федерации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(Минэнерго России)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lang w:val="en-US"/>
              </w:rPr>
              <w:t xml:space="preserve">Публичное акционерное общество «СОФТЛАЙН» (ПАО «СОФТЛАЙН»)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5536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Юридический адрес: 109012, г. Москва,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Китайгородский пр-д, д. 7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Фактический адрес: 129110, г. Москва,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Щепкина ул., д. 42, стр. 1, 2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ИНН 7705847529, КПП 770501001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Банковские реквизиты: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Межрегиональное операционное УФК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(Минэнерго России, л/с 03951000220)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р/с 40102810045370000002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в Операционном департаменте Банка России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//Межрегиональное операционное УФК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г. Москва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к/с 03211643000000019503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БИК 024501901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ОКПО/ОКТМО  00083641/45381000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E-mail: pleshakovaga</w:t>
            </w:r>
            <w:r>
              <w:rPr>
                <w:color w:val="000000"/>
                <w:lang w:eastAsia="ar-SA"/>
              </w:rPr>
              <w:t xml:space="preserve">@minenergo.gov.ru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Тел: (495) 631-95-36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7736227885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770401001,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КПП крупнейшего налогоплательщика: 774950001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59754311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45383000000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1027736009333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ОКВЭД </w:t>
            </w:r>
            <w:r>
              <w:rPr>
                <w:color w:val="000000"/>
                <w:sz w:val="24"/>
                <w:szCs w:val="24"/>
              </w:rPr>
              <w:t xml:space="preserve">46.90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color w:val="000000"/>
                <w:sz w:val="24"/>
                <w:szCs w:val="24"/>
              </w:rPr>
              <w:t xml:space="preserve">Наименование банка: Банк ГПБ (АО)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40702810800000010453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30101810200000000823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044525823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</w:rPr>
              <w:t xml:space="preserve">corporate@softline.com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тел. +</w:t>
            </w:r>
            <w:r>
              <w:rPr>
                <w:color w:val="000000"/>
                <w:sz w:val="24"/>
                <w:szCs w:val="24"/>
              </w:rPr>
              <w:t xml:space="preserve">7 (495) 232-00-23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r>
            <w:r>
              <w:rPr>
                <w:sz w:val="24"/>
                <w:szCs w:val="24"/>
              </w:rPr>
              <w:t xml:space="preserve">21.02.2008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504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right="1168" w:firstLine="0"/>
              <w:jc w:val="left"/>
              <w:spacing w:line="100" w:lineRule="atLeast"/>
              <w:rPr>
                <w:highlight w:val="none"/>
                <w:lang w:eastAsia="ar-SA"/>
              </w:rPr>
              <w:outlineLvl w:val="9"/>
            </w:pPr>
            <w:r>
              <w:rPr>
                <w:lang w:eastAsia="ar-SA"/>
              </w:rPr>
              <w:t xml:space="preserve">Директор Департамента</w:t>
              <w:br/>
              <w:t xml:space="preserve">цифровой трансформации</w:t>
            </w:r>
            <w:r>
              <w:rPr>
                <w:highlight w:val="none"/>
                <w:lang w:eastAsia="ar-SA"/>
              </w:rPr>
            </w:r>
            <w:r>
              <w:rPr>
                <w:highlight w:val="none"/>
                <w:lang w:eastAsia="ar-SA"/>
              </w:rPr>
            </w:r>
          </w:p>
          <w:p>
            <w:pPr>
              <w:ind w:right="1168"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highlight w:val="none"/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right="1168"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_______________________ </w:t>
            </w:r>
            <w:r>
              <w:rPr>
                <w:lang w:eastAsia="ar-SA"/>
              </w:rPr>
              <w:t xml:space="preserve">Ф.В. Мицкевич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7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jc w:val="right"/>
        <w:tabs>
          <w:tab w:val="center" w:pos="2420" w:leader="none"/>
          <w:tab w:val="left" w:pos="3840" w:leader="none"/>
        </w:tabs>
        <w:rPr>
          <w:color w:val="000000"/>
          <w:sz w:val="12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color w:val="000000"/>
          <w:sz w:val="12"/>
        </w:rPr>
      </w:r>
      <w:r>
        <w:rPr>
          <w:color w:val="000000"/>
          <w:sz w:val="12"/>
        </w:rPr>
      </w:r>
      <w:r>
        <w:rPr>
          <w:color w:val="000000"/>
          <w:sz w:val="12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color w:val="000000"/>
        </w:rPr>
      </w:pPr>
      <w:r>
        <w:rPr>
          <w:color w:val="000000"/>
        </w:rPr>
        <w:t xml:space="preserve">Приложение № 1</w:t>
      </w:r>
      <w:r>
        <w:rPr>
          <w:color w:val="000000"/>
        </w:rPr>
      </w:r>
      <w:r>
        <w:rPr>
          <w:color w:val="000000"/>
        </w:rPr>
      </w:r>
    </w:p>
    <w:p>
      <w:pPr>
        <w:jc w:val="right"/>
        <w:tabs>
          <w:tab w:val="center" w:pos="2420" w:leader="none"/>
          <w:tab w:val="left" w:pos="3840" w:leader="none"/>
        </w:tabs>
      </w:pPr>
      <w:r>
        <w:rPr>
          <w:color w:val="000000"/>
        </w:rPr>
        <w:t xml:space="preserve">к Контракту № </w:t>
      </w:r>
      <w:r>
        <w:rPr>
          <w:bCs/>
        </w:rPr>
        <w:t xml:space="preserve">100201966126100126</w:t>
      </w:r>
      <w:r/>
    </w:p>
    <w:p>
      <w:pPr>
        <w:jc w:val="right"/>
        <w:tabs>
          <w:tab w:val="center" w:pos="2420" w:leader="none"/>
          <w:tab w:val="left" w:pos="3840" w:leader="none"/>
        </w:tabs>
      </w:pPr>
      <w:r>
        <w:t xml:space="preserve">от «___» ________2026 г.</w:t>
      </w:r>
      <w:r>
        <w:rPr>
          <w:highlight w:val="none"/>
        </w:rPr>
      </w:r>
      <w:r/>
    </w:p>
    <w:p>
      <w:pPr>
        <w:pStyle w:val="1007"/>
        <w:rPr>
          <w:highlight w:val="none"/>
        </w:rPr>
      </w:pPr>
      <w:r>
        <w:t xml:space="preserve">ТЕХНИЧЕСКОЕ ЗАДАНИЕ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center"/>
        <w:spacing w:before="0" w:beforeAutospacing="0" w:after="0" w:afterAutospacing="0" w:line="240" w:lineRule="auto"/>
        <w:tabs>
          <w:tab w:val="left" w:pos="10063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на поставку IP-телефонных аппаратов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beforeAutospacing="0" w:after="0" w:afterAutospacing="0" w:line="240" w:lineRule="auto"/>
        <w:tabs>
          <w:tab w:val="left" w:pos="10063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tabs>
          <w:tab w:val="left" w:pos="425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trike/>
          <w:color w:val="000000" w:themeColor="text1"/>
          <w:sz w:val="36"/>
          <w:szCs w:val="28"/>
        </w:rPr>
      </w:r>
      <w:r>
        <w:rPr>
          <w:rFonts w:ascii="Times New Roman" w:hAnsi="Times New Roman" w:cs="Times New Roman"/>
          <w:color w:val="000000" w:themeColor="text1"/>
          <w:sz w:val="32"/>
          <w:szCs w:val="28"/>
        </w:rPr>
      </w:r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>
        <w:rPr>
          <w:b w:val="0"/>
          <w:bCs w:val="0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Общие сведения</w:t>
      </w:r>
      <w:bookmarkEnd w:id="0"/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16"/>
        <w:numPr>
          <w:ilvl w:val="0"/>
          <w:numId w:val="0"/>
        </w:numPr>
        <w:ind w:left="0" w:right="0" w:firstLine="0"/>
        <w:jc w:val="left"/>
        <w:spacing w:before="0" w:beforeAutospacing="0" w:after="0" w:afterAutospacing="0" w:line="240" w:lineRule="auto"/>
        <w:tabs>
          <w:tab w:val="clear" w:pos="1134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 закупки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0" w:right="0" w:firstLine="0"/>
        <w:spacing w:before="0" w:beforeAutospacing="0" w:after="0" w:afterAutospacing="0" w:line="240" w:lineRule="auto"/>
        <w:tabs>
          <w:tab w:val="left" w:pos="10063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Поставка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IP -телефонных аппаратов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(далее - оборудования)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1023"/>
        <w:ind w:firstLine="567"/>
        <w:spacing w:before="0" w:after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17"/>
        <w:numPr>
          <w:ilvl w:val="0"/>
          <w:numId w:val="0"/>
        </w:numPr>
        <w:ind w:right="0"/>
        <w:jc w:val="both"/>
        <w:keepLines/>
        <w:spacing w:before="0" w:after="0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2. Место и сроки поставки </w:t>
      </w:r>
      <w:r>
        <w:rPr>
          <w:i w:val="0"/>
          <w:color w:val="000000" w:themeColor="text1"/>
          <w:sz w:val="24"/>
          <w:szCs w:val="24"/>
        </w:rPr>
        <w:t xml:space="preserve">оборудования</w:t>
      </w:r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Поставка оборудования осуществля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тся в соответствии</w:t>
      </w:r>
      <w:r>
        <w:rPr>
          <w:strike w:val="0"/>
          <w:color w:val="auto"/>
        </w:rPr>
        <w:t xml:space="preserve"> </w:t>
      </w:r>
      <w:r>
        <w:rPr>
          <w:color w:val="auto"/>
        </w:rPr>
        <w:t xml:space="preserve">со Спецификацией (Приложение</w:t>
        <w:br/>
        <w:t xml:space="preserve">№ 2 к Контракту)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С</w:t>
      </w:r>
      <w:r>
        <w:rPr>
          <w:color w:val="000000" w:themeColor="text1"/>
        </w:rPr>
        <w:t xml:space="preserve">рок исполнения контракта составляет 15</w:t>
      </w:r>
      <w:r>
        <w:rPr>
          <w:color w:val="000000" w:themeColor="text1"/>
        </w:rPr>
        <w:t xml:space="preserve"> (пятнадцать</w:t>
      </w:r>
      <w:r>
        <w:rPr>
          <w:color w:val="000000" w:themeColor="text1"/>
        </w:rPr>
        <w:t xml:space="preserve">) рабочих дней с даты заключения Контракта.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auto"/>
          <w:highlight w:val="none"/>
        </w:rPr>
      </w:pPr>
      <w:r>
        <w:rPr>
          <w:color w:val="auto"/>
        </w:rPr>
        <w:t xml:space="preserve">Поставка оборудования осуществляется </w:t>
      </w:r>
      <w:r>
        <w:rPr>
          <w:color w:val="auto"/>
        </w:rPr>
        <w:t xml:space="preserve">единовременно</w:t>
      </w:r>
      <w:r>
        <w:rPr>
          <w:color w:val="auto"/>
        </w:rPr>
        <w:t xml:space="preserve"> по адресу: г. Москва, </w:t>
      </w:r>
      <w:r>
        <w:rPr>
          <w:color w:val="auto"/>
        </w:rPr>
        <w:t xml:space="preserve">ул. Щепкина, д. 42, стр.1, 2, силами и транспортом Поставщика и за его счет.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1023"/>
        <w:ind w:firstLine="709"/>
        <w:spacing w:before="0" w:after="0"/>
        <w:rPr>
          <w:color w:val="auto"/>
        </w:rPr>
      </w:pPr>
      <w:r>
        <w:rPr>
          <w:color w:val="auto"/>
          <w:highlight w:val="none"/>
        </w:rPr>
        <w:t xml:space="preserve">Выполнение услуг по установке и настройке оборудования </w:t>
      </w:r>
      <w:r>
        <w:rPr>
          <w:color w:val="auto"/>
        </w:rPr>
        <w:t xml:space="preserve">осуществляется</w:t>
      </w:r>
      <w:r>
        <w:rPr>
          <w:color w:val="auto"/>
        </w:rPr>
        <w:t xml:space="preserve"> по адресу:</w:t>
        <w:br/>
        <w:t xml:space="preserve">г. Москва, </w:t>
      </w:r>
      <w:r>
        <w:rPr>
          <w:color w:val="auto"/>
        </w:rPr>
        <w:t xml:space="preserve">ул. Щепкина, д. 42, стр.1, 2</w:t>
      </w:r>
      <w:r>
        <w:rPr>
          <w:color w:val="auto"/>
        </w:rPr>
        <w:t xml:space="preserve"> </w:t>
      </w:r>
      <w:r>
        <w:rPr>
          <w:color w:val="auto"/>
        </w:rPr>
        <w:t xml:space="preserve">(далее – Объект)</w:t>
      </w:r>
      <w:r>
        <w:rPr>
          <w:color w:val="auto"/>
        </w:rPr>
        <w:t xml:space="preserve">.</w:t>
      </w:r>
      <w:r>
        <w:rPr>
          <w:color w:val="auto"/>
        </w:rPr>
      </w:r>
      <w:r>
        <w:rPr>
          <w:color w:val="auto"/>
        </w:rPr>
      </w:r>
    </w:p>
    <w:p>
      <w:pPr>
        <w:pStyle w:val="1023"/>
        <w:ind w:firstLine="709"/>
        <w:spacing w:before="0" w:after="0"/>
        <w:rPr>
          <w:color w:val="auto"/>
        </w:rPr>
      </w:pPr>
      <w:r>
        <w:rPr>
          <w:color w:val="auto"/>
        </w:rPr>
        <w:t xml:space="preserve">Поставка оборудования, разгрузка-погрузка (подъем), размещение в помещениях Заказчика </w:t>
      </w:r>
      <w:r>
        <w:rPr>
          <w:color w:val="auto"/>
        </w:rPr>
        <w:t xml:space="preserve">включены в стоимость Товара и</w:t>
      </w:r>
      <w:r>
        <w:rPr>
          <w:color w:val="auto"/>
        </w:rPr>
        <w:t xml:space="preserve"> сопровожда</w:t>
      </w:r>
      <w:r>
        <w:rPr>
          <w:color w:val="auto"/>
        </w:rPr>
        <w:t xml:space="preserve">ю</w:t>
      </w:r>
      <w:r>
        <w:rPr>
          <w:color w:val="auto"/>
        </w:rPr>
        <w:t xml:space="preserve">тся уполномоченным представителем Поставщика на основании доверенности.</w:t>
      </w:r>
      <w:r>
        <w:rPr>
          <w:color w:val="auto"/>
        </w:rPr>
      </w:r>
      <w:r>
        <w:rPr>
          <w:color w:val="auto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Поставка и разгрузка оборудования,</w:t>
      </w:r>
      <w:r>
        <w:rPr>
          <w:color w:val="000000" w:themeColor="text1"/>
        </w:rPr>
        <w:t xml:space="preserve"> выполнение работ осуществляется в рабочие часы Заказчика (по рабочим дням с 9 часов 00 минут до 18 часов 00 минут, по пятницам и предпраздничным дням с 9 часов 00 минут до 16 часов 45 минут) с учетом времени на разгрузку.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Поставка оборудования частями (партиями) не допускается.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Поставщик</w:t>
      </w:r>
      <w:r>
        <w:rPr>
          <w:color w:val="000000" w:themeColor="text1"/>
        </w:rPr>
        <w:t xml:space="preserve"> направляет Заказчику уведомление о готовности поставить оборудование в полном объеме на электронный адрес: compred@minenergo.gov.ru не позднее 2 (двух) рабочих дней до начала поставки. В уведомлении необходимо указать дату, время поставки, номер и марку </w:t>
      </w:r>
      <w:r>
        <w:rPr>
          <w:color w:val="000000" w:themeColor="text1"/>
        </w:rPr>
        <w:t xml:space="preserve">транспортного средства, фамилию, имя, отчество, паспортные данные водителя, грузчиков и уполномоченного представителя Поставщика. Электронный адрес compred@minenergo.gov.ru используется исключительно для уведомления Заказчика о готовности поставить товар.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auto"/>
        </w:rPr>
      </w:pPr>
      <w:r>
        <w:rPr>
          <w:color w:val="auto"/>
        </w:rPr>
        <w:t xml:space="preserve">В течение </w:t>
      </w:r>
      <w:r>
        <w:rPr>
          <w:color w:val="auto"/>
        </w:rPr>
        <w:t xml:space="preserve">1 (одного)</w:t>
      </w:r>
      <w:r>
        <w:rPr>
          <w:color w:val="auto"/>
        </w:rPr>
        <w:t xml:space="preserve"> рабочего дня следующего за днем получения от Поставщика уведомления о готовности поставить товар Заказчик направляет в ответ подтверждение о готовности принять товар.</w:t>
      </w:r>
      <w:r>
        <w:rPr>
          <w:color w:val="auto"/>
        </w:rPr>
      </w:r>
      <w:r>
        <w:rPr>
          <w:color w:val="auto"/>
        </w:rPr>
      </w:r>
    </w:p>
    <w:p>
      <w:pPr>
        <w:pStyle w:val="1023"/>
        <w:ind w:firstLine="709"/>
        <w:spacing w:before="0" w:after="0"/>
        <w:rPr>
          <w:color w:val="auto"/>
        </w:rPr>
      </w:pPr>
      <w:r>
        <w:rPr>
          <w:color w:val="auto"/>
        </w:rPr>
        <w:t xml:space="preserve">Поставщику необходимо осуществить поставку оборудования,  согласно </w:t>
      </w:r>
      <w:r>
        <w:rPr>
          <w:color w:val="auto"/>
        </w:rPr>
        <w:t xml:space="preserve">пункту 2</w:t>
      </w:r>
      <w:r>
        <w:rPr>
          <w:color w:val="auto"/>
        </w:rPr>
        <w:t xml:space="preserve"> настоящ</w:t>
      </w:r>
      <w:r>
        <w:rPr>
          <w:color w:val="auto"/>
        </w:rPr>
        <w:t xml:space="preserve">его</w:t>
      </w:r>
      <w:r>
        <w:rPr>
          <w:color w:val="auto"/>
        </w:rPr>
        <w:t xml:space="preserve"> Техническ</w:t>
      </w:r>
      <w:r>
        <w:rPr>
          <w:color w:val="auto"/>
        </w:rPr>
        <w:t xml:space="preserve">ого</w:t>
      </w:r>
      <w:r>
        <w:rPr>
          <w:color w:val="auto"/>
        </w:rPr>
        <w:t xml:space="preserve"> задани</w:t>
      </w:r>
      <w:r>
        <w:rPr>
          <w:color w:val="auto"/>
        </w:rPr>
        <w:t xml:space="preserve">я</w:t>
      </w:r>
      <w:r>
        <w:rPr>
          <w:color w:val="auto"/>
        </w:rPr>
        <w:t xml:space="preserve">, а именно:</w:t>
      </w:r>
      <w:r>
        <w:rPr>
          <w:color w:val="auto"/>
        </w:rPr>
      </w:r>
      <w:r>
        <w:rPr>
          <w:color w:val="auto"/>
        </w:rPr>
      </w:r>
    </w:p>
    <w:p>
      <w:pPr>
        <w:pStyle w:val="1023"/>
        <w:numPr>
          <w:ilvl w:val="0"/>
          <w:numId w:val="63"/>
        </w:numPr>
        <w:ind w:left="851" w:hanging="284"/>
        <w:spacing w:before="0" w:after="0"/>
        <w:rPr>
          <w:color w:val="000000" w:themeColor="text1"/>
        </w:rPr>
      </w:pPr>
      <w:r>
        <w:rPr>
          <w:color w:val="000000" w:themeColor="text1"/>
          <w:lang w:val="en-US"/>
        </w:rPr>
        <w:t xml:space="preserve">SIP</w:t>
      </w:r>
      <w:r>
        <w:rPr>
          <w:color w:val="000000" w:themeColor="text1"/>
        </w:rPr>
        <w:t xml:space="preserve"> телефонных аппаратов (абонентское оборудование):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left="0" w:firstLine="0"/>
        <w:spacing w:before="0" w:after="0"/>
        <w:rPr>
          <w:color w:val="000000" w:themeColor="text1"/>
        </w:rPr>
      </w:pPr>
      <w:r>
        <w:rPr>
          <w:color w:val="151528"/>
        </w:rPr>
        <w:t xml:space="preserve">               </w:t>
      </w:r>
      <w:r>
        <w:rPr>
          <w:color w:val="151528"/>
        </w:rPr>
        <w:t xml:space="preserve">IP-телефон </w:t>
      </w:r>
      <w:r>
        <w:rPr>
          <w:sz w:val="20"/>
          <w:szCs w:val="20"/>
          <w14:ligatures w14:val="none"/>
        </w:rPr>
        <w:t xml:space="preserve">Yealink SIP-T58W</w:t>
      </w:r>
      <w:r>
        <w:rPr>
          <w:sz w:val="20"/>
          <w:szCs w:val="20"/>
          <w14:ligatures w14:val="none"/>
        </w:rPr>
        <w:t xml:space="preserve"> - 15 шт.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Требования к техническим параметрам оборудования, а также необходимые услуги по установке и настройке указаны в пункте 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настоящего Технического задания. 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1023"/>
        <w:ind w:firstLine="567"/>
        <w:spacing w:before="0" w:after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16"/>
        <w:numPr>
          <w:ilvl w:val="0"/>
          <w:numId w:val="0"/>
        </w:numPr>
        <w:ind w:left="0" w:firstLine="0"/>
        <w:jc w:val="left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3. </w:t>
      </w:r>
      <w:bookmarkStart w:id="0" w:name="undefined"/>
      <w:r>
        <w:rPr>
          <w:i w:val="0"/>
          <w:color w:val="000000" w:themeColor="text1"/>
          <w:sz w:val="24"/>
          <w:szCs w:val="24"/>
        </w:rPr>
        <w:t xml:space="preserve">Требования к качеству, безопасности и упаковке оборудования</w:t>
      </w:r>
      <w:bookmarkEnd w:id="0"/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Оборудование должно быть новым (товаром, который не был в эксплуатации,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Оборудование должно соответствовать действующим нормам и правилам техники безопасности, пожарной безопасности и взрывобезопасности, санитарной и </w:t>
      </w:r>
      <w:r>
        <w:rPr>
          <w:color w:val="000000" w:themeColor="text1"/>
        </w:rPr>
        <w:t xml:space="preserve">электрической безопасности, электромагнитной совместимости, в соответствии с номенклатурой продукции в отношении которой законодательными актами Российской Федерации предусмотрена обязательная сертификация, а также охраны окружающей среды при эксплуатации.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Оборудование должно быть выпущено к свободному обращению на территории Российской Федерации без каких-либо ограничений (залог, запрет, арест и т.п.).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after="0"/>
        <w:rPr>
          <w:color w:val="000000" w:themeColor="text1"/>
        </w:rPr>
      </w:pPr>
      <w:r>
        <w:rPr>
          <w:color w:val="000000" w:themeColor="text1"/>
        </w:rPr>
        <w:t xml:space="preserve">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</w:t>
      </w:r>
      <w:r>
        <w:rPr>
          <w:color w:val="000000" w:themeColor="text1"/>
        </w:rPr>
        <w:t xml:space="preserve">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Российской Федерации), наклейки, </w:t>
      </w:r>
      <w:r>
        <w:rPr>
          <w:color w:val="000000" w:themeColor="text1"/>
        </w:rPr>
        <w:t xml:space="preserve">пломбы, а также давать возможность определить количество содержащегося в ней товара (опись, упаковочные ярлыки или листы).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Поставщик поставляет товар в упак</w:t>
      </w:r>
      <w:r>
        <w:rPr>
          <w:color w:val="000000" w:themeColor="text1"/>
        </w:rPr>
        <w:t xml:space="preserve">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Все входные и выходные разъемы, а также уровни сигналов на входе и выходе оборудования должны соответствовать стандартам Российской Федерации.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r>
        <w:t xml:space="preserve">Маркировка Товара должна содержать все признаки, установленные производителем:</w:t>
      </w:r>
      <w:r/>
    </w:p>
    <w:p>
      <w:pPr>
        <w:pStyle w:val="821"/>
        <w:numPr>
          <w:ilvl w:val="0"/>
          <w:numId w:val="66"/>
        </w:numPr>
        <w:ind w:left="0" w:right="0" w:firstLine="360"/>
      </w:pPr>
      <w:r>
        <w:t xml:space="preserve">голограммы, защитные пломбы, марки, содержащие все элементы защиты от подделок (микротекст, термополоса и т.п.); </w:t>
      </w:r>
      <w:r/>
    </w:p>
    <w:p>
      <w:pPr>
        <w:pStyle w:val="821"/>
        <w:numPr>
          <w:ilvl w:val="0"/>
          <w:numId w:val="66"/>
        </w:numPr>
        <w:ind w:left="0" w:right="0" w:firstLine="360"/>
      </w:pPr>
      <w:r>
        <w:t xml:space="preserve">корпус Товара не должен иметь потертостей, царапин, сколов и следов вскрытия.</w:t>
      </w:r>
      <w:r/>
    </w:p>
    <w:p>
      <w:pPr>
        <w:pStyle w:val="821"/>
        <w:numPr>
          <w:ilvl w:val="0"/>
          <w:numId w:val="66"/>
        </w:numPr>
        <w:ind w:left="0" w:right="0" w:firstLine="360"/>
      </w:pPr>
      <w:r>
        <w:t xml:space="preserve">на коробке должен быть нанесен номер партии, совпадающий с номером, нанесенным на Товаре.</w:t>
      </w:r>
      <w:r>
        <w:rPr>
          <w:color w:val="000000" w:themeColor="text1"/>
          <w:highlight w:val="none"/>
        </w:rPr>
      </w:r>
      <w:r/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В комплект поставляемого оборудования должны входить все кабели, необходимые для его монтажа, подключения и эксплуатации.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В комплекте с оборудованием должна быть техническая документация, а именно: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</w:pPr>
      <w:r>
        <w:rPr>
          <w:color w:val="000000" w:themeColor="text1"/>
        </w:rPr>
        <w:t xml:space="preserve">Краткое руководство – 1 шт.;</w:t>
      </w:r>
      <w:r/>
    </w:p>
    <w:p>
      <w:pPr>
        <w:pStyle w:val="1023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</w:pPr>
      <w:r>
        <w:rPr>
          <w:color w:val="000000" w:themeColor="text1"/>
        </w:rPr>
        <w:t xml:space="preserve">Гарантийный талон – 1 шт.;</w:t>
      </w:r>
      <w:r/>
    </w:p>
    <w:p>
      <w:pPr>
        <w:pStyle w:val="1023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</w:rPr>
      </w:pPr>
      <w:r>
        <w:rPr>
          <w:color w:val="000000" w:themeColor="text1"/>
        </w:rPr>
        <w:t xml:space="preserve">Руководство по эксплуатации на русском языке;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</w:rPr>
      </w:pPr>
      <w:r>
        <w:rPr>
          <w:color w:val="000000" w:themeColor="text1"/>
        </w:rPr>
        <w:t xml:space="preserve">Гарантийный талон;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</w:rPr>
      </w:pPr>
      <w:r>
        <w:rPr>
          <w:color w:val="000000" w:themeColor="text1"/>
        </w:rPr>
        <w:t xml:space="preserve">Сертификат или декларацию на соответствие требованиям ТР ТС 004/2011 </w:t>
      </w:r>
      <w:r>
        <w:rPr>
          <w:color w:val="000000" w:themeColor="text1"/>
        </w:rPr>
        <w:br/>
        <w:t xml:space="preserve">«О безопасности низковольтного оборудования», ТР ТС 020/2011 «Электромагнитная совместимость технических средств»;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  <w:szCs w:val="28"/>
        </w:rPr>
      </w:pPr>
      <w:r>
        <w:rPr>
          <w:color w:val="000000" w:themeColor="text1"/>
        </w:rPr>
        <w:t xml:space="preserve">Сертификат соответствия или декларацию в соответствии со статьей 41 Федерального закона от 07.07.2003 № 126-ФЗ «О связи» 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23"/>
        <w:ind w:firstLine="567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Оборудование должно иметь документ, заверенный производителем с указанием гарантийного срока и контактным номером, а также электронным адресом сервисного центра.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23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Оборудование должно иметь неиспользованный ресурс, срок эксплуатации и срок хранения, в соответствии с действующими на них стандартами и ТУ.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23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816"/>
        <w:numPr>
          <w:ilvl w:val="0"/>
          <w:numId w:val="0"/>
        </w:numPr>
        <w:ind w:left="0" w:firstLine="0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4. </w:t>
      </w:r>
      <w:bookmarkStart w:id="0" w:name="undefined"/>
      <w:r/>
      <w:bookmarkStart w:id="0" w:name="undefined"/>
      <w:r>
        <w:rPr>
          <w:i w:val="0"/>
          <w:color w:val="000000" w:themeColor="text1"/>
          <w:sz w:val="24"/>
          <w:szCs w:val="24"/>
        </w:rPr>
        <w:t xml:space="preserve">Требования к гарантийному сроку оборудования и объему предоставляемых гарантий</w:t>
      </w:r>
      <w:bookmarkEnd w:id="0"/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23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Поставщик отвечает за качество поставленного Товара в течение гарантийного срока.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23"/>
        <w:ind w:firstLine="567"/>
        <w:spacing w:before="0" w:after="0"/>
        <w:rPr>
          <w:color w:val="auto"/>
          <w:szCs w:val="28"/>
        </w:rPr>
      </w:pPr>
      <w:r>
        <w:rPr>
          <w:color w:val="000000" w:themeColor="text1"/>
          <w:szCs w:val="28"/>
        </w:rPr>
        <w:t xml:space="preserve">Г</w:t>
      </w:r>
      <w:r>
        <w:rPr>
          <w:color w:val="auto"/>
          <w:szCs w:val="28"/>
        </w:rPr>
        <w:t xml:space="preserve">арантийный срок исчисляется с даты </w:t>
      </w:r>
      <w:r>
        <w:rPr>
          <w:color w:val="auto"/>
          <w:szCs w:val="28"/>
        </w:rPr>
        <w:t xml:space="preserve">подписания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усиленной электронной подписью лица, имеющего право действовать от имени Заказчика, и размещения в ЕИС документа о приемке</w:t>
      </w:r>
      <w:r>
        <w:rPr>
          <w:color w:val="auto"/>
          <w:szCs w:val="28"/>
        </w:rPr>
        <w:t xml:space="preserve"> и должен составлять не менее 12 (двенадцать) месяцев.</w:t>
      </w:r>
      <w:r>
        <w:rPr>
          <w:color w:val="auto"/>
          <w:szCs w:val="28"/>
        </w:rPr>
      </w:r>
      <w:r>
        <w:rPr>
          <w:color w:val="auto"/>
          <w:szCs w:val="28"/>
        </w:rPr>
      </w:r>
    </w:p>
    <w:p>
      <w:pPr>
        <w:pStyle w:val="1023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 период гарантийного срока Поставщик обязуется проводить необходимый ремонт </w:t>
      </w:r>
      <w:r>
        <w:rPr>
          <w:color w:val="000000" w:themeColor="text1"/>
          <w:szCs w:val="28"/>
        </w:rPr>
        <w:t xml:space="preserve">оборудования</w:t>
      </w:r>
      <w:r>
        <w:rPr>
          <w:color w:val="000000" w:themeColor="text1"/>
          <w:szCs w:val="28"/>
        </w:rPr>
        <w:t xml:space="preserve">, за исключением неисправностей, возникших при неправильной эксплуатации, а также кабельных линий, за исключением физического повреждения кабеля и разъемов.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23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Поставщик обязан устранить любой такой дефект в срок не более 30 (тридцати) календарных дней, либо заменить дефектный товар.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23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При отсутствии запасных частей на складах производителей в Российской Федерации, сроки ремонта, по согласованию с Заказчиком, могут быть увеличены.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23"/>
        <w:ind w:firstLine="567"/>
        <w:spacing w:before="0" w:after="0"/>
        <w:rPr>
          <w:color w:val="000000" w:themeColor="text1"/>
        </w:rPr>
      </w:pPr>
      <w:r/>
      <w:bookmarkStart w:id="0" w:name="undefined"/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16"/>
        <w:numPr>
          <w:ilvl w:val="0"/>
          <w:numId w:val="0"/>
        </w:numPr>
        <w:ind w:left="0" w:right="0" w:firstLine="0"/>
        <w:jc w:val="both"/>
        <w:keepNext w:val="0"/>
        <w:spacing w:before="0" w:after="0" w:line="240" w:lineRule="auto"/>
        <w:tabs>
          <w:tab w:val="clear" w:pos="1134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 </w:t>
      </w:r>
      <w:r>
        <w:rPr>
          <w:color w:val="000000" w:themeColor="text1"/>
          <w:sz w:val="24"/>
          <w:szCs w:val="24"/>
        </w:rPr>
        <w:t xml:space="preserve">Технические требования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17"/>
        <w:numPr>
          <w:ilvl w:val="0"/>
          <w:numId w:val="0"/>
        </w:numPr>
        <w:ind w:left="0" w:right="0" w:firstLine="0"/>
        <w:jc w:val="both"/>
        <w:keepLines/>
        <w:spacing w:before="0" w:after="0"/>
        <w:rPr>
          <w:bCs w:val="0"/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  <w:highlight w:val="none"/>
        </w:rPr>
      </w:r>
      <w:r>
        <w:rPr>
          <w:i w:val="0"/>
          <w:color w:val="000000" w:themeColor="text1"/>
          <w:sz w:val="24"/>
          <w:szCs w:val="24"/>
          <w:highlight w:val="none"/>
        </w:rPr>
      </w:r>
      <w:bookmarkStart w:id="0" w:name="undefined"/>
      <w:r>
        <w:rPr>
          <w:i w:val="0"/>
          <w:color w:val="000000" w:themeColor="text1"/>
          <w:sz w:val="24"/>
          <w:szCs w:val="24"/>
        </w:rPr>
        <w:t xml:space="preserve">5.1. Требования</w:t>
      </w:r>
      <w:r>
        <w:rPr>
          <w:i w:val="0"/>
          <w:color w:val="000000" w:themeColor="text1"/>
          <w:sz w:val="24"/>
          <w:szCs w:val="24"/>
        </w:rPr>
        <w:t xml:space="preserve"> к</w:t>
      </w:r>
      <w:r>
        <w:rPr>
          <w:i w:val="0"/>
          <w:color w:val="000000" w:themeColor="text1"/>
          <w:sz w:val="24"/>
          <w:szCs w:val="24"/>
        </w:rPr>
        <w:t xml:space="preserve"> наименованию и</w:t>
      </w:r>
      <w:r>
        <w:rPr>
          <w:i w:val="0"/>
          <w:color w:val="000000" w:themeColor="text1"/>
          <w:sz w:val="24"/>
          <w:szCs w:val="24"/>
        </w:rPr>
        <w:t xml:space="preserve"> составу поставляемого </w:t>
      </w:r>
      <w:r>
        <w:rPr>
          <w:i w:val="0"/>
          <w:color w:val="000000" w:themeColor="text1"/>
          <w:sz w:val="24"/>
          <w:szCs w:val="24"/>
        </w:rPr>
        <w:t xml:space="preserve">оборудования</w:t>
      </w:r>
      <w:bookmarkEnd w:id="0"/>
      <w:r>
        <w:rPr>
          <w:bCs w:val="0"/>
          <w:i w:val="0"/>
          <w:color w:val="000000" w:themeColor="text1"/>
          <w:sz w:val="24"/>
          <w:szCs w:val="24"/>
        </w:rPr>
      </w:r>
      <w:r>
        <w:rPr>
          <w:bCs w:val="0"/>
          <w:i w:val="0"/>
          <w:color w:val="000000" w:themeColor="text1"/>
          <w:sz w:val="24"/>
          <w:szCs w:val="24"/>
        </w:rPr>
      </w:r>
    </w:p>
    <w:p>
      <w:pPr>
        <w:pStyle w:val="1023"/>
        <w:ind w:left="0" w:right="0" w:firstLine="709"/>
        <w:spacing w:before="0" w:after="0"/>
        <w:rPr>
          <w:color w:val="auto"/>
        </w:rPr>
      </w:pPr>
      <w:r>
        <w:rPr>
          <w:color w:val="000000" w:themeColor="text1"/>
        </w:rPr>
        <w:t xml:space="preserve">Поставщику</w:t>
      </w:r>
      <w:r>
        <w:rPr>
          <w:color w:val="000000" w:themeColor="text1"/>
        </w:rPr>
        <w:t xml:space="preserve"> необходимо осуществить</w:t>
      </w:r>
      <w:r>
        <w:rPr>
          <w:color w:val="000000" w:themeColor="text1"/>
        </w:rPr>
        <w:t xml:space="preserve"> поставку</w:t>
      </w:r>
      <w:r>
        <w:rPr>
          <w:color w:val="000000" w:themeColor="text1"/>
        </w:rPr>
        <w:t xml:space="preserve"> оборудования </w:t>
      </w:r>
      <w:r>
        <w:rPr>
          <w:color w:val="000000" w:themeColor="text1"/>
        </w:rPr>
        <w:t xml:space="preserve">согласно </w:t>
      </w:r>
      <w:r>
        <w:rPr>
          <w:color w:val="auto"/>
        </w:rPr>
        <w:t xml:space="preserve">Таблице № 1 </w:t>
        <w:br/>
        <w:t xml:space="preserve">и требованиям пункта 2 настоящего технического задания</w:t>
      </w:r>
      <w:r>
        <w:rPr>
          <w:color w:val="auto"/>
        </w:rPr>
        <w:t xml:space="preserve">.</w:t>
      </w:r>
      <w:r>
        <w:rPr>
          <w:color w:val="auto"/>
        </w:rPr>
      </w:r>
      <w:r>
        <w:rPr>
          <w:color w:val="auto"/>
        </w:rPr>
      </w:r>
    </w:p>
    <w:p>
      <w:pPr>
        <w:pStyle w:val="817"/>
        <w:numPr>
          <w:ilvl w:val="0"/>
          <w:numId w:val="0"/>
        </w:numPr>
        <w:ind w:left="0" w:right="0" w:firstLine="0"/>
        <w:jc w:val="both"/>
        <w:keepLines/>
        <w:spacing w:before="0" w:after="0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5.2. </w:t>
      </w:r>
      <w:bookmarkStart w:id="0" w:name="undefined"/>
      <w:r/>
      <w:bookmarkEnd w:id="0"/>
      <w:r>
        <w:rPr>
          <w:i w:val="0"/>
          <w:color w:val="000000" w:themeColor="text1"/>
          <w:sz w:val="24"/>
          <w:szCs w:val="24"/>
        </w:rPr>
        <w:t xml:space="preserve">Функциональные т</w:t>
      </w:r>
      <w:r>
        <w:rPr>
          <w:i w:val="0"/>
          <w:color w:val="000000" w:themeColor="text1"/>
          <w:sz w:val="24"/>
          <w:szCs w:val="24"/>
        </w:rPr>
        <w:t xml:space="preserve">ребования </w:t>
      </w:r>
      <w:r>
        <w:rPr>
          <w:i w:val="0"/>
          <w:color w:val="000000" w:themeColor="text1"/>
          <w:sz w:val="24"/>
          <w:szCs w:val="24"/>
        </w:rPr>
        <w:t xml:space="preserve">к оборудованию</w:t>
      </w:r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Поставляемое оборудование </w:t>
      </w:r>
      <w:r>
        <w:rPr>
          <w:color w:val="000000" w:themeColor="text1"/>
        </w:rPr>
        <w:t xml:space="preserve">должно </w:t>
      </w:r>
      <w:r>
        <w:rPr>
          <w:color w:val="000000" w:themeColor="text1"/>
        </w:rPr>
        <w:t xml:space="preserve">быть предназначено для организации IP телефонии </w:t>
      </w:r>
      <w:r>
        <w:rPr>
          <w:color w:val="000000" w:themeColor="text1"/>
        </w:rPr>
        <w:br/>
      </w:r>
      <w:r>
        <w:rPr>
          <w:color w:val="000000" w:themeColor="text1"/>
        </w:rPr>
        <w:t xml:space="preserve">в сетях с пакетной коммутацией.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17"/>
        <w:numPr>
          <w:ilvl w:val="0"/>
          <w:numId w:val="0"/>
        </w:numPr>
        <w:ind w:left="0" w:right="0" w:firstLine="0"/>
        <w:jc w:val="both"/>
        <w:keepLines/>
        <w:spacing w:before="0" w:after="0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5.3. </w:t>
      </w:r>
      <w:bookmarkStart w:id="0" w:name="undefined"/>
      <w:r>
        <w:rPr>
          <w:i w:val="0"/>
          <w:color w:val="000000" w:themeColor="text1"/>
          <w:sz w:val="24"/>
          <w:szCs w:val="24"/>
        </w:rPr>
        <w:t xml:space="preserve">Требования т</w:t>
      </w:r>
      <w:r>
        <w:rPr>
          <w:i w:val="0"/>
          <w:color w:val="000000" w:themeColor="text1"/>
          <w:sz w:val="24"/>
          <w:szCs w:val="24"/>
        </w:rPr>
        <w:t xml:space="preserve">ерминалу IP телефонии</w:t>
      </w:r>
      <w:r>
        <w:rPr>
          <w:i w:val="0"/>
          <w:color w:val="000000" w:themeColor="text1"/>
          <w:sz w:val="24"/>
          <w:szCs w:val="24"/>
        </w:rPr>
      </w:r>
      <w:bookmarkEnd w:id="0"/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23"/>
        <w:ind w:firstLine="709"/>
        <w:spacing w:before="0" w:after="0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 xml:space="preserve">Технические и функциональные характеристики предложенного оборудования</w:t>
      </w:r>
      <w:r>
        <w:rPr>
          <w:color w:val="000000" w:themeColor="text1"/>
          <w:spacing w:val="-2"/>
        </w:rPr>
        <w:t xml:space="preserve"> должны быть не хуже требуемых, </w:t>
      </w:r>
      <w:r>
        <w:rPr>
          <w:color w:val="000000" w:themeColor="text1"/>
          <w:spacing w:val="-2"/>
        </w:rPr>
        <w:t xml:space="preserve">приведен</w:t>
      </w:r>
      <w:r>
        <w:rPr>
          <w:color w:val="000000" w:themeColor="text1"/>
          <w:spacing w:val="-2"/>
        </w:rPr>
        <w:t xml:space="preserve">н</w:t>
      </w:r>
      <w:r>
        <w:rPr>
          <w:color w:val="000000" w:themeColor="text1"/>
          <w:spacing w:val="-2"/>
        </w:rPr>
        <w:t xml:space="preserve">ы</w:t>
      </w:r>
      <w:r>
        <w:rPr>
          <w:color w:val="000000" w:themeColor="text1"/>
          <w:spacing w:val="-2"/>
        </w:rPr>
        <w:t xml:space="preserve">х</w:t>
      </w:r>
      <w:r>
        <w:rPr>
          <w:color w:val="000000" w:themeColor="text1"/>
          <w:spacing w:val="-2"/>
        </w:rPr>
        <w:t xml:space="preserve"> в Таблице </w:t>
      </w:r>
      <w:r>
        <w:rPr>
          <w:color w:val="000000" w:themeColor="text1"/>
          <w:spacing w:val="-2"/>
        </w:rPr>
        <w:t xml:space="preserve">1</w:t>
      </w:r>
      <w:r>
        <w:rPr>
          <w:color w:val="000000" w:themeColor="text1"/>
          <w:spacing w:val="-2"/>
        </w:rPr>
        <w:t xml:space="preserve">.</w:t>
      </w:r>
      <w:r>
        <w:rPr>
          <w:color w:val="000000" w:themeColor="text1"/>
          <w:spacing w:val="-2"/>
        </w:rPr>
      </w:r>
      <w:r>
        <w:rPr>
          <w:color w:val="000000" w:themeColor="text1"/>
          <w:spacing w:val="-2"/>
        </w:rPr>
      </w:r>
    </w:p>
    <w:p>
      <w:pPr>
        <w:pStyle w:val="1023"/>
        <w:ind w:firstLine="709"/>
        <w:spacing w:before="0" w:after="0"/>
        <w:rPr>
          <w:color w:val="auto"/>
          <w:spacing w:val="-2"/>
        </w:rPr>
      </w:pPr>
      <w:r>
        <w:rPr>
          <w:color w:val="000000" w:themeColor="text1"/>
          <w:spacing w:val="-2"/>
        </w:rPr>
        <w:t xml:space="preserve">ОКПД2: </w:t>
      </w:r>
      <w:r>
        <w:rPr>
          <w:color w:val="auto"/>
          <w:spacing w:val="-2"/>
        </w:rPr>
        <w:t xml:space="preserve">26.30.23.141: Оборудование систем передачи аудио-, видео-информации для цифровой телефонии и конференц-связи (VoIP-телефоны, видеотелефоны, терминалы ВКС (видео-конференц-связь))</w:t>
      </w:r>
      <w:r>
        <w:rPr>
          <w:color w:val="auto"/>
          <w:spacing w:val="-2"/>
        </w:rPr>
        <w:t xml:space="preserve">.</w:t>
      </w:r>
      <w:r>
        <w:rPr>
          <w:color w:val="auto"/>
          <w:spacing w:val="-2"/>
        </w:rPr>
      </w:r>
      <w:r>
        <w:rPr>
          <w:color w:val="auto"/>
          <w:spacing w:val="-2"/>
        </w:rPr>
      </w:r>
    </w:p>
    <w:p>
      <w:pPr>
        <w:pStyle w:val="1023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Код КТРУ:</w:t>
      </w:r>
      <w:r>
        <w:rPr>
          <w:color w:val="auto"/>
        </w:rPr>
        <w:t xml:space="preserve"> </w:t>
      </w:r>
      <w:r>
        <w:rPr>
          <w:color w:val="auto"/>
        </w:rPr>
        <w:t xml:space="preserve">26.30.11.110-00000047</w:t>
      </w:r>
      <w:r>
        <w:rPr>
          <w:color w:val="auto"/>
        </w:rPr>
        <w:t xml:space="preserve"> </w:t>
      </w:r>
      <w:r>
        <w:rPr>
          <w:color w:val="000000" w:themeColor="text1"/>
        </w:rPr>
        <w:t xml:space="preserve">(</w:t>
      </w:r>
      <w:r>
        <w:rPr>
          <w:color w:val="000000" w:themeColor="text1"/>
        </w:rPr>
        <w:t xml:space="preserve">Терминал </w:t>
      </w:r>
      <w:r>
        <w:rPr>
          <w:color w:val="000000" w:themeColor="text1"/>
          <w:lang w:val="en-US"/>
        </w:rPr>
        <w:t xml:space="preserve">IP</w:t>
      </w:r>
      <w:r>
        <w:rPr>
          <w:color w:val="000000" w:themeColor="text1"/>
        </w:rPr>
        <w:t xml:space="preserve"> телефонии</w:t>
      </w:r>
      <w:r>
        <w:rPr>
          <w:color w:val="000000" w:themeColor="text1"/>
        </w:rPr>
        <w:t xml:space="preserve">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567"/>
        <w:jc w:val="right"/>
        <w:spacing w:before="0" w:after="0"/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23"/>
        <w:ind w:firstLine="567"/>
        <w:jc w:val="right"/>
        <w:spacing w:before="0" w:after="0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Таблица 1</w:t>
      </w:r>
      <w:r>
        <w:rPr>
          <w:color w:val="000000" w:themeColor="text1"/>
        </w:rPr>
        <w:t xml:space="preserve"> – Технические характеристики </w:t>
      </w:r>
      <w:r>
        <w:rPr>
          <w:color w:val="000000" w:themeColor="text1"/>
          <w:lang w:val="en-US"/>
        </w:rPr>
        <w:t xml:space="preserve">IP </w:t>
      </w:r>
      <w:r>
        <w:rPr>
          <w:color w:val="000000" w:themeColor="text1"/>
        </w:rPr>
        <w:t xml:space="preserve">телефона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tbl>
      <w:tblPr>
        <w:tblStyle w:val="987"/>
        <w:tblW w:w="10205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626"/>
        <w:gridCol w:w="500"/>
        <w:gridCol w:w="992"/>
        <w:gridCol w:w="1910"/>
        <w:gridCol w:w="1700"/>
        <w:gridCol w:w="1275"/>
        <w:gridCol w:w="156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4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№п/п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Тип объекта закупки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8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Позиции по КТРУ, ОКПД2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6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Количество (объем) и единица измерения товара, работы, услуги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4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highlight w:val="none"/>
                <w14:ligatures w14:val="none"/>
              </w:rPr>
            </w:pPr>
            <w:r>
              <w:rPr>
                <w:sz w:val="20"/>
                <w:szCs w:val="20"/>
                <w14:ligatures w14:val="none"/>
              </w:rPr>
            </w:r>
            <w:r>
              <w:rPr>
                <w:color w:val="151528"/>
              </w:rPr>
              <w:t xml:space="preserve">IP-телефон </w:t>
            </w:r>
            <w:r>
              <w:rPr>
                <w:sz w:val="20"/>
                <w:szCs w:val="20"/>
                <w14:ligatures w14:val="none"/>
              </w:rPr>
              <w:t xml:space="preserve">Yealink SIP-T58W*</w:t>
            </w: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Товар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8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Терминал </w:t>
            </w: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 xml:space="preserve">IP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телефонии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</w:r>
            <w:r>
              <w:rPr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26.30.11.110-00000047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Оборудование систем передачи ау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дио-, видео-информации для цифровой телефонии и конференц-связи (VoIP-телефоны, видеотелефоны, терминалы ВКС (видео-конференц-связь)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26.30.23.141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6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15 шт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56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Характеристики объекта закупки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Единица измерения характеристики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left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Тип устройства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Стационарный телефон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2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Конструктивные особенности дисплея 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Жидкокристаллический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1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Цветной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Сенсорный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u w:val="none"/>
              </w:rPr>
              <w:t xml:space="preserve">Комплектация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color w:val="auto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highlight w:val="non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22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Блок питания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Подставка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1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Шнур соединительный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Количество дисплеев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tabs>
                <w:tab w:val="right" w:pos="2259" w:leader="none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Штука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Размер дисплея 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≥ 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Дюйм (25,4 мм)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Количество поддерживаемых SIP-линий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≥ 16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Штука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Наличие модулей, портов и интерфейсов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Wi-Fi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Порт Ethernet для подключения к АРМ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Порт Ethernet для подключения к ЛВС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Порт для подключения гарнитуры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Голосовые функции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Генерация комфортного шума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2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Э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хокомпенсация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8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етектор активности речи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Сетевые функции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WEB-интерфейс управления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5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Автоматическая настройка (TR-069,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DHCP)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3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оддержка получения ip-адреса по протоколу DHCP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оддержка стандарта IEEE 802.1X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shd w:val="clear" w:color="auto" w:fill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Сетевые протоколы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Поддержка IPv6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shd w:val="clear" w:color="auto" w:fil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Поддержка SIP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Функции устройства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Локальная записная книжка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4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Встроенные клавиши быстрого набора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ромкая связь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стория вызовов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тображение номера и имени вызывающего абонента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13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ерехват вызова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19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овторный набор номера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оддержка аудиоконференций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ункция не беспокоить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еренаправление вызова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ереадресация вызова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Поддержка видеоконференций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тключение микрофона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Скорость портов Ethernet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≥ 1000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Мегабит в секунду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pStyle w:val="1023"/>
              <w:ind w:firstLine="0"/>
              <w:jc w:val="center"/>
              <w:spacing w:before="0" w:after="0"/>
              <w:rPr>
                <w:color w:val="auto"/>
                <w:szCs w:val="21"/>
                <w:highlight w:val="none"/>
                <w:shd w:val="clear" w:color="auto" w:fill="ffffff"/>
              </w:rPr>
              <w:suppressLineNumbers w:val="0"/>
            </w:pPr>
            <w:r>
              <w:rPr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Конструкция</w:t>
            </w:r>
            <w:r>
              <w:rPr>
                <w:color w:val="auto"/>
                <w:szCs w:val="21"/>
                <w:highlight w:val="none"/>
                <w:shd w:val="clear" w:color="auto" w:fill="ffffff"/>
              </w:rPr>
            </w:r>
            <w:r>
              <w:rPr>
                <w:color w:val="auto"/>
                <w:szCs w:val="21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Электропитание по стандарту PoE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</w:tbl>
    <w:p>
      <w:pPr>
        <w:ind w:firstLine="0"/>
        <w:jc w:val="both"/>
        <w:rPr>
          <w:bCs/>
          <w:i/>
          <w:highlight w:val="none"/>
        </w:rPr>
      </w:pPr>
      <w:r>
        <w:rPr>
          <w:i/>
          <w:iCs/>
          <w:highlight w:val="none"/>
        </w:rPr>
        <w:t xml:space="preserve">*</w:t>
      </w:r>
      <w:r>
        <w:rPr>
          <w:i/>
          <w:iCs/>
          <w:highlight w:val="none"/>
        </w:rPr>
        <w:t xml:space="preserve">Эквивалентный товар не допустим в соответствии с 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tbl>
      <w:tblPr>
        <w:tblW w:w="4248" w:type="pct"/>
        <w:jc w:val="center"/>
        <w:tblLook w:val="0000" w:firstRow="0" w:lastRow="0" w:firstColumn="0" w:lastColumn="0" w:noHBand="0" w:noVBand="0"/>
      </w:tblPr>
      <w:tblGrid>
        <w:gridCol w:w="4441"/>
        <w:gridCol w:w="4413"/>
      </w:tblGrid>
      <w:tr>
        <w:tblPrEx/>
        <w:trPr>
          <w:jc w:val="center"/>
        </w:trPr>
        <w:tc>
          <w:tcPr>
            <w:shd w:val="clear" w:color="auto" w:fill="auto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Директор Департамента</w:t>
              <w:br/>
              <w:t xml:space="preserve">цифровой трансформации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color w:val="000000"/>
                <w:lang w:eastAsia="ar-SA"/>
              </w:rPr>
              <w:t xml:space="preserve">___________________ Ф.В. Мицкевич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auto" w:fill="auto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shd w:val="nil" w:color="auto"/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  <w:br w:type="page" w:clear="all"/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2</w:t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lang w:eastAsia="ar-SA"/>
        </w:rPr>
        <w:outlineLvl w:val="9"/>
      </w:pPr>
      <w:r>
        <w:rPr>
          <w:color w:val="000000"/>
          <w:lang w:eastAsia="ar-SA"/>
        </w:rPr>
        <w:t xml:space="preserve">к Контракту № </w:t>
      </w:r>
      <w:r>
        <w:rPr>
          <w:bCs/>
        </w:rPr>
        <w:t xml:space="preserve">100201966126100126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lang w:eastAsia="ar-SA"/>
        </w:rPr>
        <w:outlineLvl w:val="9"/>
      </w:pPr>
      <w:r>
        <w:rPr>
          <w:lang w:eastAsia="ar-SA"/>
        </w:rPr>
        <w:t xml:space="preserve">от «___» ________2026 г.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b/>
          <w:bCs/>
          <w:caps/>
          <w:lang w:eastAsia="ar-SA"/>
        </w:rPr>
        <w:outlineLvl w:val="9"/>
      </w:pP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caps/>
          <w:lang w:eastAsia="ar-SA"/>
        </w:rPr>
        <w:outlineLvl w:val="9"/>
      </w:pPr>
      <w:r>
        <w:rPr>
          <w:b/>
          <w:caps/>
          <w:lang w:eastAsia="ar-SA"/>
        </w:rPr>
        <w:t xml:space="preserve">Спецификация</w:t>
      </w: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</w:p>
    <w:p>
      <w:pPr>
        <w:ind w:firstLine="0"/>
        <w:jc w:val="center"/>
        <w:spacing w:line="100" w:lineRule="atLeast"/>
        <w:rPr>
          <w:b/>
          <w:caps/>
          <w:sz w:val="2"/>
          <w:lang w:eastAsia="ar-SA"/>
        </w:rPr>
        <w:outlineLvl w:val="9"/>
      </w:pPr>
      <w:r>
        <w:rPr>
          <w:b/>
          <w:caps/>
          <w:sz w:val="2"/>
          <w:lang w:eastAsia="ar-SA"/>
        </w:rPr>
      </w:r>
      <w:r>
        <w:rPr>
          <w:b/>
          <w:caps/>
          <w:sz w:val="2"/>
          <w:lang w:eastAsia="ar-SA"/>
        </w:rPr>
      </w:r>
      <w:r>
        <w:rPr>
          <w:b/>
          <w:caps/>
          <w:sz w:val="2"/>
          <w:lang w:eastAsia="ar-SA"/>
        </w:rPr>
      </w:r>
    </w:p>
    <w:p>
      <w:pPr>
        <w:ind w:firstLine="0"/>
        <w:spacing w:before="20" w:line="100" w:lineRule="atLeast"/>
        <w:tabs>
          <w:tab w:val="left" w:pos="6946" w:leader="none"/>
        </w:tabs>
        <w:rPr>
          <w:sz w:val="12"/>
          <w:lang w:eastAsia="ar-SA"/>
        </w:rPr>
        <w:outlineLvl w:val="9"/>
      </w:pPr>
      <w:r>
        <w:rPr>
          <w:sz w:val="12"/>
          <w:lang w:eastAsia="ar-SA"/>
        </w:rPr>
      </w:r>
      <w:r>
        <w:rPr>
          <w:sz w:val="12"/>
          <w:lang w:eastAsia="ar-SA"/>
        </w:rPr>
      </w:r>
      <w:r>
        <w:rPr>
          <w:sz w:val="12"/>
          <w:lang w:eastAsia="ar-SA"/>
        </w:rPr>
      </w:r>
    </w:p>
    <w:tbl>
      <w:tblPr>
        <w:tblStyle w:val="987"/>
        <w:tblW w:w="0" w:type="auto"/>
        <w:tblInd w:w="-204" w:type="dxa"/>
        <w:tblLayout w:type="fixed"/>
        <w:tblLook w:val="04A0" w:firstRow="1" w:lastRow="0" w:firstColumn="1" w:lastColumn="0" w:noHBand="0" w:noVBand="1"/>
      </w:tblPr>
      <w:tblGrid>
        <w:gridCol w:w="533"/>
        <w:gridCol w:w="1814"/>
        <w:gridCol w:w="709"/>
        <w:gridCol w:w="674"/>
        <w:gridCol w:w="3577"/>
        <w:gridCol w:w="957"/>
        <w:gridCol w:w="1066"/>
        <w:gridCol w:w="1242"/>
      </w:tblGrid>
      <w:tr>
        <w:tblPrEx/>
        <w:trPr/>
        <w:tc>
          <w:tcPr>
            <w:tcW w:w="53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№ 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п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Наименование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изм.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7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57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Технические характеристики объекта закупки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95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Страна происхождения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06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Цена за 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br/>
              <w:t xml:space="preserve">ед. изм. (руб.)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124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Сумма, руб.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664"/>
        </w:trPr>
        <w:tc>
          <w:tcPr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1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0"/>
                <w:szCs w:val="20"/>
                <w:highlight w:val="none"/>
                <w14:ligatures w14:val="none"/>
              </w:rPr>
            </w:pPr>
            <w:r>
              <w:rPr>
                <w:sz w:val="20"/>
                <w:szCs w:val="20"/>
                <w14:ligatures w14:val="none"/>
              </w:rPr>
            </w:r>
            <w:r>
              <w:rPr>
                <w:color w:val="151528"/>
              </w:rPr>
              <w:t xml:space="preserve">IP-телефон </w:t>
            </w:r>
            <w:r>
              <w:rPr>
                <w:sz w:val="20"/>
                <w:szCs w:val="20"/>
                <w14:ligatures w14:val="none"/>
              </w:rPr>
              <w:t xml:space="preserve">Yealink SIP-T58W</w:t>
            </w: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sz w:val="20"/>
                <w:szCs w:val="20"/>
                <w:highlight w:val="none"/>
                <w14:ligatures w14:val="none"/>
              </w:rPr>
            </w:pP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ind w:firstLine="0"/>
              <w:jc w:val="left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ind w:firstLine="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КТРУ: Терминал IP телефонии </w:t>
            </w: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ind w:firstLine="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(26.30.11.110-00000047)</w:t>
            </w: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ind w:firstLine="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ОКПД: Оборудование систем передачи аудио-, видео-информации для цифровой телефонии и конференц-связи (VoIP-телефоны, видеотелефоны, терминалы ВКС (видео-конференц-связь)</w:t>
            </w: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26.30.23.141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674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none"/>
              </w:rPr>
              <w:t xml:space="preserve">15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3577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</w:pPr>
            <w:r>
              <w:t xml:space="preserve">Тип устройства: Стационарный телефон; </w:t>
            </w:r>
            <w:r/>
          </w:p>
          <w:p>
            <w:pPr>
              <w:ind w:firstLine="0"/>
              <w:jc w:val="left"/>
            </w:pPr>
            <w:r>
              <w:t xml:space="preserve">Конструктивные особенности дисплея 1: Жидкокристаллический,</w:t>
            </w:r>
            <w:r/>
          </w:p>
          <w:p>
            <w:pPr>
              <w:ind w:firstLine="0"/>
              <w:jc w:val="left"/>
            </w:pPr>
            <w:r>
              <w:t xml:space="preserve">Цветной</w:t>
            </w:r>
            <w:r/>
          </w:p>
          <w:p>
            <w:pPr>
              <w:ind w:firstLine="0"/>
              <w:jc w:val="left"/>
            </w:pPr>
            <w:r>
              <w:t xml:space="preserve">Сенсорный</w:t>
            </w:r>
            <w:r/>
          </w:p>
          <w:p>
            <w:pPr>
              <w:ind w:firstLine="0"/>
              <w:jc w:val="left"/>
            </w:pPr>
            <w:r>
              <w:t xml:space="preserve">Комплектация: </w:t>
            </w:r>
            <w:r>
              <w:t xml:space="preserve">Базовая станция, </w:t>
            </w:r>
            <w:r>
              <w:t xml:space="preserve">Блок питания, </w:t>
            </w:r>
            <w:r>
              <w:t xml:space="preserve">Подставка</w:t>
            </w:r>
            <w:r/>
          </w:p>
          <w:p>
            <w:pPr>
              <w:ind w:firstLine="0"/>
              <w:jc w:val="left"/>
            </w:pPr>
            <w:r>
              <w:t xml:space="preserve">Шнур соединительный</w:t>
            </w:r>
            <w:r/>
          </w:p>
          <w:p>
            <w:pPr>
              <w:ind w:firstLine="0"/>
              <w:jc w:val="left"/>
            </w:pPr>
            <w:r>
              <w:t xml:space="preserve">Количество дисплеев: 1 Штука</w:t>
            </w:r>
            <w:r/>
          </w:p>
          <w:p>
            <w:pPr>
              <w:ind w:firstLine="0"/>
              <w:jc w:val="left"/>
            </w:pPr>
            <w:r>
              <w:t xml:space="preserve">Размер дисплея 1: ≥ 7 Дюйм (25,4 мм)</w:t>
            </w:r>
            <w:r/>
          </w:p>
          <w:p>
            <w:pPr>
              <w:ind w:firstLine="0"/>
              <w:jc w:val="left"/>
            </w:pPr>
            <w:r>
              <w:t xml:space="preserve">Количество поддерживаемых SIP-линий:  ≥ 16   Штука</w:t>
            </w:r>
            <w:r/>
          </w:p>
          <w:p>
            <w:pPr>
              <w:ind w:firstLine="0"/>
              <w:jc w:val="left"/>
            </w:pPr>
            <w:r>
              <w:t xml:space="preserve">Наличие модулей, портов и интерфейсов: Wi-Fi; </w:t>
            </w:r>
            <w:r>
              <w:t xml:space="preserve">Порт Ethernet для подключения к АРМ; </w:t>
            </w:r>
            <w:r>
              <w:t xml:space="preserve">Порт Ethernet для подключения к ЛВС;</w:t>
            </w:r>
            <w:r/>
          </w:p>
          <w:p>
            <w:pPr>
              <w:ind w:firstLine="0"/>
              <w:jc w:val="left"/>
            </w:pPr>
            <w:r>
              <w:t xml:space="preserve">Порт для подключения гарнитуры</w:t>
            </w:r>
            <w:r/>
          </w:p>
          <w:p>
            <w:pPr>
              <w:ind w:firstLine="0"/>
              <w:jc w:val="left"/>
            </w:pPr>
            <w:r>
              <w:t xml:space="preserve">Голосовые функции: Генерация комфортного шума, э</w:t>
            </w:r>
            <w:r>
              <w:t xml:space="preserve">хокомпенсация, </w:t>
            </w:r>
            <w:r>
              <w:t xml:space="preserve">Детектор активности речи</w:t>
            </w:r>
            <w:r/>
          </w:p>
          <w:p>
            <w:pPr>
              <w:ind w:firstLine="0"/>
              <w:jc w:val="left"/>
            </w:pPr>
            <w:r>
              <w:t xml:space="preserve">Сетевые функции: WEB-интерфейс управления.</w:t>
            </w:r>
            <w:r/>
          </w:p>
          <w:p>
            <w:pPr>
              <w:ind w:firstLine="0"/>
              <w:jc w:val="left"/>
            </w:pPr>
            <w:r>
              <w:t xml:space="preserve">Автоматическая настройка (TR-069, DHCP): </w:t>
            </w:r>
            <w:r>
              <w:t xml:space="preserve">Поддержка получения ip-адреса по протоколу DHCP, </w:t>
            </w:r>
            <w:r>
              <w:t xml:space="preserve">Поддержка стандарта IEEE 802.1X, </w:t>
            </w:r>
            <w:r>
              <w:t xml:space="preserve">Сетевые протоколы,  Поддержка IPv6, </w:t>
            </w:r>
            <w:r>
              <w:t xml:space="preserve">Поддержка SIP</w:t>
            </w:r>
            <w:r/>
          </w:p>
          <w:p>
            <w:pPr>
              <w:ind w:firstLine="0"/>
              <w:jc w:val="left"/>
            </w:pPr>
            <w:r>
              <w:t xml:space="preserve">Функции устройства: Локальная записная книжка, </w:t>
            </w:r>
            <w:r>
              <w:t xml:space="preserve">Встроенные клавиши быстрого набора,</w:t>
            </w:r>
            <w:r>
              <w:t xml:space="preserve">Громкая связь, </w:t>
            </w:r>
            <w:r>
              <w:t xml:space="preserve">История вызовов, О</w:t>
            </w:r>
            <w:r>
              <w:t xml:space="preserve">тображение номера и имени вызывающего абонента, </w:t>
            </w:r>
            <w:r>
              <w:t xml:space="preserve">Поддержка видеоконференций</w:t>
            </w:r>
            <w:r>
              <w:t xml:space="preserve"> </w:t>
            </w:r>
            <w:r>
              <w:t xml:space="preserve">Перехват вызова, </w:t>
            </w:r>
            <w:r>
              <w:t xml:space="preserve">Повторный набор номера, </w:t>
            </w:r>
            <w:r>
              <w:t xml:space="preserve">Поддержка аудиоконференций, </w:t>
            </w:r>
            <w:r/>
          </w:p>
          <w:p>
            <w:pPr>
              <w:ind w:firstLine="0"/>
              <w:jc w:val="left"/>
            </w:pPr>
            <w:r>
              <w:t xml:space="preserve">Функция не беспокоить, </w:t>
            </w:r>
            <w:r>
              <w:t xml:space="preserve">Перенаправление вызова</w:t>
            </w:r>
            <w:r/>
          </w:p>
          <w:p>
            <w:pPr>
              <w:ind w:firstLine="0"/>
              <w:jc w:val="left"/>
            </w:pPr>
            <w:r>
              <w:t xml:space="preserve">Переадресация вызова</w:t>
            </w:r>
            <w:r/>
          </w:p>
          <w:p>
            <w:pPr>
              <w:ind w:firstLine="0"/>
              <w:jc w:val="left"/>
            </w:pPr>
            <w:r>
              <w:t xml:space="preserve">Отключение микрофона</w:t>
            </w:r>
            <w:r/>
          </w:p>
          <w:p>
            <w:pPr>
              <w:ind w:firstLine="0"/>
              <w:jc w:val="left"/>
            </w:pPr>
            <w:r>
              <w:t xml:space="preserve">Скорость портов Ethernet ≥ 1000 Мегабит в секунду</w:t>
            </w:r>
            <w:r/>
          </w:p>
          <w:p>
            <w:pPr>
              <w:ind w:firstLine="0"/>
              <w:jc w:val="left"/>
            </w:pPr>
            <w:r>
              <w:t xml:space="preserve">Конструкция</w:t>
              <w:tab/>
              <w:t xml:space="preserve">Электропитание по стандарту PoE</w:t>
              <w:tab/>
            </w:r>
            <w:r/>
          </w:p>
        </w:tc>
        <w:tc>
          <w:tcPr>
            <w:tcW w:w="95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Китай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6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39 980,00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4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599 700,00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8263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2308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599 700,00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8263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 том числе НДС 22%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2308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108 142,62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ind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4248" w:type="pct"/>
        <w:jc w:val="center"/>
        <w:tblLook w:val="0000" w:firstRow="0" w:lastRow="0" w:firstColumn="0" w:lastColumn="0" w:noHBand="0" w:noVBand="0"/>
      </w:tblPr>
      <w:tblGrid>
        <w:gridCol w:w="4501"/>
        <w:gridCol w:w="4472"/>
      </w:tblGrid>
      <w:tr>
        <w:tblPrEx/>
        <w:trPr>
          <w:jc w:val="center"/>
        </w:trPr>
        <w:tc>
          <w:tcPr>
            <w:shd w:val="clear" w:color="ffffff" w:fill="ffffff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Директор Департамента</w:t>
              <w:br/>
              <w:t xml:space="preserve">цифровой трансформации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color w:val="000000"/>
                <w:lang w:eastAsia="ar-SA"/>
              </w:rPr>
              <w:t xml:space="preserve">___________________ Ф.В. Мицкевич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ffffff" w:fill="ffffff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ffffff" w:fill="ffffff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ffffff" w:fill="ffffff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sz w:val="2"/>
          <w:szCs w:val="2"/>
        </w:rPr>
        <w:outlineLvl w:val="9"/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0"/>
        <w:sectPr>
          <w:footnotePr/>
          <w:endnotePr/>
          <w:type w:val="nextPage"/>
          <w:pgSz w:w="11906" w:h="16838" w:orient="portrait"/>
          <w:pgMar w:top="567" w:right="709" w:bottom="964" w:left="1134" w:header="709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3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к Контракту № </w:t>
      </w:r>
      <w:r>
        <w:rPr>
          <w:bCs/>
        </w:rPr>
        <w:t xml:space="preserve">100201966126100126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от «___» ________2026 г.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10"/>
        <w:gridCol w:w="4996"/>
      </w:tblGrid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ПОСТАВЩИК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rPr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lang w:val="en-US"/>
              </w:rPr>
              <w:t xml:space="preserve">Публичное акционерное общество «СОФТЛАЙН» (ПАО «СОФТЛАЙН»)</w:t>
            </w:r>
            <w:r>
              <w:rPr>
                <w:color w:val="000000"/>
                <w:sz w:val="24"/>
                <w:szCs w:val="24"/>
                <w:lang w:val="en-US"/>
              </w:rPr>
            </w:r>
            <w:r>
              <w:rPr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Китайгородский пр-д, д. 7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Щепкина ул., д. 42, стр. 1, 2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03211643000000019503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 00083641/45381000</w:t>
            </w:r>
            <w:r>
              <w:rPr>
                <w:color w:val="000000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E-mail: pleshakovaga</w:t>
            </w:r>
            <w:r>
              <w:rPr>
                <w:color w:val="000000"/>
                <w:lang w:eastAsia="ar-SA"/>
              </w:rPr>
              <w:t xml:space="preserve">@minenergo.gov.ru</w:t>
            </w:r>
            <w:r/>
          </w:p>
          <w:p>
            <w:pPr>
              <w:ind w:firstLine="0"/>
              <w:jc w:val="left"/>
              <w:spacing w:line="276" w:lineRule="auto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Тел: (495) 631-95-36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spacing w:line="276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Юридический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Почтовый адрес: </w:t>
            </w:r>
            <w:r>
              <w:rPr>
                <w:color w:val="000000"/>
                <w:sz w:val="24"/>
                <w:szCs w:val="24"/>
              </w:rPr>
              <w:t xml:space="preserve">119021, г. Москва, </w:t>
              <w:br/>
              <w:t xml:space="preserve">ул. Льва Толстого, д. 5, стр. 1, эт. 3, </w:t>
              <w:br/>
              <w:t xml:space="preserve">помещ. 1, ком. № 2, 2а (а-311)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7736227885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КПП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770401001,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КПП крупнейшего налогоплательщика: 774950001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59754311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ОКТМО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45383000000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ОГРН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1027736009333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 ОКВЭД </w:t>
            </w:r>
            <w:r>
              <w:rPr>
                <w:color w:val="000000"/>
                <w:sz w:val="24"/>
                <w:szCs w:val="24"/>
              </w:rPr>
              <w:t xml:space="preserve">46.90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color w:val="000000"/>
                <w:sz w:val="24"/>
                <w:szCs w:val="24"/>
              </w:rPr>
              <w:t xml:space="preserve">Наименование банка: Банк ГПБ (АО)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40702810800000010453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к\с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30101810200000000823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БИК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044525823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е-mail: </w:t>
            </w:r>
            <w:r>
              <w:rPr>
                <w:color w:val="000000"/>
                <w:sz w:val="24"/>
                <w:szCs w:val="24"/>
              </w:rPr>
              <w:t xml:space="preserve">corporate@softline.com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rPr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4"/>
                <w:szCs w:val="24"/>
              </w:rPr>
              <w:t xml:space="preserve">тел. +</w:t>
            </w:r>
            <w:r>
              <w:rPr>
                <w:color w:val="000000"/>
                <w:sz w:val="24"/>
                <w:szCs w:val="24"/>
              </w:rPr>
              <w:t xml:space="preserve">7 (495) 232-00-23</w:t>
            </w:r>
            <w:r>
              <w:rPr>
                <w:color w:val="000000"/>
                <w:sz w:val="24"/>
                <w:szCs w:val="24"/>
              </w:rPr>
              <w:t xml:space="preserve">,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Дата постановки на учет в налоговом органе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</w:r>
            <w:r>
              <w:rPr>
                <w:sz w:val="24"/>
                <w:szCs w:val="24"/>
              </w:rPr>
              <w:t xml:space="preserve">21.02.2008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  <w:t xml:space="preserve">ФОРМА АКТА ПРИЕМА-ПЕРЕДАЧИ ТОВАРА №___</w:t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lang w:eastAsia="ar-SA"/>
        </w:rPr>
        <w:outlineLvl w:val="9"/>
      </w:pPr>
      <w:r>
        <w:rPr>
          <w:b/>
          <w:bCs/>
          <w:lang w:eastAsia="ar-SA"/>
        </w:rPr>
        <w:t xml:space="preserve">по Контракту</w:t>
      </w:r>
      <w:r>
        <w:rPr>
          <w:b/>
          <w:lang w:eastAsia="ar-SA"/>
        </w:rPr>
        <w:t xml:space="preserve"> от «___» ___________ 2026 г.  № ______________________________</w:t>
      </w:r>
      <w:r>
        <w:rPr>
          <w:b/>
          <w:lang w:eastAsia="ar-SA"/>
        </w:rPr>
      </w:r>
      <w:r>
        <w:rPr>
          <w:b/>
          <w:lang w:eastAsia="ar-SA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5563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г. Москва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                             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          «___» ____________ 2026 г.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</w:tbl>
    <w:p>
      <w:r>
        <w:rPr>
          <w:highlight w:val="none"/>
        </w:rPr>
      </w:r>
      <w:r>
        <w:rPr>
          <w:highlight w:val="none"/>
        </w:rPr>
      </w:r>
      <w:r/>
    </w:p>
    <w:p>
      <w:pPr>
        <w:rPr>
          <w:highlight w:val="none"/>
        </w:rPr>
      </w:pPr>
      <w:r>
        <w:t xml:space="preserve">Министерство энергетики Российской Федерации (Минэнерго России), именуемое</w:t>
      </w:r>
      <w:r>
        <w:br/>
        <w:t xml:space="preserve">в дальнейшем «Заказчик», в лице </w:t>
      </w:r>
      <w:r>
        <w:t xml:space="preserve">директора Департамента цифровой трансформации Мицкевича Феликса Владимировича</w:t>
      </w:r>
      <w:r>
        <w:t xml:space="preserve">, действующего на основании приказа Минэнерго России от </w:t>
        <w:br/>
        <w:t xml:space="preserve">24.11.2021 № 1286 </w:t>
      </w:r>
      <w:r>
        <w:rPr>
          <w:lang w:eastAsia="en-US"/>
        </w:rPr>
        <w:t xml:space="preserve">и доверенности от 03.03.2025 № СЦ-3295/14</w:t>
      </w:r>
      <w:r>
        <w:t xml:space="preserve">, и ________________________, именуемое в дальнейшем «Поставщик», </w:t>
      </w:r>
      <w:r>
        <w:t xml:space="preserve">в лице_____________________________, действующего на основании________________________, с другой стороны, составили настоящий Акт о нижеследующем:</w:t>
      </w:r>
      <w:r>
        <w:rPr>
          <w:highlight w:val="none"/>
        </w:rPr>
      </w:r>
    </w:p>
    <w:p>
      <w:pPr>
        <w:ind w:left="13"/>
        <w:tabs>
          <w:tab w:val="left" w:pos="851" w:leader="none"/>
        </w:tabs>
      </w:pPr>
      <w:r>
        <w:t xml:space="preserve">1.</w:t>
      </w:r>
      <w:r>
        <w:tab/>
        <w:t xml:space="preserve">В соответствии с условиями контракта от «__» __________ 2026 г. № _______ </w:t>
      </w:r>
      <w:r>
        <w:br/>
        <w:t xml:space="preserve">(далее – Контракт) Поставщиком передан, а Заказчиком принят Товар по предмету закупки: </w:t>
      </w:r>
      <w:r>
        <w:t xml:space="preserve">____________________________________________</w:t>
      </w:r>
      <w:r>
        <w:t xml:space="preserve">.</w:t>
      </w:r>
      <w:r/>
    </w:p>
    <w:p>
      <w:pPr>
        <w:ind w:left="13"/>
        <w:tabs>
          <w:tab w:val="left" w:pos="851" w:leader="none"/>
        </w:tabs>
      </w:pPr>
      <w:r>
        <w:br w:type="page" w:clear="all"/>
        <w:t xml:space="preserve">2.</w:t>
      </w:r>
      <w:r>
        <w:tab/>
        <w:t xml:space="preserve">Контрактом предусмотрена поставка:</w:t>
      </w:r>
      <w:r/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1886"/>
        <w:gridCol w:w="1860"/>
        <w:gridCol w:w="2248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2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8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Сумма </w:t>
            </w:r>
            <w:r>
              <w:rPr>
                <w:bCs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2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8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60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vertAlign w:val="superscript"/>
                <w:lang w:eastAsia="ar-SA"/>
              </w:rPr>
              <w:outlineLvl w:val="9"/>
            </w:pP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4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shd w:val="clear" w:color="auto" w:fill="ffffff"/>
                <w:lang w:eastAsia="ar-SA"/>
              </w:rPr>
              <w:outlineLvl w:val="9"/>
            </w:pP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</w:p>
        </w:tc>
      </w:tr>
    </w:tbl>
    <w:p>
      <w:pPr>
        <w:ind w:left="11"/>
        <w:spacing w:before="120" w:after="120"/>
        <w:tabs>
          <w:tab w:val="left" w:pos="851" w:leader="none"/>
        </w:tabs>
      </w:pPr>
      <w:r>
        <w:t xml:space="preserve">3.</w:t>
      </w:r>
      <w:r>
        <w:tab/>
        <w:t xml:space="preserve">Фактически поставлено:</w:t>
      </w:r>
      <w:r/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1886"/>
        <w:gridCol w:w="1860"/>
        <w:gridCol w:w="2248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2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8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Сумма </w:t>
            </w:r>
            <w:r>
              <w:rPr>
                <w:bCs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2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8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60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vertAlign w:val="superscript"/>
                <w:lang w:eastAsia="ar-SA"/>
              </w:rPr>
              <w:outlineLvl w:val="9"/>
            </w:pP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4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shd w:val="clear" w:color="auto" w:fill="ffffff"/>
                <w:lang w:eastAsia="ar-SA"/>
              </w:rPr>
              <w:outlineLvl w:val="9"/>
            </w:pP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</w:p>
        </w:tc>
      </w:tr>
    </w:tbl>
    <w:p>
      <w:pPr>
        <w:ind w:left="13" w:firstLine="554"/>
        <w:tabs>
          <w:tab w:val="left" w:pos="851" w:leader="none"/>
        </w:tabs>
        <w:rPr>
          <w:lang w:eastAsia="en-US"/>
        </w:rPr>
      </w:pPr>
      <w:r>
        <w:t xml:space="preserve">4.</w:t>
      </w:r>
      <w:r>
        <w:tab/>
        <w:t xml:space="preserve">Срок поставки по Контракту: _____________________________________________.</w:t>
      </w:r>
      <w:r>
        <w:rPr>
          <w:lang w:eastAsia="en-US"/>
        </w:rPr>
      </w:r>
      <w:r>
        <w:rPr>
          <w:lang w:eastAsia="en-US"/>
        </w:rPr>
      </w:r>
    </w:p>
    <w:p>
      <w:pPr>
        <w:ind w:left="13" w:firstLine="554"/>
      </w:pPr>
      <w:r>
        <w:t xml:space="preserve">Фактический срок поставки: ___________________ </w:t>
      </w:r>
      <w:r>
        <w:t xml:space="preserve">г</w:t>
      </w:r>
      <w:r>
        <w:t xml:space="preserve">.</w:t>
      </w:r>
      <w:r/>
    </w:p>
    <w:p>
      <w:pPr>
        <w:rPr>
          <w:bCs/>
          <w:i/>
        </w:rPr>
      </w:pPr>
      <w:r>
        <w:rPr>
          <w:bCs/>
          <w:i/>
        </w:rPr>
        <w:t xml:space="preserve">Вариант 1.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Вышеперечисленный Товар поставлен полностью и в срок. Заказчик по объему, качеству и срокам поставки Товара претензий не имеет. 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Итого стоимость поставки Товара составляет </w:t>
      </w:r>
      <w:r>
        <w:rPr>
          <w:b/>
          <w:bCs/>
          <w:i/>
        </w:rPr>
        <w:t xml:space="preserve">___________________________________ </w:t>
      </w:r>
      <w:r>
        <w:rPr>
          <w:bCs/>
          <w:i/>
        </w:rPr>
        <w:t xml:space="preserve">рублей __ копеек</w:t>
      </w:r>
      <w:r>
        <w:rPr>
          <w:b/>
          <w:bCs/>
          <w:i/>
        </w:rPr>
        <w:t xml:space="preserve">, </w:t>
      </w:r>
      <w:r>
        <w:rPr>
          <w:bCs/>
          <w:i/>
        </w:rPr>
        <w:t xml:space="preserve">в том числе НДС</w:t>
      </w:r>
      <w:r>
        <w:rPr>
          <w:bCs/>
          <w:i/>
          <w:vertAlign w:val="superscript"/>
        </w:rPr>
        <w:footnoteReference w:customMarkFollows="1" w:id="2"/>
        <w:t xml:space="preserve">[1]</w:t>
      </w:r>
      <w:r>
        <w:rPr>
          <w:bCs/>
          <w:i/>
        </w:rPr>
        <w:t xml:space="preserve">   _____ (______________________) рублей __ копеек.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Аванс не перечислялся.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Неустойка Поставщику не начисляется.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Вариант 2.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 ходе поставки Товара Заказчик выявил отклонения от условий Контракта или следующие недостатки в поставке Товара: ________________________________________________________.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Поставщику начислена неустойка: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- пени в соответствии с п.__ Контракта в сумме __________________руб.</w:t>
      </w:r>
      <w:r>
        <w:rPr>
          <w:bCs/>
          <w:i/>
        </w:rPr>
      </w:r>
      <w:r>
        <w:rPr>
          <w:bCs/>
          <w:i/>
        </w:rPr>
      </w:r>
    </w:p>
    <w:p>
      <w:pPr>
        <w:ind w:left="13"/>
        <w:rPr>
          <w:i/>
          <w:iCs/>
        </w:rPr>
      </w:pPr>
      <w:r>
        <w:rPr>
          <w:bCs/>
          <w:i/>
        </w:rPr>
        <w:t xml:space="preserve">Итого стоимость поставки Товара составляет </w:t>
      </w:r>
      <w:r>
        <w:rPr>
          <w:b/>
          <w:bCs/>
          <w:i/>
        </w:rPr>
        <w:t xml:space="preserve">___________________________________ </w:t>
      </w:r>
      <w:r>
        <w:rPr>
          <w:bCs/>
          <w:i/>
        </w:rPr>
        <w:t xml:space="preserve">рублей __ копеек</w:t>
      </w:r>
      <w:r>
        <w:rPr>
          <w:b/>
          <w:bCs/>
          <w:i/>
        </w:rPr>
        <w:t xml:space="preserve">, </w:t>
      </w:r>
      <w:r>
        <w:rPr>
          <w:bCs/>
          <w:i/>
        </w:rPr>
        <w:t xml:space="preserve">в том числе НДС</w:t>
      </w:r>
      <w:r>
        <w:rPr>
          <w:bCs/>
          <w:i/>
          <w:vertAlign w:val="superscript"/>
        </w:rPr>
        <w:t xml:space="preserve">[1]</w:t>
      </w:r>
      <w:r>
        <w:rPr>
          <w:bCs/>
          <w:i/>
        </w:rPr>
        <w:t xml:space="preserve">   _____ (______________________) рублей __ копеек.</w:t>
      </w:r>
      <w:r>
        <w:rPr>
          <w:i/>
          <w:iCs/>
        </w:rPr>
      </w:r>
      <w:r>
        <w:rPr>
          <w:i/>
          <w:iCs/>
        </w:rPr>
      </w:r>
    </w:p>
    <w:p>
      <w:pPr>
        <w:ind w:left="13" w:firstLine="554"/>
        <w:tabs>
          <w:tab w:val="left" w:pos="851" w:leader="none"/>
        </w:tabs>
      </w:pPr>
      <w:r>
        <w:t xml:space="preserve">5.</w:t>
      </w:r>
      <w:r>
        <w:tab/>
        <w:t xml:space="preserve">Сумма, подлежащая уплате Поставщику за Товар, принятый по настоящему акту </w:t>
      </w:r>
      <w:r>
        <w:br/>
        <w:t xml:space="preserve">(с учетом удержания пени) – ______________________ руб., в том числе НДС </w:t>
      </w:r>
      <w:r>
        <w:br/>
        <w:t xml:space="preserve">(%)/без НДС.</w:t>
      </w:r>
      <w:r/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tbl>
      <w:tblPr>
        <w:tblW w:w="1020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>
        <w:tblPrEx/>
        <w:trPr/>
        <w:tc>
          <w:tcPr>
            <w:tcW w:w="5245" w:type="dxa"/>
            <w:textDirection w:val="lrTb"/>
            <w:noWrap w:val="false"/>
          </w:tcPr>
          <w:p>
            <w:pPr>
              <w:ind w:firstLine="0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 </w:t>
            </w:r>
            <w:r>
              <w:rPr>
                <w:color w:val="000000"/>
                <w:lang w:val="en-US"/>
              </w:rPr>
              <w:t xml:space="preserve">/ _____________/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</w:rPr>
              <w:t xml:space="preserve">ПОСТАВЩИК: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 </w:t>
            </w:r>
            <w:r>
              <w:rPr>
                <w:color w:val="000000"/>
                <w:lang w:val="en-US"/>
              </w:rPr>
              <w:t xml:space="preserve">/ 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  <w:t xml:space="preserve">СОГЛАСОВАНА КАК ФОРМА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Директор Департамента </w:t>
              <w:br/>
              <w:t xml:space="preserve">цифровой трансформации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color w:val="000000"/>
                <w:lang w:eastAsia="ar-SA"/>
              </w:rPr>
              <w:t xml:space="preserve">___________________ Ф.В. Мицкевич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Генеральный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  <w:lang w:eastAsia="ar-SA"/>
              </w:rPr>
              <w:t xml:space="preserve"> директор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  <w:t xml:space="preserve">_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В.Е. Лавров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ar-SA"/>
              </w:rPr>
              <w:t xml:space="preserve">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firstLine="0"/>
        <w:spacing w:before="20"/>
        <w:tabs>
          <w:tab w:val="left" w:pos="6946" w:leader="none"/>
        </w:tabs>
        <w:rPr>
          <w:color w:val="000000"/>
        </w:rPr>
        <w:outlineLvl w:val="8"/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24"/>
        <w:numPr>
          <w:ilvl w:val="0"/>
          <w:numId w:val="0"/>
        </w:numPr>
        <w:ind w:left="10207"/>
      </w:pPr>
      <w:r/>
      <w:r/>
    </w:p>
    <w:sectPr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94"/>
      </w:pPr>
      <w:r>
        <w:rPr>
          <w:rStyle w:val="996"/>
        </w:rPr>
        <w:t xml:space="preserve">[1]</w:t>
      </w:r>
      <w:r>
        <w:t xml:space="preserve"> В случае если Поставщик освобожден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9421928"/>
      <w:docPartObj>
        <w:docPartGallery w:val="Page Numbers (Top of Page)"/>
        <w:docPartUnique w:val="true"/>
      </w:docPartObj>
      <w:rPr/>
    </w:sdtPr>
    <w:sdtContent>
      <w:p>
        <w:pPr>
          <w:pStyle w:val="99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99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21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pStyle w:val="822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pStyle w:val="823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pStyle w:val="817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818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819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pStyle w:val="824"/>
      <w:isLgl w:val="false"/>
      <w:suff w:val="tab"/>
      <w:lvlText w:val="Приложение № %1"/>
      <w:lvlJc w:val="right"/>
      <w:pPr>
        <w:ind w:left="1056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19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26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41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48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55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6264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pStyle w:val="821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92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99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06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3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121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128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5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1426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6"/>
  </w:num>
  <w:num w:numId="5">
    <w:abstractNumId w:val="9"/>
  </w:num>
  <w:num w:numId="6">
    <w:abstractNumId w:val="11"/>
    <w:lvlOverride w:ilvl="0">
      <w:startOverride w:val="10"/>
    </w:lvlOverride>
  </w:num>
  <w:num w:numId="7">
    <w:abstractNumId w:val="5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</w:num>
  <w:num w:numId="31">
    <w:abstractNumId w:val="7"/>
  </w:num>
  <w:num w:numId="32">
    <w:abstractNumId w:val="14"/>
  </w:num>
  <w:num w:numId="33">
    <w:abstractNumId w:val="10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29"/>
  </w:num>
  <w:num w:numId="41">
    <w:abstractNumId w:val="30"/>
  </w:num>
  <w:num w:numId="42">
    <w:abstractNumId w:val="31"/>
  </w:num>
  <w:num w:numId="43">
    <w:abstractNumId w:val="32"/>
  </w:num>
  <w:num w:numId="44">
    <w:abstractNumId w:val="33"/>
  </w:num>
  <w:num w:numId="45">
    <w:abstractNumId w:val="34"/>
  </w:num>
  <w:num w:numId="46">
    <w:abstractNumId w:val="35"/>
  </w:num>
  <w:num w:numId="47">
    <w:abstractNumId w:val="36"/>
  </w:num>
  <w:num w:numId="48">
    <w:abstractNumId w:val="37"/>
  </w:num>
  <w:num w:numId="49">
    <w:abstractNumId w:val="38"/>
  </w:num>
  <w:num w:numId="50">
    <w:abstractNumId w:val="39"/>
  </w:num>
  <w:num w:numId="51">
    <w:abstractNumId w:val="40"/>
  </w:num>
  <w:num w:numId="52">
    <w:abstractNumId w:val="41"/>
  </w:num>
  <w:num w:numId="53">
    <w:abstractNumId w:val="42"/>
  </w:num>
  <w:num w:numId="54">
    <w:abstractNumId w:val="43"/>
  </w:num>
  <w:num w:numId="55">
    <w:abstractNumId w:val="44"/>
  </w:num>
  <w:num w:numId="56">
    <w:abstractNumId w:val="45"/>
  </w:num>
  <w:num w:numId="57">
    <w:abstractNumId w:val="46"/>
  </w:num>
  <w:num w:numId="58">
    <w:abstractNumId w:val="47"/>
  </w:num>
  <w:num w:numId="59">
    <w:abstractNumId w:val="48"/>
  </w:num>
  <w:num w:numId="60">
    <w:abstractNumId w:val="49"/>
  </w:num>
  <w:num w:numId="61">
    <w:abstractNumId w:val="50"/>
  </w:num>
  <w:num w:numId="62">
    <w:abstractNumId w:val="51"/>
  </w:num>
  <w:num w:numId="63">
    <w:abstractNumId w:val="52"/>
  </w:num>
  <w:num w:numId="64">
    <w:abstractNumId w:val="53"/>
  </w:num>
  <w:num w:numId="65">
    <w:abstractNumId w:val="54"/>
  </w:num>
  <w:num w:numId="66">
    <w:abstractNumId w:val="55"/>
  </w:num>
  <w:num w:numId="67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3">
    <w:name w:val="Quote Char"/>
    <w:link w:val="840"/>
    <w:uiPriority w:val="29"/>
    <w:rPr>
      <w:i/>
    </w:rPr>
  </w:style>
  <w:style w:type="character" w:styleId="814">
    <w:name w:val="Intense Quote Char"/>
    <w:link w:val="842"/>
    <w:uiPriority w:val="30"/>
    <w:rPr>
      <w:i/>
    </w:rPr>
  </w:style>
  <w:style w:type="paragraph" w:styleId="815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16">
    <w:name w:val="Heading 1"/>
    <w:basedOn w:val="815"/>
    <w:next w:val="815"/>
    <w:link w:val="986"/>
    <w:uiPriority w:val="9"/>
    <w:qFormat/>
    <w:pPr>
      <w:jc w:val="center"/>
      <w:outlineLvl w:val="0"/>
    </w:pPr>
    <w:rPr>
      <w:b/>
    </w:rPr>
  </w:style>
  <w:style w:type="paragraph" w:styleId="817">
    <w:name w:val="Heading 2"/>
    <w:basedOn w:val="818"/>
    <w:next w:val="815"/>
    <w:link w:val="988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818">
    <w:name w:val="Heading 3"/>
    <w:basedOn w:val="815"/>
    <w:next w:val="815"/>
    <w:link w:val="989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819">
    <w:name w:val="Heading 4"/>
    <w:basedOn w:val="818"/>
    <w:next w:val="815"/>
    <w:link w:val="991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820">
    <w:name w:val="Heading 5"/>
    <w:basedOn w:val="819"/>
    <w:next w:val="815"/>
    <w:link w:val="997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821">
    <w:name w:val="Heading 6"/>
    <w:basedOn w:val="820"/>
    <w:next w:val="815"/>
    <w:link w:val="998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822">
    <w:name w:val="Heading 7"/>
    <w:basedOn w:val="990"/>
    <w:next w:val="815"/>
    <w:link w:val="1009"/>
    <w:uiPriority w:val="9"/>
    <w:unhideWhenUsed/>
    <w:qFormat/>
    <w:pPr>
      <w:numPr>
        <w:ilvl w:val="0"/>
        <w:numId w:val="8"/>
      </w:numPr>
      <w:jc w:val="left"/>
      <w:spacing w:before="240" w:after="240"/>
      <w:outlineLvl w:val="6"/>
    </w:pPr>
    <w:rPr>
      <w:b/>
      <w:bCs/>
    </w:rPr>
  </w:style>
  <w:style w:type="paragraph" w:styleId="823">
    <w:name w:val="Heading 8"/>
    <w:basedOn w:val="818"/>
    <w:next w:val="815"/>
    <w:link w:val="1010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824">
    <w:name w:val="Heading 9"/>
    <w:basedOn w:val="815"/>
    <w:next w:val="815"/>
    <w:link w:val="1011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825" w:default="1">
    <w:name w:val="Default Paragraph Font"/>
    <w:uiPriority w:val="1"/>
    <w:semiHidden/>
    <w:unhideWhenUsed/>
  </w:style>
  <w:style w:type="table" w:styleId="8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7" w:default="1">
    <w:name w:val="No List"/>
    <w:uiPriority w:val="99"/>
    <w:semiHidden/>
    <w:unhideWhenUsed/>
  </w:style>
  <w:style w:type="character" w:styleId="828" w:customStyle="1">
    <w:name w:val="Heading 1 Char"/>
    <w:basedOn w:val="825"/>
    <w:uiPriority w:val="9"/>
    <w:rPr>
      <w:rFonts w:ascii="Arial" w:hAnsi="Arial" w:eastAsia="Arial" w:cs="Arial"/>
      <w:sz w:val="40"/>
      <w:szCs w:val="40"/>
    </w:rPr>
  </w:style>
  <w:style w:type="character" w:styleId="829" w:customStyle="1">
    <w:name w:val="Heading 2 Char"/>
    <w:basedOn w:val="825"/>
    <w:uiPriority w:val="9"/>
    <w:rPr>
      <w:rFonts w:ascii="Arial" w:hAnsi="Arial" w:eastAsia="Arial" w:cs="Arial"/>
      <w:sz w:val="34"/>
    </w:rPr>
  </w:style>
  <w:style w:type="character" w:styleId="830" w:customStyle="1">
    <w:name w:val="Heading 3 Char"/>
    <w:basedOn w:val="825"/>
    <w:uiPriority w:val="9"/>
    <w:rPr>
      <w:rFonts w:ascii="Arial" w:hAnsi="Arial" w:eastAsia="Arial" w:cs="Arial"/>
      <w:sz w:val="30"/>
      <w:szCs w:val="30"/>
    </w:rPr>
  </w:style>
  <w:style w:type="character" w:styleId="831" w:customStyle="1">
    <w:name w:val="Heading 4 Char"/>
    <w:basedOn w:val="825"/>
    <w:uiPriority w:val="9"/>
    <w:rPr>
      <w:rFonts w:ascii="Arial" w:hAnsi="Arial" w:eastAsia="Arial" w:cs="Arial"/>
      <w:b/>
      <w:bCs/>
      <w:sz w:val="26"/>
      <w:szCs w:val="26"/>
    </w:rPr>
  </w:style>
  <w:style w:type="character" w:styleId="832" w:customStyle="1">
    <w:name w:val="Heading 5 Char"/>
    <w:basedOn w:val="825"/>
    <w:uiPriority w:val="9"/>
    <w:rPr>
      <w:rFonts w:ascii="Arial" w:hAnsi="Arial" w:eastAsia="Arial" w:cs="Arial"/>
      <w:b/>
      <w:bCs/>
      <w:sz w:val="24"/>
      <w:szCs w:val="24"/>
    </w:rPr>
  </w:style>
  <w:style w:type="character" w:styleId="833" w:customStyle="1">
    <w:name w:val="Heading 6 Char"/>
    <w:basedOn w:val="825"/>
    <w:uiPriority w:val="9"/>
    <w:rPr>
      <w:rFonts w:ascii="Arial" w:hAnsi="Arial" w:eastAsia="Arial" w:cs="Arial"/>
      <w:b/>
      <w:bCs/>
      <w:sz w:val="22"/>
      <w:szCs w:val="22"/>
    </w:rPr>
  </w:style>
  <w:style w:type="character" w:styleId="834" w:customStyle="1">
    <w:name w:val="Heading 7 Char"/>
    <w:basedOn w:val="8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5" w:customStyle="1">
    <w:name w:val="Heading 8 Char"/>
    <w:basedOn w:val="825"/>
    <w:uiPriority w:val="9"/>
    <w:rPr>
      <w:rFonts w:ascii="Arial" w:hAnsi="Arial" w:eastAsia="Arial" w:cs="Arial"/>
      <w:i/>
      <w:iCs/>
      <w:sz w:val="22"/>
      <w:szCs w:val="22"/>
    </w:rPr>
  </w:style>
  <w:style w:type="character" w:styleId="836" w:customStyle="1">
    <w:name w:val="Heading 9 Char"/>
    <w:basedOn w:val="825"/>
    <w:uiPriority w:val="9"/>
    <w:rPr>
      <w:rFonts w:ascii="Arial" w:hAnsi="Arial" w:eastAsia="Arial" w:cs="Arial"/>
      <w:i/>
      <w:iCs/>
      <w:sz w:val="21"/>
      <w:szCs w:val="21"/>
    </w:rPr>
  </w:style>
  <w:style w:type="paragraph" w:styleId="837">
    <w:name w:val="No Spacing"/>
    <w:uiPriority w:val="1"/>
    <w:qFormat/>
    <w:pPr>
      <w:spacing w:after="0" w:line="240" w:lineRule="auto"/>
    </w:pPr>
  </w:style>
  <w:style w:type="character" w:styleId="838" w:customStyle="1">
    <w:name w:val="Title Char"/>
    <w:basedOn w:val="825"/>
    <w:uiPriority w:val="10"/>
    <w:rPr>
      <w:sz w:val="48"/>
      <w:szCs w:val="48"/>
    </w:rPr>
  </w:style>
  <w:style w:type="character" w:styleId="839" w:customStyle="1">
    <w:name w:val="Subtitle Char"/>
    <w:basedOn w:val="825"/>
    <w:uiPriority w:val="11"/>
    <w:rPr>
      <w:sz w:val="24"/>
      <w:szCs w:val="24"/>
    </w:rPr>
  </w:style>
  <w:style w:type="paragraph" w:styleId="840">
    <w:name w:val="Quote"/>
    <w:basedOn w:val="815"/>
    <w:next w:val="815"/>
    <w:link w:val="841"/>
    <w:uiPriority w:val="29"/>
    <w:qFormat/>
    <w:pPr>
      <w:ind w:left="720" w:right="720"/>
    </w:pPr>
    <w:rPr>
      <w:i/>
    </w:rPr>
  </w:style>
  <w:style w:type="character" w:styleId="841" w:customStyle="1">
    <w:name w:val="Цитата 2 Знак"/>
    <w:link w:val="840"/>
    <w:uiPriority w:val="29"/>
    <w:rPr>
      <w:i/>
    </w:rPr>
  </w:style>
  <w:style w:type="paragraph" w:styleId="842">
    <w:name w:val="Intense Quote"/>
    <w:basedOn w:val="815"/>
    <w:next w:val="815"/>
    <w:link w:val="8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3" w:customStyle="1">
    <w:name w:val="Выделенная цитата Знак"/>
    <w:link w:val="842"/>
    <w:uiPriority w:val="30"/>
    <w:rPr>
      <w:i/>
    </w:rPr>
  </w:style>
  <w:style w:type="character" w:styleId="844" w:customStyle="1">
    <w:name w:val="Header Char"/>
    <w:basedOn w:val="825"/>
    <w:uiPriority w:val="99"/>
  </w:style>
  <w:style w:type="character" w:styleId="845" w:customStyle="1">
    <w:name w:val="Footer Char"/>
    <w:basedOn w:val="825"/>
    <w:uiPriority w:val="99"/>
  </w:style>
  <w:style w:type="paragraph" w:styleId="846">
    <w:name w:val="Caption"/>
    <w:basedOn w:val="815"/>
    <w:next w:val="815"/>
    <w:link w:val="847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47" w:customStyle="1">
    <w:name w:val="Caption Char"/>
    <w:uiPriority w:val="99"/>
  </w:style>
  <w:style w:type="table" w:styleId="848" w:customStyle="1">
    <w:name w:val="Table Grid Light"/>
    <w:basedOn w:val="82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9" w:customStyle="1">
    <w:name w:val="Plain Table 1"/>
    <w:basedOn w:val="82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0" w:customStyle="1">
    <w:name w:val="Plain Table 2"/>
    <w:basedOn w:val="82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1" w:customStyle="1">
    <w:name w:val="Plain Table 3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2" w:customStyle="1">
    <w:name w:val="Plain Table 4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Plain Table 5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1 Light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Grid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Grid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Grid Table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2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2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3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Grid Table 3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4"/>
    <w:basedOn w:val="8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6" w:customStyle="1">
    <w:name w:val="Grid Table 4 - Accent 1"/>
    <w:basedOn w:val="8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77" w:customStyle="1">
    <w:name w:val="Grid Table 4 - Accent 2"/>
    <w:basedOn w:val="8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78" w:customStyle="1">
    <w:name w:val="Grid Table 4 - Accent 3"/>
    <w:basedOn w:val="8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79" w:customStyle="1">
    <w:name w:val="Grid Table 4 - Accent 4"/>
    <w:basedOn w:val="8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80" w:customStyle="1">
    <w:name w:val="Grid Table 4 - Accent 5"/>
    <w:basedOn w:val="8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81" w:customStyle="1">
    <w:name w:val="Grid Table 4 - Accent 6"/>
    <w:basedOn w:val="82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82" w:customStyle="1">
    <w:name w:val="Grid Table 5 Dark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3" w:customStyle="1">
    <w:name w:val="Grid Table 5 Dark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88" w:customStyle="1">
    <w:name w:val="Grid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89" w:customStyle="1">
    <w:name w:val="Grid Table 6 Colorful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90" w:customStyle="1">
    <w:name w:val="Grid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91" w:customStyle="1">
    <w:name w:val="Grid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92" w:customStyle="1">
    <w:name w:val="Grid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93" w:customStyle="1">
    <w:name w:val="Grid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94" w:customStyle="1">
    <w:name w:val="Grid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95" w:customStyle="1">
    <w:name w:val="Grid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96" w:customStyle="1">
    <w:name w:val="Grid Table 7 Colorful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1 Light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1 Light - Accent 1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2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3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4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5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1 Light - Accent 6"/>
    <w:basedOn w:val="82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1" w:customStyle="1">
    <w:name w:val="List Table 2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12" w:customStyle="1">
    <w:name w:val="List Table 2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3" w:customStyle="1">
    <w:name w:val="List Table 2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4" w:customStyle="1">
    <w:name w:val="List Table 2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16" w:customStyle="1">
    <w:name w:val="List Table 2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17" w:customStyle="1">
    <w:name w:val="List Table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3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3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4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 w:customStyle="1">
    <w:name w:val="List Table 4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5 Dark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2" w:customStyle="1">
    <w:name w:val="List Table 5 Dark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3" w:customStyle="1">
    <w:name w:val="List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4" w:customStyle="1">
    <w:name w:val="List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5" w:customStyle="1">
    <w:name w:val="List Table 5 Dark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 w:customStyle="1">
    <w:name w:val="List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8" w:customStyle="1">
    <w:name w:val="List Table 6 Colorful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9" w:customStyle="1">
    <w:name w:val="List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40" w:customStyle="1">
    <w:name w:val="List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41" w:customStyle="1">
    <w:name w:val="List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42" w:customStyle="1">
    <w:name w:val="List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43" w:customStyle="1">
    <w:name w:val="List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44" w:customStyle="1">
    <w:name w:val="List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5" w:customStyle="1">
    <w:name w:val="List Table 7 Colorful"/>
    <w:basedOn w:val="8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List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ned - Accent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3" w:customStyle="1">
    <w:name w:val="Lined - Accent 1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54" w:customStyle="1">
    <w:name w:val="Lined - Accent 2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5" w:customStyle="1">
    <w:name w:val="Lined - Accent 3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6" w:customStyle="1">
    <w:name w:val="Lined - Accent 4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7" w:customStyle="1">
    <w:name w:val="Lined - Accent 5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58" w:customStyle="1">
    <w:name w:val="Lined - Accent 6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9" w:customStyle="1">
    <w:name w:val="Bordered &amp; Lined - Accent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0" w:customStyle="1">
    <w:name w:val="Bordered &amp; Lined - Accent 1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61" w:customStyle="1">
    <w:name w:val="Bordered &amp; Lined - Accent 2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2" w:customStyle="1">
    <w:name w:val="Bordered &amp; Lined - Accent 3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3" w:customStyle="1">
    <w:name w:val="Bordered &amp; Lined - Accent 4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4" w:customStyle="1">
    <w:name w:val="Bordered &amp; Lined - Accent 5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65" w:customStyle="1">
    <w:name w:val="Bordered &amp; Lined - Accent 6"/>
    <w:basedOn w:val="82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6" w:customStyle="1">
    <w:name w:val="Bordered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7" w:customStyle="1">
    <w:name w:val="Bordered - Accent 1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68" w:customStyle="1">
    <w:name w:val="Bordered - Accent 2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69" w:customStyle="1">
    <w:name w:val="Bordered - Accent 3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70" w:customStyle="1">
    <w:name w:val="Bordered - Accent 4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71" w:customStyle="1">
    <w:name w:val="Bordered - Accent 5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72" w:customStyle="1">
    <w:name w:val="Bordered - Accent 6"/>
    <w:basedOn w:val="82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73" w:customStyle="1">
    <w:name w:val="Footnote Text Char"/>
    <w:uiPriority w:val="99"/>
    <w:rPr>
      <w:sz w:val="18"/>
    </w:rPr>
  </w:style>
  <w:style w:type="character" w:styleId="974" w:customStyle="1">
    <w:name w:val="Endnote Text Char"/>
    <w:uiPriority w:val="99"/>
    <w:rPr>
      <w:sz w:val="20"/>
    </w:rPr>
  </w:style>
  <w:style w:type="paragraph" w:styleId="975">
    <w:name w:val="toc 1"/>
    <w:basedOn w:val="815"/>
    <w:next w:val="815"/>
    <w:uiPriority w:val="39"/>
    <w:unhideWhenUsed/>
    <w:pPr>
      <w:ind w:firstLine="0"/>
      <w:spacing w:after="57"/>
    </w:pPr>
  </w:style>
  <w:style w:type="paragraph" w:styleId="976">
    <w:name w:val="toc 2"/>
    <w:basedOn w:val="815"/>
    <w:next w:val="815"/>
    <w:uiPriority w:val="39"/>
    <w:unhideWhenUsed/>
    <w:pPr>
      <w:ind w:left="283" w:firstLine="0"/>
      <w:spacing w:after="57"/>
    </w:pPr>
  </w:style>
  <w:style w:type="paragraph" w:styleId="977">
    <w:name w:val="toc 3"/>
    <w:basedOn w:val="815"/>
    <w:next w:val="815"/>
    <w:uiPriority w:val="39"/>
    <w:unhideWhenUsed/>
    <w:pPr>
      <w:ind w:left="567" w:firstLine="0"/>
      <w:spacing w:after="57"/>
    </w:pPr>
  </w:style>
  <w:style w:type="paragraph" w:styleId="978">
    <w:name w:val="toc 4"/>
    <w:basedOn w:val="815"/>
    <w:next w:val="815"/>
    <w:uiPriority w:val="39"/>
    <w:unhideWhenUsed/>
    <w:pPr>
      <w:ind w:left="850" w:firstLine="0"/>
      <w:spacing w:after="57"/>
    </w:pPr>
  </w:style>
  <w:style w:type="paragraph" w:styleId="979">
    <w:name w:val="toc 5"/>
    <w:basedOn w:val="815"/>
    <w:next w:val="815"/>
    <w:uiPriority w:val="39"/>
    <w:unhideWhenUsed/>
    <w:pPr>
      <w:ind w:left="1134" w:firstLine="0"/>
      <w:spacing w:after="57"/>
    </w:pPr>
  </w:style>
  <w:style w:type="paragraph" w:styleId="980">
    <w:name w:val="toc 6"/>
    <w:basedOn w:val="815"/>
    <w:next w:val="815"/>
    <w:uiPriority w:val="39"/>
    <w:unhideWhenUsed/>
    <w:pPr>
      <w:ind w:left="1417" w:firstLine="0"/>
      <w:spacing w:after="57"/>
    </w:pPr>
  </w:style>
  <w:style w:type="paragraph" w:styleId="981">
    <w:name w:val="toc 7"/>
    <w:basedOn w:val="815"/>
    <w:next w:val="815"/>
    <w:uiPriority w:val="39"/>
    <w:unhideWhenUsed/>
    <w:pPr>
      <w:ind w:left="1701" w:firstLine="0"/>
      <w:spacing w:after="57"/>
    </w:pPr>
  </w:style>
  <w:style w:type="paragraph" w:styleId="982">
    <w:name w:val="toc 8"/>
    <w:basedOn w:val="815"/>
    <w:next w:val="815"/>
    <w:uiPriority w:val="39"/>
    <w:unhideWhenUsed/>
    <w:pPr>
      <w:ind w:left="1984" w:firstLine="0"/>
      <w:spacing w:after="57"/>
    </w:pPr>
  </w:style>
  <w:style w:type="paragraph" w:styleId="983">
    <w:name w:val="toc 9"/>
    <w:basedOn w:val="815"/>
    <w:next w:val="815"/>
    <w:uiPriority w:val="39"/>
    <w:unhideWhenUsed/>
    <w:pPr>
      <w:ind w:left="2268" w:firstLine="0"/>
      <w:spacing w:after="57"/>
    </w:pPr>
  </w:style>
  <w:style w:type="paragraph" w:styleId="984">
    <w:name w:val="TOC Heading"/>
    <w:uiPriority w:val="39"/>
    <w:unhideWhenUsed/>
  </w:style>
  <w:style w:type="paragraph" w:styleId="985">
    <w:name w:val="table of figures"/>
    <w:basedOn w:val="815"/>
    <w:next w:val="815"/>
    <w:uiPriority w:val="99"/>
    <w:unhideWhenUsed/>
  </w:style>
  <w:style w:type="character" w:styleId="986" w:customStyle="1">
    <w:name w:val="Заголовок 1 Знак"/>
    <w:basedOn w:val="825"/>
    <w:link w:val="816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987">
    <w:name w:val="Table Grid"/>
    <w:basedOn w:val="82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88" w:customStyle="1">
    <w:name w:val="Заголовок 2 Знак"/>
    <w:basedOn w:val="825"/>
    <w:link w:val="817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89" w:customStyle="1">
    <w:name w:val="Заголовок 3 Знак"/>
    <w:basedOn w:val="825"/>
    <w:link w:val="818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0">
    <w:name w:val="List Paragraph"/>
    <w:basedOn w:val="815"/>
    <w:uiPriority w:val="34"/>
    <w:qFormat/>
    <w:pPr>
      <w:contextualSpacing/>
      <w:ind w:left="720"/>
    </w:pPr>
  </w:style>
  <w:style w:type="character" w:styleId="991" w:customStyle="1">
    <w:name w:val="Заголовок 4 Знак"/>
    <w:basedOn w:val="825"/>
    <w:link w:val="819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2">
    <w:name w:val="Subtitle"/>
    <w:basedOn w:val="815"/>
    <w:next w:val="815"/>
    <w:link w:val="993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993" w:customStyle="1">
    <w:name w:val="Подзаголовок Знак"/>
    <w:basedOn w:val="825"/>
    <w:link w:val="992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994">
    <w:name w:val="footnote text"/>
    <w:basedOn w:val="815"/>
    <w:link w:val="995"/>
    <w:uiPriority w:val="99"/>
    <w:unhideWhenUsed/>
    <w:qFormat/>
    <w:rPr>
      <w:sz w:val="20"/>
      <w:szCs w:val="20"/>
    </w:rPr>
  </w:style>
  <w:style w:type="character" w:styleId="995" w:customStyle="1">
    <w:name w:val="Текст сноски Знак"/>
    <w:basedOn w:val="825"/>
    <w:link w:val="994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6">
    <w:name w:val="footnote reference"/>
    <w:basedOn w:val="825"/>
    <w:uiPriority w:val="99"/>
    <w:unhideWhenUsed/>
    <w:rPr>
      <w:vertAlign w:val="superscript"/>
    </w:rPr>
  </w:style>
  <w:style w:type="character" w:styleId="997" w:customStyle="1">
    <w:name w:val="Заголовок 5 Знак"/>
    <w:basedOn w:val="825"/>
    <w:link w:val="820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8" w:customStyle="1">
    <w:name w:val="Заголовок 6 Знак"/>
    <w:basedOn w:val="825"/>
    <w:link w:val="821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9">
    <w:name w:val="Header"/>
    <w:basedOn w:val="815"/>
    <w:link w:val="100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0" w:customStyle="1">
    <w:name w:val="Верхний колонтитул Знак"/>
    <w:basedOn w:val="825"/>
    <w:link w:val="99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1">
    <w:name w:val="Footer"/>
    <w:basedOn w:val="815"/>
    <w:link w:val="100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02" w:customStyle="1">
    <w:name w:val="Нижний колонтитул Знак"/>
    <w:basedOn w:val="825"/>
    <w:link w:val="100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03" w:customStyle="1">
    <w:name w:val="6"/>
    <w:basedOn w:val="82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04">
    <w:name w:val="endnote text"/>
    <w:basedOn w:val="815"/>
    <w:link w:val="1005"/>
    <w:uiPriority w:val="99"/>
    <w:semiHidden/>
    <w:unhideWhenUsed/>
    <w:rPr>
      <w:sz w:val="20"/>
      <w:szCs w:val="20"/>
    </w:rPr>
  </w:style>
  <w:style w:type="character" w:styleId="1005" w:customStyle="1">
    <w:name w:val="Текст концевой сноски Знак"/>
    <w:basedOn w:val="825"/>
    <w:link w:val="100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6">
    <w:name w:val="endnote reference"/>
    <w:basedOn w:val="825"/>
    <w:uiPriority w:val="99"/>
    <w:semiHidden/>
    <w:unhideWhenUsed/>
    <w:rPr>
      <w:vertAlign w:val="superscript"/>
    </w:rPr>
  </w:style>
  <w:style w:type="paragraph" w:styleId="1007">
    <w:name w:val="Title"/>
    <w:basedOn w:val="815"/>
    <w:next w:val="815"/>
    <w:link w:val="1008"/>
    <w:uiPriority w:val="10"/>
    <w:qFormat/>
    <w:pPr>
      <w:jc w:val="center"/>
      <w:spacing w:before="240"/>
    </w:pPr>
    <w:rPr>
      <w:b/>
    </w:rPr>
  </w:style>
  <w:style w:type="character" w:styleId="1008" w:customStyle="1">
    <w:name w:val="Название Знак"/>
    <w:basedOn w:val="825"/>
    <w:link w:val="1007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09" w:customStyle="1">
    <w:name w:val="Заголовок 7 Знак"/>
    <w:basedOn w:val="825"/>
    <w:link w:val="822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10" w:customStyle="1">
    <w:name w:val="Заголовок 8 Знак"/>
    <w:basedOn w:val="825"/>
    <w:link w:val="82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1" w:customStyle="1">
    <w:name w:val="Заголовок 9 Знак"/>
    <w:basedOn w:val="825"/>
    <w:link w:val="824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12">
    <w:name w:val="Balloon Text"/>
    <w:basedOn w:val="815"/>
    <w:link w:val="101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13" w:customStyle="1">
    <w:name w:val="Текст выноски Знак"/>
    <w:basedOn w:val="825"/>
    <w:link w:val="101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14" w:customStyle="1">
    <w:name w:val="head21"/>
    <w:basedOn w:val="815"/>
    <w:pPr>
      <w:ind w:firstLine="0"/>
      <w:jc w:val="left"/>
      <w:spacing w:line="100" w:lineRule="atLeast"/>
      <w:outlineLvl w:val="9"/>
    </w:pPr>
    <w:rPr>
      <w:sz w:val="20"/>
      <w:szCs w:val="20"/>
      <w:lang w:eastAsia="ar-SA"/>
    </w:rPr>
  </w:style>
  <w:style w:type="character" w:styleId="1015">
    <w:name w:val="annotation reference"/>
    <w:basedOn w:val="825"/>
    <w:uiPriority w:val="99"/>
    <w:semiHidden/>
    <w:unhideWhenUsed/>
    <w:rPr>
      <w:sz w:val="16"/>
      <w:szCs w:val="16"/>
    </w:rPr>
  </w:style>
  <w:style w:type="paragraph" w:styleId="1016">
    <w:name w:val="annotation text"/>
    <w:basedOn w:val="815"/>
    <w:link w:val="1017"/>
    <w:uiPriority w:val="99"/>
    <w:semiHidden/>
    <w:unhideWhenUsed/>
    <w:rPr>
      <w:sz w:val="20"/>
      <w:szCs w:val="20"/>
    </w:rPr>
  </w:style>
  <w:style w:type="character" w:styleId="1017" w:customStyle="1">
    <w:name w:val="Текст примечания Знак"/>
    <w:basedOn w:val="825"/>
    <w:link w:val="1016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18">
    <w:name w:val="annotation subject"/>
    <w:basedOn w:val="1016"/>
    <w:next w:val="1016"/>
    <w:link w:val="1019"/>
    <w:uiPriority w:val="99"/>
    <w:semiHidden/>
    <w:unhideWhenUsed/>
    <w:rPr>
      <w:b/>
      <w:bCs/>
    </w:rPr>
  </w:style>
  <w:style w:type="character" w:styleId="1019" w:customStyle="1">
    <w:name w:val="Тема примечания Знак"/>
    <w:basedOn w:val="1017"/>
    <w:link w:val="1018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20">
    <w:name w:val="Hyperlink"/>
    <w:basedOn w:val="825"/>
    <w:uiPriority w:val="99"/>
    <w:unhideWhenUsed/>
    <w:rPr>
      <w:color w:val="0563c1" w:themeColor="hyperlink"/>
      <w:u w:val="single"/>
    </w:rPr>
  </w:style>
  <w:style w:type="paragraph" w:styleId="1021" w:customStyle="1">
    <w:name w:val="Заголовок 3;Подпункт ГК"/>
    <w:basedOn w:val="815"/>
    <w:next w:val="815"/>
    <w:link w:val="1022"/>
    <w:uiPriority w:val="9"/>
    <w:unhideWhenUsed/>
    <w:qFormat/>
    <w:pPr>
      <w:contextualSpacing/>
      <w:outlineLvl w:val="2"/>
    </w:pPr>
  </w:style>
  <w:style w:type="character" w:styleId="1022" w:customStyle="1">
    <w:name w:val="Заголовок 3 Знак;Подпункт ГК Знак"/>
    <w:link w:val="1021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3" w:customStyle="1">
    <w:name w:val="__ТекстОсн_1и"/>
    <w:pPr>
      <w:contextualSpacing w:val="0"/>
      <w:ind w:left="0" w:right="0" w:firstLine="851"/>
      <w:jc w:val="both"/>
      <w:keepLines w:val="0"/>
      <w:keepNext w:val="0"/>
      <w:pageBreakBefore w:val="0"/>
      <w:spacing w:before="60" w:beforeAutospacing="0" w:after="60" w:afterAutospacing="0" w:line="240" w:lineRule="auto"/>
      <w:shd w:val="nil"/>
      <w:widowControl/>
      <w:tabs>
        <w:tab w:val="left" w:pos="851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35FA-73AA-42B0-A22C-6BA2D01B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savichav</cp:lastModifiedBy>
  <cp:revision>93</cp:revision>
  <dcterms:created xsi:type="dcterms:W3CDTF">2023-04-26T08:59:00Z</dcterms:created>
  <dcterms:modified xsi:type="dcterms:W3CDTF">2026-08-20T13:19:59Z</dcterms:modified>
</cp:coreProperties>
</file>