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567" w:leader="none"/>
        </w:tabs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eastAsia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i/>
          <w:sz w:val="22"/>
          <w:szCs w:val="22"/>
        </w:rPr>
        <w:tab/>
        <w:t xml:space="preserve">ПРОЕКТ</w:t>
      </w:r>
      <w:r>
        <w:rPr>
          <w:rFonts w:ascii="Times New Roman" w:hAnsi="Times New Roman" w:cs="Times New Roman"/>
          <w:b/>
          <w:i/>
          <w:sz w:val="22"/>
          <w:szCs w:val="22"/>
        </w:rPr>
      </w:r>
      <w:r>
        <w:rPr>
          <w:rFonts w:ascii="Times New Roman" w:hAnsi="Times New Roman" w:cs="Times New Roman"/>
          <w:b/>
          <w:i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Федеральная служба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center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Управление Федеральной службы по надзору   в сфере защиты прав потребителей и благополучия человека по Вологодской области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(Управление Роспотребнадзора по Вологодской области)                                                                                            Яшина ул., д.1а, Вологда, 160012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тел. (8172) 75-21-23, факс (8172) 75-15-68, Е-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tu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rpn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@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vologda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 ОКПО 75131381, ОГРН 1053500015580, ИНН/КПП 352514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7418/352501001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1134" w:right="-427"/>
        <w:jc w:val="center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ГОСУДАРСТВЕННЫЙ КОНТРАКТ         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-1134" w:right="-427"/>
        <w:jc w:val="center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на поставку товаров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ИКЗ: 26 1 3525147418 352501001 0051 035 0000 000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г. Вологда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________» _____________________ 20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26 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iCs/>
          <w:sz w:val="22"/>
          <w:szCs w:val="22"/>
          <w:lang w:eastAsia="ru-RU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  <w:lang w:eastAsia="ru-RU"/>
        </w:rPr>
        <w:t xml:space="preserve">, именуемое в дальнейшем «Поставщик», в лице _____________________________________, действующего на основании _________________________, с одной стороны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, и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Управление Федеральной службы по надзору в сфере защиты прав потребителей и благополучия человека по Вологодской области (Управление Роспотребнадзора по Вологодской области)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, именуемое в дальнейшем «Заказчик», в лице руководителя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Посаженникова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Андрея Петро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вича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, действующего на основании Положения, с другой стороны,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именуемые в дальнейшем «Стороны»,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п. 4 ч. 1 ст. 93 Федерального закона от 05.04.2013 г. № 44-ФЗ «О контрактной системе в сфере закупок товаров, работ, услуг для обеспечения госу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дарственных и муниципальных нужд»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заключили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настоящий государственный контракт (далее - Контракт) о нижеследующем: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2"/>
        <w:numPr>
          <w:ilvl w:val="0"/>
          <w:numId w:val="1"/>
        </w:numPr>
        <w:ind w:hanging="72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ПРЕДМЕТ КОНТРАКТА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10063" w:type="dxa"/>
        <w:tblLayout w:type="fixed"/>
        <w:tblLook w:val="00A0" w:firstRow="1" w:lastRow="0" w:firstColumn="1" w:lastColumn="0" w:noHBand="0" w:noVBand="0"/>
      </w:tblPr>
      <w:tblGrid>
        <w:gridCol w:w="4460"/>
        <w:gridCol w:w="1115"/>
        <w:gridCol w:w="1163"/>
        <w:gridCol w:w="1857"/>
        <w:gridCol w:w="1467"/>
      </w:tblGrid>
      <w:tr>
        <w:tblPrEx/>
        <w:trPr>
          <w:trHeight w:val="4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6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5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Ед.изм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Кол-во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Цена,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Итого с НДС,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191817"/>
                <w:spacing w:val="-1"/>
                <w:sz w:val="22"/>
                <w:szCs w:val="22"/>
                <w:shd w:val="clear" w:color="auto" w:fill="ffffff"/>
              </w:rPr>
              <w:t xml:space="preserve">Батарейка GP </w:t>
            </w:r>
            <w:r>
              <w:rPr>
                <w:rFonts w:ascii="Times New Roman" w:hAnsi="Times New Roman" w:eastAsia="Times New Roman" w:cs="Times New Roman"/>
                <w:color w:val="191817"/>
                <w:spacing w:val="-1"/>
                <w:sz w:val="22"/>
                <w:szCs w:val="22"/>
                <w:shd w:val="clear" w:color="auto" w:fill="ffffff"/>
              </w:rPr>
              <w:t xml:space="preserve">GP</w:t>
            </w:r>
            <w:r>
              <w:rPr>
                <w:rFonts w:ascii="Times New Roman" w:hAnsi="Times New Roman" w:eastAsia="Times New Roman" w:cs="Times New Roman"/>
                <w:color w:val="191817"/>
                <w:spacing w:val="-1"/>
                <w:sz w:val="22"/>
                <w:szCs w:val="22"/>
                <w:shd w:val="clear" w:color="auto" w:fill="ffffff"/>
              </w:rPr>
              <w:t xml:space="preserve"> 1604A-5S1 10/50/500 9В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12"/>
        <w:contextualSpacing w:val="0"/>
        <w:ind w:left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2. СУММА КОНТРАКТА И ПОРЯДОК РАСЧЕТОВ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2.1. Цена настоящего Контракта составляет _________________________ (_____________________) рублей ____ копеек, в том числе НДС ________%, (или НДС не облагается).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2.2. Цена настоящего Контракта является твердой и определена на весь срок исполнения настоящего Контракта, за исключением случаев, прямо предусмотренных настоящим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2.3. Цена Контракта включает в себя все затраты, связанные с поставкой Товара, уп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лату налогов, пошлин, сборов и других обязательных платежей, предусмотренных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2.4. Финансирование по Контракту осуществляется за счет средств федерального бюджета.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2.5. Расчеты между Заказчиком и Поставщиком за Товар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производятся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не позднее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(Семи)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рабочих дней с даты подписания Заказчиком товарной накладной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на основании счета (счет-фактуры).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Оплата по настоящему Контракту осуществл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асчетного счета в письменной форме сообщить об этом Заказчику, указав новые реквизиты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2.6. Датой надлежащего исполнения Заказчиком своих обязательств по оплате поставленного Товара является дата списания денежных средств с лицевого счёта Заказчика.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33" w:hanging="33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СРОКИ И ПОРЯДОК ПОСТАВКИ И ПРИЕМКИ ТОВАРА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3.1. Поставка Товара по настоящему Контракту ос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уществляется в течение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(семи) рабочих дней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даты заключения Контракта. Доставка осуществляется на адрес Заказчика: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Вологодская область, г. Вологда, ул. Яшина, д.1-А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33" w:hanging="3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3.2. В день поставки Товара Поставщик передает Заказчику подписанные со своей сторон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 и заверенные печатью следующие документы: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33" w:hanging="3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счет (счет-фактуру) в 1-м экземпляре;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33" w:hanging="3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товарную накладную/универсальный передаточный документ в 2-х экземплярах.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33" w:hanging="3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3.3. Приемка поставленного Товара осуществляется Заказчиком в течение 10 (десяти) рабочих дней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дня поставки Товара Поставщиком. По результатам приемки, Сторонами в рамках указанного срока подписывается товарная накладная, либо Поставщику в те же сроки Заказчиком направляется в письменной форме мотивированный отказ от подписания товарной накладной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указанием срока для устранения несоответствий.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6"/>
        <w:ind w:left="33" w:hanging="3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3.4. В случае несоответствия количества и (или) качества Товара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указанного в товарной накладной, и документах, подтверждающих качество Товара, и фактически поставленного Поставщиком Товара Заказчик составляе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 претензию, в которой указывается установленное несоответствие количества и качества принимаемого Товара.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6"/>
        <w:ind w:left="33" w:hanging="3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3.5. В случае недопоставки и (или) поставки некачественного Товара Заказчик вправе потребовать от Поставщика осуществить замену поставленного некачес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твенного Товара Товаром надлежащего качества, соответствующего условиям Контракта и (или) потребовать осуществить поставку недостающего Товара в течение 2-х рабочих дней, с даты получения претензии Заказчика.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2"/>
        <w:contextualSpacing w:val="0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3.6. Датой приемки поставленного Товара считает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 дата подписания Заказчиком товарной накладной, при условии исполнения Сторонами всех обязательств по поставке Товара, указанных в настоящем Контракте.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2"/>
        <w:contextualSpacing w:val="0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3.7.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Экспертиза результатов, предусмотренных Контрактом, может проводиться Заказчиком своими силами ил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и к ее проведению могут привлекаться эксперты, экспертные организации на основании контрактов, заключенных в соответствии с Федеральным законом № 44-ФЗ</w:t>
      </w:r>
      <w:bookmarkStart w:id="0" w:name="P101"/>
      <w:r>
        <w:rPr>
          <w:rFonts w:ascii="Times New Roman" w:hAnsi="Times New Roman" w:eastAsia="Times New Roman" w:cs="Times New Roman"/>
          <w:sz w:val="22"/>
          <w:szCs w:val="22"/>
        </w:rPr>
      </w:r>
      <w:bookmarkEnd w:id="0"/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ОБЯЗАННОСТИ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4.1. Поставщик обязан: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4.1.1. Осуществить поставку Товара в полном объеме и в сроки, установленные настоящим Контрактом, надлежащего качества;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4.1.2. Отгрузить Товар в надлежащей упаковке,</w:t>
      </w:r>
      <w:r>
        <w:rPr>
          <w:rFonts w:ascii="Times New Roman" w:hAnsi="Times New Roman" w:eastAsia="Times New Roman" w:cs="Times New Roman"/>
          <w:spacing w:val="-5"/>
          <w:sz w:val="22"/>
          <w:szCs w:val="22"/>
        </w:rPr>
        <w:t xml:space="preserve"> обеспечивающей его сохранность при транспортировке и хранении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Ка</w:t>
      </w:r>
      <w:bookmarkStart w:id="1" w:name="OCRUncertain542"/>
      <w:r>
        <w:rPr>
          <w:rFonts w:ascii="Times New Roman" w:hAnsi="Times New Roman" w:eastAsia="Times New Roman" w:cs="Times New Roman"/>
          <w:sz w:val="22"/>
          <w:szCs w:val="22"/>
        </w:rPr>
        <w:t xml:space="preserve">ч</w:t>
      </w:r>
      <w:bookmarkEnd w:id="1"/>
      <w:r>
        <w:rPr>
          <w:rFonts w:ascii="Times New Roman" w:hAnsi="Times New Roman" w:eastAsia="Times New Roman" w:cs="Times New Roman"/>
          <w:sz w:val="22"/>
          <w:szCs w:val="22"/>
        </w:rPr>
        <w:t xml:space="preserve">ество и комплектность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ставляемых Товаров должны соответ</w:t>
      </w:r>
      <w:bookmarkStart w:id="2" w:name="OCRUncertain543"/>
      <w:r>
        <w:rPr>
          <w:rFonts w:ascii="Times New Roman" w:hAnsi="Times New Roman" w:eastAsia="Times New Roman" w:cs="Times New Roman"/>
          <w:sz w:val="22"/>
          <w:szCs w:val="22"/>
        </w:rPr>
        <w:t xml:space="preserve">ствовать стандартам, техническим условиям, указанных в документах фирм – изготовителей на данные Товары.</w:t>
      </w:r>
      <w:bookmarkEnd w:id="2"/>
      <w:r>
        <w:rPr>
          <w:rFonts w:ascii="Times New Roman" w:hAnsi="Times New Roman" w:eastAsia="Times New Roman" w:cs="Times New Roman"/>
          <w:sz w:val="22"/>
          <w:szCs w:val="22"/>
        </w:rPr>
        <w:t xml:space="preserve"> Подтверждением качества и комплектности со стороны Поставщика является сертификаты и сопроводительные документы (паспо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рта) на Товары. Поставщик гарантирует, что Товары и документация на них соответствует стандартам фирм – изготовителей. 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4.1.3. В случае принятия решения об одностороннем отказе от исполнения настоящего Контракта не позднее чем в течение трех рабочих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Доставить Товар Заказчику собственным транспортом или с привлечением транспорта третьих лиц за свой счет.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4.2. Поставщик имеет право: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4.2.1. Требовать своевременной оплаты за поставленный Товар в соответствии с пунктом 2.5. настоящего Контракта;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4.2.2.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ринять решение об одностороннем отказе от исполнения настоящего Контракта в соответствии с гражданским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ind w:firstLine="0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4.2.3. Осуществлять иные права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4.3. Заказчик обязан: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1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4.3.1. Осмот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реть Товар в месте его передачи и осуществить все необходимые действия по принятию Товара, поставленного по настоящему Контракту с соблюдением всех требований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4.3.2. Оплатить Товар в порядке, сроки и на условиях, оговоренных настоящим Контрактом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4.3.3. Принять решение об одностороннем отказе от исполнения Контракта в случае, если в ходе исполнения Контракта установлено, что Поставщик не соответствует установленным документацией 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требованиям к участникам закупки или предоставил недостове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рную информацию о своем соответствии таким требованиям, что позволило ему стать победителем определения Поставщика.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ind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4.3.4. В случае принятия решения об одностороннем отказе от исполнения настоящего Контракта не позднее чем в течение трех рабочих дней с дат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 принятия указанного решения,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4.4. Заказчик имеет право: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4.4.1. Контролировать ход выполнения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оставщиком поставок по Контракту без вмешательства в оперативно-хозяйственную деятельность Поставщика;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4.4.2. При обнаружении недостатков Товара, требовать их устранения;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4.4.3. В любое время потребовать от Поставщика отчет о ходе исполнения настоящего Кон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тракта;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ind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4.4.4. Принять решение об одностороннем отказе от исполнения настоящего Контракта в соответствии с гражданским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4.4.5. До принятия решения об одностороннем отказе от исполнения Контракта провести экспертизу выполненных работ с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влечением экспертов, экспертных организаций, выбор которых осуществляется в соответствии с Федеральным </w:t>
      </w:r>
      <w:hyperlink r:id="rId9" w:tooltip="consultantplus://offline/ref=7F7231C27B22B4FBCE8EBF893BCBB30C3B073B68D8824A61098CB75D11B28D50154DBC5B9529D52C55911027B2JD59I" w:history="1">
        <w:r>
          <w:rPr>
            <w:rFonts w:ascii="Times New Roman" w:hAnsi="Times New Roman" w:eastAsia="Times New Roman" w:cs="Times New Roman"/>
            <w:sz w:val="22"/>
            <w:szCs w:val="22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№ 44-ФЗ.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4.4.6. Осуществлять иные права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3"/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20"/>
        <w:ind w:firstLine="0"/>
        <w:jc w:val="both"/>
        <w:spacing w:before="0" w:beforeAutospacing="0" w:after="0" w:afterAutospacing="0" w:line="240" w:lineRule="auto"/>
        <w:widowControl/>
        <w:tabs>
          <w:tab w:val="left" w:pos="595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5.1. 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настоящего Контракта.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5.4. В случае просрочки исполнения Заказчиком обяза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 Поставщик вправе потребовать уплаты неустоек (штрафов, пеней).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5.5. Пеня начисляет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5.6. За каждый факт неисполнения Заказчиком обязательств, предусмотренных контрактом, за исключением просрочки исполнения обязательств, пре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дусмотренных контрактом, размер штрафа устанавливается в порядке, установленном Правилами</w:t>
      </w:r>
      <w:r>
        <w:rPr>
          <w:rFonts w:ascii="Times New Roman" w:hAnsi="Times New Roman" w:eastAsia="Times New Roman" w:cs="Times New Roman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размере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1 000,00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(Одна тысяча) рублей 00 копеек</w:t>
      </w:r>
      <w:r>
        <w:rPr>
          <w:rFonts w:ascii="Times New Roman" w:hAnsi="Times New Roman" w:eastAsia="Times New Roman" w:cs="Times New Roman"/>
          <w:sz w:val="22"/>
          <w:szCs w:val="22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5.7. Общая сумма начисленной неустойки (штрафов, пени) за неисполнение или ненадлежащее исполнение Заказчиком обя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5.8.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5.9. 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ru-RU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ru-RU"/>
        </w:rPr>
        <w:t xml:space="preserve">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ru-RU"/>
        </w:rPr>
        <w:t xml:space="preserve">тренных Контрактом 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5.10.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Штрафы начисляются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том.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Штраф устанавливается контрактом в размере __________ (_________) рублей ______ копеек</w:t>
      </w:r>
      <w:r>
        <w:rPr>
          <w:rFonts w:ascii="Times New Roman" w:hAnsi="Times New Roman" w:eastAsia="Times New Roman" w:cs="Times New Roman"/>
          <w:sz w:val="22"/>
          <w:szCs w:val="22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5.11. Общая сумма начисленной неустойки (штрафов,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5.12. Сторона освобождается от уплаты неустойки (штрафа, пени), если докажет, что неисполнение или ненадлежащее испол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нение обязательства, предусмотренного Контрактом, произошло вследствие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непреодолимой силы или по вине другой стороны.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5.13. Применение нестойки (штрафа, пени) не освобождает Стороны от исполнения обязательств по настоящему Контракту.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6. ФОРС-МАЖОР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6.1. 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одна из Сторон не несет ответственности перед другой Стороной за неисполнение или ненадлежащее исполнение обязательств по настоящему Контракту, обусловленные действием обстоятельств непреодолимой силы, то есть чрезвычайных и непредотвратимых при данных ус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Контракту, а также которые Стороны не были в состоянии предвидеть или предотвратить.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инфляц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ионные процессы в экономике к форс-мажорным обстоятельствам по условиям настоящего контракта не относятся.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6.2. Компетентное заключение, выданное уполномоченным органом, является достаточным подтверждением наличия и продолжительности действия обстоятельств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непреодолимой силы.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6.3. Сторона, которая не исполняет свои обязательства вследствие действия обстоятельств непреодолимой силы, должна не позднее чем в 3-дневный срок известить другую Сторону о наступлении таких обстоятельств и их влиянии на исполнение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язательств по данному Контракту.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7. ПОРЯДОК УРЕГУЛИРОВАНИЯ СПОРОВ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7.1. В случае возникновения между Сторонами споров и разногласий, Стороны обязуются решать их путем переговоров с соблюдением претензионного порядка.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7.2.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Срок рассмотрения претензии не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может превышать 30 (Тридцати) календарных дней (ч. 5 ст. 4 АПК РФ).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7.3. В случае не урегулирования споров и разногласий в претензионном порядке, они подлежат рассмотрению в Арбитражном суде Вологодской области в порядке, установленном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8. СРОК ДЕЙСТВИЯ КОНТРАКТА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8.1. Нас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тоящий Контракт вступает в силу с момента его подписания Сторонами и действует по 31 декабря 2026</w:t>
      </w:r>
      <w:bookmarkStart w:id="3" w:name="_GoBack"/>
      <w:r>
        <w:rPr>
          <w:rFonts w:ascii="Times New Roman" w:hAnsi="Times New Roman" w:eastAsia="Times New Roman" w:cs="Times New Roman"/>
          <w:sz w:val="22"/>
          <w:szCs w:val="22"/>
        </w:rPr>
      </w:r>
      <w:bookmarkEnd w:id="3"/>
      <w:r>
        <w:rPr>
          <w:rFonts w:ascii="Times New Roman" w:hAnsi="Times New Roman" w:eastAsia="Times New Roman" w:cs="Times New Roman"/>
          <w:sz w:val="22"/>
          <w:szCs w:val="22"/>
        </w:rPr>
        <w:t xml:space="preserve"> года включительно, а в части расчетов и гарантийных обязательств - до полного исполнения обязательств Сторонами.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4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9. ПРОЧИЕ ПОЛОЖЕНИЯ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9.1. Настоящий Контракт составлен и подписан в двух подлинных идентичных экземплярах, имеющих равную юридическую силу, по одному для каждой из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9.2. В случае изменения у какой-либо из Сторон местонахождения, наименования, а также в случае реорганиза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ции она обязана в течение десяти дней письменно известить об этом другую Сторону.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9.4. Изменение усл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овий Контракта при его исполнении не допускается, за исключением случаев, предусмотренных </w:t>
      </w:r>
      <w:hyperlink r:id="rId10" w:tooltip="consultantplus://offline/ref=7F7231C27B22B4FBCE8EBF893BCBB30C3B073B68D8824A61098CB75D11B28D50074DE4579628C82D5C844676F785292BDD1A147517B567FCJ252I" w:history="1">
        <w:r>
          <w:rPr>
            <w:rFonts w:ascii="Times New Roman" w:hAnsi="Times New Roman" w:eastAsia="Times New Roman" w:cs="Times New Roman"/>
            <w:b/>
            <w:i/>
            <w:sz w:val="22"/>
            <w:szCs w:val="22"/>
          </w:rPr>
          <w:t xml:space="preserve">статьей 95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Федерального закона N 44-ФЗ.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9.5. Настоящий Контракт будет считаться исполненным и прекратившим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9.6. Во всем, что не оговорено в настоящем Контракте, Стороны руководствуются действующим законодательством Российской Федер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10.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ЮРИДИЧЕСКИЕ АДРЕСА И РЕКВИЗИТЫ СТОРОН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10187" w:type="dxa"/>
        <w:tblLayout w:type="fixed"/>
        <w:tblLook w:val="00A0" w:firstRow="1" w:lastRow="0" w:firstColumn="1" w:lastColumn="0" w:noHBand="0" w:noVBand="0"/>
      </w:tblPr>
      <w:tblGrid>
        <w:gridCol w:w="4960"/>
        <w:gridCol w:w="5227"/>
      </w:tblGrid>
      <w:tr>
        <w:tblPrEx/>
        <w:trPr>
          <w:trHeight w:val="42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Поставщик: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М.П.___________________/__________/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Управление Федеральной службы по надзору в сфе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ре защиты прав потребителей и благополучия человека по Вологодской области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(Управление Роспотребнадзора по Вологодской области)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160012, г. Вологда, ул. Яшина, 1-а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тел/факс 75-15-68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 75-50-90 – бухгалтерия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03301787600 УФК по Вологодской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Расчетный счет входящий в состав единого казначейского счета (ЕКС)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40102810745370000024   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казначейский счет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03211643000000013208             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ОКЦ № 1 ВВГУ БАНКА РОССИИ// УФК по Нижегородской области, г. Нижний Новгород             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ТОФК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012202102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3525147418 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352501001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tabs>
                <w:tab w:val="left" w:pos="499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ОГРНЮЛ 1053500015580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ОКПО/ОКОНХ 75131381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tabs>
                <w:tab w:val="left" w:pos="499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tabs>
                <w:tab w:val="left" w:pos="499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75"/>
              <w:spacing w:before="0" w:beforeAutospacing="0" w:after="0" w:afterAutospacing="0" w:line="240" w:lineRule="auto"/>
              <w:tabs>
                <w:tab w:val="left" w:pos="499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75" w:hanging="175"/>
              <w:spacing w:before="0" w:beforeAutospacing="0" w:after="0" w:afterAutospacing="0" w:line="240" w:lineRule="auto"/>
              <w:tabs>
                <w:tab w:val="left" w:pos="499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М.П.__________________/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А.П.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Посаженников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left="-567"/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354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Приложение № 1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 Контракту от 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Техническое задание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12"/>
        <w:numPr>
          <w:ilvl w:val="0"/>
          <w:numId w:val="5"/>
        </w:numPr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Характеристики товара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91817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color w:val="191817"/>
          <w:spacing w:val="-1"/>
          <w:sz w:val="24"/>
          <w:szCs w:val="24"/>
          <w:shd w:val="clear" w:color="auto" w:fill="ffffff"/>
        </w:rPr>
        <w:t xml:space="preserve">Батарейка GP </w:t>
      </w:r>
      <w:r>
        <w:rPr>
          <w:rFonts w:ascii="Times New Roman" w:hAnsi="Times New Roman" w:cs="Times New Roman"/>
          <w:color w:val="191817"/>
          <w:spacing w:val="-1"/>
          <w:sz w:val="24"/>
          <w:szCs w:val="24"/>
          <w:shd w:val="clear" w:color="auto" w:fill="ffffff"/>
        </w:rPr>
        <w:t xml:space="preserve">GP</w:t>
      </w:r>
      <w:r>
        <w:rPr>
          <w:rFonts w:ascii="Times New Roman" w:hAnsi="Times New Roman" w:cs="Times New Roman"/>
          <w:color w:val="191817"/>
          <w:spacing w:val="-1"/>
          <w:sz w:val="24"/>
          <w:szCs w:val="24"/>
          <w:shd w:val="clear" w:color="auto" w:fill="ffffff"/>
        </w:rPr>
        <w:t xml:space="preserve"> 1604A-5S1 10/50/500 9В </w:t>
      </w:r>
      <w:r>
        <w:rPr>
          <w:rFonts w:ascii="Times New Roman" w:hAnsi="Times New Roman" w:eastAsia="Times New Roman" w:cs="Times New Roman"/>
          <w:color w:val="191817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91817"/>
          <w:sz w:val="24"/>
          <w:szCs w:val="24"/>
          <w:highlight w:val="none"/>
          <w:lang w:eastAsia="ru-RU"/>
        </w:rPr>
      </w:r>
    </w:p>
    <w:tbl>
      <w:tblPr>
        <w:tblStyle w:val="771"/>
        <w:tblW w:w="0" w:type="auto"/>
        <w:tblLook w:val="04A0" w:firstRow="1" w:lastRow="0" w:firstColumn="1" w:lastColumn="0" w:noHBand="0" w:noVBand="1"/>
      </w:tblPr>
      <w:tblGrid>
        <w:gridCol w:w="5037"/>
        <w:gridCol w:w="5037"/>
      </w:tblGrid>
      <w:tr>
        <w:tblPrEx/>
        <w:trPr>
          <w:trHeight w:val="337"/>
        </w:trPr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Линейка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Батарейки GP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Типоразмер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Крона</w:t>
            </w:r>
            <w:r>
              <w:rPr>
                <w:rFonts w:ascii="Times New Roman" w:hAnsi="Times New Roman" w:eastAsia="Times New Roman" w:cs="Times New Roman"/>
                <w:color w:val="191817"/>
                <w:lang w:val="en-US" w:eastAsia="ru-RU"/>
              </w:rPr>
              <w:t xml:space="preserve"> (6LR61, 6LF22, 6KR61, 1604A)</w:t>
            </w:r>
            <w:r>
              <w:rPr>
                <w:rFonts w:ascii="Times New Roman" w:hAnsi="Times New Roman" w:eastAsia="Times New Roman" w:cs="Times New Roman"/>
                <w:color w:val="191817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val="en-US" w:eastAsia="ru-RU"/>
              </w:rPr>
            </w:r>
          </w:p>
        </w:tc>
      </w:tr>
      <w:tr>
        <w:tblPrEx/>
        <w:trPr>
          <w:trHeight w:val="337"/>
        </w:trPr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Химический тип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щелочная (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alkaline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Емкость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550 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мА·ч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160A; 9V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Срок годности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  <w:tc>
          <w:tcPr>
            <w:tcW w:w="503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2 года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</w:tr>
      <w:tr>
        <w:tblPrEx/>
        <w:trPr>
          <w:trHeight w:val="363"/>
        </w:trPr>
        <w:tc>
          <w:tcPr>
            <w:tcW w:w="503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Гарантийный срок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  <w:tc>
          <w:tcPr>
            <w:tcW w:w="503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  <w:t xml:space="preserve">1 мес.</w:t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91817"/>
                <w:lang w:eastAsia="ru-RU"/>
              </w:rPr>
            </w:r>
          </w:p>
        </w:tc>
      </w:tr>
    </w:tbl>
    <w:p>
      <w:pPr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91817"/>
          <w:lang w:eastAsia="ru-RU"/>
        </w:rPr>
      </w:pPr>
      <w:r>
        <w:rPr>
          <w:rFonts w:ascii="Times New Roman" w:hAnsi="Times New Roman" w:eastAsia="Times New Roman" w:cs="Times New Roman"/>
          <w:color w:val="191817"/>
          <w:lang w:eastAsia="ru-RU"/>
        </w:rPr>
      </w:r>
      <w:r>
        <w:rPr>
          <w:rFonts w:ascii="Times New Roman" w:hAnsi="Times New Roman" w:eastAsia="Times New Roman" w:cs="Times New Roman"/>
          <w:color w:val="191817"/>
          <w:lang w:eastAsia="ru-RU"/>
        </w:rPr>
      </w:r>
      <w:r>
        <w:rPr>
          <w:rFonts w:ascii="Times New Roman" w:hAnsi="Times New Roman" w:eastAsia="Times New Roman" w:cs="Times New Roman"/>
          <w:color w:val="191817"/>
          <w:lang w:eastAsia="ru-RU"/>
        </w:rPr>
      </w:r>
    </w:p>
    <w:p>
      <w:pPr>
        <w:jc w:val="both"/>
        <w:spacing w:before="0" w:beforeAutospacing="0" w:after="0" w:afterAutospacing="0" w:line="240" w:lineRule="auto"/>
        <w:tabs>
          <w:tab w:val="left" w:pos="360" w:leader="none"/>
        </w:tabs>
        <w:rPr>
          <w:rFonts w:ascii="Times New Roman" w:hAnsi="Times New Roman" w:cs="Times New Roman"/>
          <w:sz w:val="22"/>
          <w:szCs w:val="22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2. Место поставки товаров: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Склад, расположенный по адресу: г. Вологда, ул. Яшина 1а.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3. Сроки (периоды) поставки товаров: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течение 7 (семи) рабочих дней с момента заключения Государственного контракта.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28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4. Условия поставки товаров: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Доставка, разгрузка товаров в помещения, указанные Заказчиком, осуществляется силами и за счёт Поставщика. Поставка товара производится </w:t>
      </w:r>
      <w:r>
        <w:rPr>
          <w:rFonts w:ascii="Times New Roman" w:hAnsi="Times New Roman" w:eastAsia="Times New Roman" w:cs="Times New Roman"/>
          <w:b/>
          <w:sz w:val="22"/>
          <w:szCs w:val="22"/>
          <w:u w:val="single"/>
        </w:rPr>
        <w:t xml:space="preserve">единой</w:t>
      </w:r>
      <w:r>
        <w:rPr>
          <w:rFonts w:ascii="Times New Roman" w:hAnsi="Times New Roman" w:eastAsia="Times New Roman" w:cs="Times New Roman"/>
          <w:b/>
          <w:sz w:val="22"/>
          <w:szCs w:val="22"/>
          <w:u w:val="single"/>
        </w:rPr>
        <w:t xml:space="preserve"> отгрузкой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полном объеме, частичная поставка товара на склад не допускается.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360" w:leader="none"/>
        </w:tabs>
        <w:rPr>
          <w:rFonts w:ascii="Times New Roman" w:hAnsi="Times New Roman" w:cs="Times New Roman"/>
          <w:sz w:val="22"/>
          <w:szCs w:val="22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5. Общие требования к товарам: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 не была осуществлена замена составных частей, не были восстановлены потребительские свойства)</w:t>
      </w:r>
      <w:r>
        <w:rPr>
          <w:rFonts w:ascii="Times New Roman" w:hAnsi="Times New Roman" w:eastAsia="Times New Roman" w:cs="Times New Roman"/>
          <w:iCs/>
          <w:sz w:val="22"/>
          <w:szCs w:val="22"/>
        </w:rPr>
        <w:t xml:space="preserve">. Этикетки и наклейки должны быть четкими, чистыми и хорошо читаемыми. Производственные коды на товарах должны совпадать с производственными кодами на упаковке</w:t>
      </w:r>
      <w:r>
        <w:rPr>
          <w:rFonts w:ascii="Times New Roman" w:hAnsi="Times New Roman" w:eastAsia="Times New Roman" w:cs="Times New Roman"/>
          <w:iCs/>
          <w:sz w:val="22"/>
          <w:szCs w:val="22"/>
        </w:rPr>
        <w:t xml:space="preserve">. Товары должны поставляться в упаковке, соответствующей их характеру и способу транспортировки. Упаковка должна предохранять товары от всякого рода повреждений, коррозии, утраты товарного вида при его перевозке с учетом возможных перегрузок в пути и длите</w:t>
      </w:r>
      <w:r>
        <w:rPr>
          <w:rFonts w:ascii="Times New Roman" w:hAnsi="Times New Roman" w:eastAsia="Times New Roman" w:cs="Times New Roman"/>
          <w:iCs/>
          <w:sz w:val="22"/>
          <w:szCs w:val="22"/>
        </w:rPr>
        <w:t xml:space="preserve">льного хранения.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Товар должен быть доставлен в невозвратной таре и (или) упаковке, обеспечивающей сохранность товара при его транспортировке (перевозке). </w:t>
      </w:r>
      <w:r>
        <w:rPr>
          <w:rFonts w:ascii="Times New Roman" w:hAnsi="Times New Roman" w:eastAsia="Times New Roman" w:cs="Times New Roman"/>
          <w:iCs/>
          <w:sz w:val="22"/>
          <w:szCs w:val="22"/>
        </w:rPr>
        <w:t xml:space="preserve">Поставляемые товары должны быть упакованы и замаркированы в соответствии с действующими стандартами и </w:t>
      </w:r>
      <w:r>
        <w:rPr>
          <w:rFonts w:ascii="Times New Roman" w:hAnsi="Times New Roman" w:eastAsia="Times New Roman" w:cs="Times New Roman"/>
          <w:iCs/>
          <w:sz w:val="22"/>
          <w:szCs w:val="22"/>
        </w:rPr>
        <w:t xml:space="preserve">техническими условиями. Маркировка должна быть легко читаемой. Стоимость упаковочных материалов включается в стоимость товаров.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6. Требования по переда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че заказчику технических и иных документов при поставке товаров: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Все товары должны иметь действующие сертификаты соответствия согласно Постановления Правительства РФ от 23.12.2021 № 2425 "Об утверждении единого перечня продукции, подлежащей обязательной се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ции". На Товар должны быть предоставлены документы, подтверждающие его происхождение, качество и безопасность, дату выпуска.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360" w:leader="none"/>
        </w:tabs>
        <w:rPr>
          <w:rFonts w:ascii="Times New Roman" w:hAnsi="Times New Roman" w:cs="Times New Roman"/>
          <w:sz w:val="22"/>
          <w:szCs w:val="22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7. Требования к безопасности товаров: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требованиями действующего законодательства РФ и иных нормативно-правовых 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360" w:leader="none"/>
        </w:tabs>
        <w:rPr>
          <w:rFonts w:ascii="Times New Roman" w:hAnsi="Times New Roman" w:cs="Times New Roman"/>
          <w:sz w:val="22"/>
          <w:szCs w:val="22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8. Порядок сдачи и приемки товаров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Приёмка товара, соответствующего условию об ассортименте, по количеству и качеству осуществляется лицом, уполномоченным Заказчиком.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9. Требования к качеству, техническим и функциональным характеристикам товара, тре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бования к размерам, упаковке, отгрузке товара, требования к результатам работ: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360" w:leader="none"/>
        </w:tabs>
        <w:rPr>
          <w:rFonts w:ascii="Times New Roman" w:hAnsi="Times New Roman" w:cs="Times New Roman"/>
          <w:sz w:val="22"/>
          <w:szCs w:val="22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9.1. Требования по объему гарантий качества товаров: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Качество поставляемого товара должно соответствовать требованиям ГОСТ, ТУ, и иным нормативным требованиям, установленным законодательством РФ для данного вида товаров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Поставка контрафактного товара не допускается.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7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9.2. Требования по сроку гарантий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качеств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Гарантийный срок на поставляемый товар - не менее срока, установленного заводом-изготовителем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Гарантийный срок исчисляется с момента приемки товара Заказчиком. Остаточный срок годности товара на момент поставки должен составлять не менее 80% от гаранти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рованного срока годности.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</w:pPr>
      <w:r/>
      <w:r/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1"/>
        <w:ind w:firstLine="709"/>
        <w:jc w:val="both"/>
      </w:pPr>
      <w:r>
        <w:rPr>
          <w:rStyle w:val="923"/>
        </w:rPr>
        <w:footnoteRef/>
      </w:r>
      <w:r>
        <w:t xml:space="preserve">Правил</w:t>
      </w:r>
      <w:r>
        <w:t xml:space="preserve">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</w:t>
      </w:r>
      <w:r>
        <w:t xml:space="preserve">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</w:t>
      </w:r>
      <w:r>
        <w:t xml:space="preserve">а Российской Федерации от 15 мая 2017 г. № 57 0 и признании утратившим силу постановления Правительства Российской Федерации от 25 ноября 2013 г. № 1063, утвержденные постановлением Правительства Российской Федерации от 30.08.2017 № 1042 (далее – Правила).</w:t>
      </w:r>
      <w:r/>
    </w:p>
  </w:footnote>
  <w:footnote w:id="3">
    <w:p>
      <w:pPr>
        <w:pStyle w:val="919"/>
        <w:jc w:val="both"/>
      </w:pPr>
      <w:r>
        <w:rPr>
          <w:rStyle w:val="923"/>
        </w:rPr>
        <w:footnoteRef/>
      </w:r>
      <w:r>
        <w:rPr>
          <w:rFonts w:ascii="Times New Roman" w:hAnsi="Times New Roman" w:cs="Times New Roman"/>
        </w:rPr>
        <w:t xml:space="preserve"> Штраф устанавливается контрактом в порядке:</w:t>
      </w:r>
      <w:r/>
    </w:p>
    <w:p>
      <w:pPr>
        <w:pStyle w:val="9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5000 рублей, если цена контракта составляет от 3 млн. рублей до 50 млн. рублей (включительно).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921"/>
        <w:ind w:firstLine="709"/>
      </w:pPr>
      <w:r>
        <w:rPr>
          <w:rStyle w:val="923"/>
        </w:rPr>
        <w:footnoteRef/>
      </w:r>
      <w:r>
        <w:t xml:space="preserve"> Штраф устанавливается контракт</w:t>
      </w:r>
      <w:r>
        <w:t xml:space="preserve">ом в порядке:</w:t>
      </w:r>
      <w:r/>
    </w:p>
    <w:p>
      <w:pPr>
        <w:pStyle w:val="921"/>
        <w:ind w:firstLine="709"/>
      </w:pPr>
      <w:r>
        <w:t xml:space="preserve">а) 10 процентов цены контракта в случае, если цена контракта не превышает 3 млн. рублей;</w:t>
      </w:r>
      <w:r/>
    </w:p>
    <w:p>
      <w:pPr>
        <w:pStyle w:val="921"/>
        <w:ind w:firstLine="709"/>
      </w:pPr>
      <w:r>
        <w:t xml:space="preserve">б) 5 процентов цены контракта в случае, если цена контракта составляет от 3 млн. рублей до 50 млн. рублей (включительно).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2)"/>
      <w:lvlJc w:val="left"/>
      <w:pPr>
        <w:ind w:left="1080" w:hanging="360"/>
      </w:pPr>
      <w:rPr>
        <w:b w:val="0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2)"/>
      <w:lvlJc w:val="left"/>
      <w:pPr>
        <w:ind w:left="1080" w:hanging="360"/>
      </w:pPr>
      <w:rPr>
        <w:b w:val="0"/>
        <w:bCs w:val="0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96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2 Char"/>
    <w:basedOn w:val="744"/>
    <w:link w:val="736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744"/>
    <w:link w:val="737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4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4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4"/>
    <w:link w:val="757"/>
    <w:uiPriority w:val="10"/>
    <w:rPr>
      <w:sz w:val="48"/>
      <w:szCs w:val="48"/>
    </w:rPr>
  </w:style>
  <w:style w:type="character" w:styleId="727">
    <w:name w:val="Subtitle Char"/>
    <w:basedOn w:val="744"/>
    <w:link w:val="759"/>
    <w:uiPriority w:val="11"/>
    <w:rPr>
      <w:sz w:val="24"/>
      <w:szCs w:val="24"/>
    </w:rPr>
  </w:style>
  <w:style w:type="character" w:styleId="728">
    <w:name w:val="Quote Char"/>
    <w:link w:val="761"/>
    <w:uiPriority w:val="29"/>
    <w:rPr>
      <w:i/>
    </w:rPr>
  </w:style>
  <w:style w:type="character" w:styleId="729">
    <w:name w:val="Intense Quote Char"/>
    <w:link w:val="763"/>
    <w:uiPriority w:val="30"/>
    <w:rPr>
      <w:i/>
    </w:rPr>
  </w:style>
  <w:style w:type="character" w:styleId="730">
    <w:name w:val="Header Char"/>
    <w:basedOn w:val="744"/>
    <w:link w:val="765"/>
    <w:uiPriority w:val="99"/>
  </w:style>
  <w:style w:type="character" w:styleId="731">
    <w:name w:val="Footer Char"/>
    <w:basedOn w:val="744"/>
    <w:link w:val="767"/>
    <w:uiPriority w:val="99"/>
  </w:style>
  <w:style w:type="character" w:styleId="732">
    <w:name w:val="Caption Char"/>
    <w:basedOn w:val="744"/>
    <w:link w:val="769"/>
    <w:uiPriority w:val="35"/>
    <w:rPr>
      <w:b/>
      <w:bCs/>
      <w:color w:val="4f81bd" w:themeColor="accent1"/>
      <w:sz w:val="18"/>
      <w:szCs w:val="18"/>
    </w:rPr>
  </w:style>
  <w:style w:type="character" w:styleId="733">
    <w:name w:val="Endnote Text Char"/>
    <w:link w:val="898"/>
    <w:uiPriority w:val="99"/>
    <w:rPr>
      <w:sz w:val="20"/>
    </w:rPr>
  </w:style>
  <w:style w:type="paragraph" w:styleId="734" w:default="1">
    <w:name w:val="Normal"/>
    <w:qFormat/>
  </w:style>
  <w:style w:type="paragraph" w:styleId="735">
    <w:name w:val="Heading 1"/>
    <w:basedOn w:val="734"/>
    <w:link w:val="915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36">
    <w:name w:val="Heading 2"/>
    <w:basedOn w:val="734"/>
    <w:next w:val="734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1">
    <w:name w:val="Heading 7"/>
    <w:basedOn w:val="734"/>
    <w:next w:val="734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2">
    <w:name w:val="Heading 8"/>
    <w:basedOn w:val="734"/>
    <w:next w:val="734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3">
    <w:name w:val="Heading 9"/>
    <w:basedOn w:val="734"/>
    <w:next w:val="734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basedOn w:val="744"/>
    <w:link w:val="736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basedOn w:val="744"/>
    <w:link w:val="737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basedOn w:val="744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basedOn w:val="744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basedOn w:val="74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basedOn w:val="74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basedOn w:val="74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basedOn w:val="74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No Spacing"/>
    <w:uiPriority w:val="1"/>
    <w:qFormat/>
    <w:pPr>
      <w:spacing w:after="0" w:line="240" w:lineRule="auto"/>
    </w:pPr>
  </w:style>
  <w:style w:type="paragraph" w:styleId="757">
    <w:name w:val="Title"/>
    <w:basedOn w:val="734"/>
    <w:next w:val="734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basedOn w:val="744"/>
    <w:link w:val="757"/>
    <w:uiPriority w:val="10"/>
    <w:rPr>
      <w:sz w:val="48"/>
      <w:szCs w:val="48"/>
    </w:rPr>
  </w:style>
  <w:style w:type="paragraph" w:styleId="759">
    <w:name w:val="Subtitle"/>
    <w:basedOn w:val="734"/>
    <w:next w:val="734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basedOn w:val="744"/>
    <w:link w:val="759"/>
    <w:uiPriority w:val="11"/>
    <w:rPr>
      <w:sz w:val="24"/>
      <w:szCs w:val="24"/>
    </w:rPr>
  </w:style>
  <w:style w:type="paragraph" w:styleId="761">
    <w:name w:val="Quote"/>
    <w:basedOn w:val="734"/>
    <w:next w:val="734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4"/>
    <w:next w:val="734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34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44"/>
    <w:link w:val="765"/>
    <w:uiPriority w:val="99"/>
  </w:style>
  <w:style w:type="paragraph" w:styleId="767">
    <w:name w:val="Footer"/>
    <w:basedOn w:val="734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Нижний колонтитул Знак"/>
    <w:basedOn w:val="744"/>
    <w:link w:val="767"/>
    <w:uiPriority w:val="99"/>
  </w:style>
  <w:style w:type="paragraph" w:styleId="769">
    <w:name w:val="Caption"/>
    <w:basedOn w:val="734"/>
    <w:next w:val="734"/>
    <w:link w:val="77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0" w:customStyle="1">
    <w:name w:val="Название объекта Знак"/>
    <w:basedOn w:val="744"/>
    <w:link w:val="769"/>
    <w:uiPriority w:val="35"/>
    <w:rPr>
      <w:b/>
      <w:bCs/>
      <w:color w:val="5b9bd5" w:themeColor="accent1"/>
      <w:sz w:val="18"/>
      <w:szCs w:val="18"/>
    </w:rPr>
  </w:style>
  <w:style w:type="table" w:styleId="771">
    <w:name w:val="Table Grid"/>
    <w:basedOn w:val="7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2" w:customStyle="1">
    <w:name w:val="Table Grid Light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3">
    <w:name w:val="Plain Table 1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7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1" w:customStyle="1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8" w:customStyle="1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Lined - Accent 2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Lined - Accent 3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Lined - Accent 4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Lined - Accent 5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Lined - Accent 6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 &amp; Lined - Accent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Bordered &amp; Lined - Accent 2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Bordered &amp; Lined - Accent 3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Bordered &amp; Lined - Accent 4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Bordered &amp; Lined - Accent 5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Bordered &amp; Lined - Accent 6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6" w:customStyle="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7" w:customStyle="1">
    <w:name w:val="Footnote Text Char"/>
    <w:uiPriority w:val="99"/>
    <w:rPr>
      <w:sz w:val="18"/>
    </w:rPr>
  </w:style>
  <w:style w:type="paragraph" w:styleId="898">
    <w:name w:val="endnote text"/>
    <w:basedOn w:val="734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basedOn w:val="744"/>
    <w:uiPriority w:val="99"/>
    <w:semiHidden/>
    <w:unhideWhenUsed/>
    <w:rPr>
      <w:vertAlign w:val="superscript"/>
    </w:rPr>
  </w:style>
  <w:style w:type="paragraph" w:styleId="901">
    <w:name w:val="toc 1"/>
    <w:basedOn w:val="734"/>
    <w:next w:val="734"/>
    <w:uiPriority w:val="39"/>
    <w:unhideWhenUsed/>
    <w:pPr>
      <w:spacing w:after="57"/>
    </w:pPr>
  </w:style>
  <w:style w:type="paragraph" w:styleId="902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03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04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05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06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07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08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09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34"/>
    <w:next w:val="734"/>
    <w:uiPriority w:val="99"/>
    <w:unhideWhenUsed/>
    <w:pPr>
      <w:spacing w:after="0"/>
    </w:pPr>
  </w:style>
  <w:style w:type="paragraph" w:styleId="912">
    <w:name w:val="List Paragraph"/>
    <w:basedOn w:val="734"/>
    <w:link w:val="926"/>
    <w:qFormat/>
    <w:pPr>
      <w:contextualSpacing/>
      <w:ind w:left="720"/>
    </w:pPr>
  </w:style>
  <w:style w:type="paragraph" w:styleId="913">
    <w:name w:val="Body Text Indent"/>
    <w:basedOn w:val="734"/>
    <w:link w:val="914"/>
    <w:uiPriority w:val="99"/>
    <w:unhideWhenUsed/>
    <w:pPr>
      <w:ind w:left="283"/>
      <w:spacing w:after="120" w:line="276" w:lineRule="auto"/>
    </w:pPr>
    <w:rPr>
      <w:rFonts w:ascii="Calibri" w:hAnsi="Calibri" w:eastAsia="Calibri" w:cs="Calibri"/>
    </w:rPr>
  </w:style>
  <w:style w:type="character" w:styleId="914" w:customStyle="1">
    <w:name w:val="Основной текст с отступом Знак"/>
    <w:basedOn w:val="744"/>
    <w:link w:val="913"/>
    <w:uiPriority w:val="99"/>
    <w:rPr>
      <w:rFonts w:ascii="Calibri" w:hAnsi="Calibri" w:eastAsia="Calibri" w:cs="Calibri"/>
    </w:rPr>
  </w:style>
  <w:style w:type="character" w:styleId="915" w:customStyle="1">
    <w:name w:val="Заголовок 1 Знак"/>
    <w:basedOn w:val="744"/>
    <w:link w:val="735"/>
    <w:uiPriority w:val="9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16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917">
    <w:name w:val="Body Text"/>
    <w:basedOn w:val="734"/>
    <w:link w:val="918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8" w:customStyle="1">
    <w:name w:val="Основной текст Знак"/>
    <w:basedOn w:val="744"/>
    <w:link w:val="917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19" w:customStyle="1">
    <w:name w:val="ConsPlusNormal"/>
    <w:link w:val="929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ar-SA"/>
    </w:rPr>
  </w:style>
  <w:style w:type="paragraph" w:styleId="920" w:customStyle="1">
    <w:name w:val="Style13"/>
    <w:basedOn w:val="734"/>
    <w:pPr>
      <w:ind w:hanging="602"/>
      <w:spacing w:after="0" w:line="281" w:lineRule="exact"/>
      <w:widowControl w:val="off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21">
    <w:name w:val="footnote text"/>
    <w:basedOn w:val="734"/>
    <w:link w:val="922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2" w:customStyle="1">
    <w:name w:val="Текст сноски Знак"/>
    <w:basedOn w:val="744"/>
    <w:link w:val="92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3">
    <w:name w:val="footnote reference"/>
    <w:link w:val="928"/>
    <w:rPr>
      <w:vertAlign w:val="superscript"/>
    </w:rPr>
  </w:style>
  <w:style w:type="character" w:styleId="924">
    <w:name w:val="Hyperlink"/>
    <w:uiPriority w:val="99"/>
    <w:rPr>
      <w:color w:val="0000ff"/>
      <w:u w:val="single"/>
    </w:rPr>
  </w:style>
  <w:style w:type="character" w:styleId="925" w:customStyle="1">
    <w:name w:val="Font Style11"/>
    <w:basedOn w:val="744"/>
    <w:rPr>
      <w:rFonts w:hint="default" w:ascii="Times New Roman" w:hAnsi="Times New Roman" w:cs="Times New Roman"/>
      <w:sz w:val="22"/>
      <w:szCs w:val="22"/>
    </w:rPr>
  </w:style>
  <w:style w:type="character" w:styleId="926" w:customStyle="1">
    <w:name w:val="Абзац списка Знак"/>
    <w:basedOn w:val="744"/>
    <w:link w:val="912"/>
  </w:style>
  <w:style w:type="paragraph" w:styleId="927" w:customStyle="1">
    <w:name w:val="Footnote"/>
    <w:basedOn w:val="734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28" w:customStyle="1">
    <w:name w:val="Знак сноски1"/>
    <w:link w:val="923"/>
    <w:pPr>
      <w:spacing w:after="200" w:line="276" w:lineRule="auto"/>
    </w:pPr>
    <w:rPr>
      <w:vertAlign w:val="superscript"/>
    </w:rPr>
  </w:style>
  <w:style w:type="character" w:styleId="929" w:customStyle="1">
    <w:name w:val="ConsPlusNormal Знак"/>
    <w:link w:val="919"/>
    <w:rPr>
      <w:rFonts w:ascii="Arial" w:hAnsi="Arial" w:eastAsia="Calibri" w:cs="Arial"/>
      <w:sz w:val="20"/>
      <w:szCs w:val="20"/>
      <w:lang w:eastAsia="ar-SA"/>
    </w:rPr>
  </w:style>
  <w:style w:type="character" w:styleId="930" w:customStyle="1">
    <w:name w:val="cardmaininfo__title"/>
    <w:basedOn w:val="744"/>
  </w:style>
  <w:style w:type="paragraph" w:styleId="931">
    <w:name w:val="Balloon Text"/>
    <w:basedOn w:val="734"/>
    <w:link w:val="93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2" w:customStyle="1">
    <w:name w:val="Текст выноски Знак"/>
    <w:basedOn w:val="744"/>
    <w:link w:val="93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7F7231C27B22B4FBCE8EBF893BCBB30C3B073B68D8824A61098CB75D11B28D50154DBC5B9529D52C55911027B2JD59I" TargetMode="External"/><Relationship Id="rId10" Type="http://schemas.openxmlformats.org/officeDocument/2006/relationships/hyperlink" Target="consultantplus://offline/ref=7F7231C27B22B4FBCE8EBF893BCBB30C3B073B68D8824A61098CB75D11B28D50074DE4579628C82D5C844676F785292BDD1A147517B567FCJ252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Корлякова Любовь Николаевна</dc:creator>
  <cp:keywords/>
  <dc:description/>
  <cp:lastModifiedBy>user</cp:lastModifiedBy>
  <cp:revision>80</cp:revision>
  <dcterms:created xsi:type="dcterms:W3CDTF">2022-10-19T13:35:00Z</dcterms:created>
  <dcterms:modified xsi:type="dcterms:W3CDTF">2026-06-03T05:40:51Z</dcterms:modified>
</cp:coreProperties>
</file>