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20" w:firstLine="709"/>
        <w:jc w:val="center"/>
        <w:keepLines/>
        <w:keepNext/>
        <w:spacing w:after="0" w:line="240" w:lineRule="auto"/>
        <w:rPr>
          <w:rFonts w:ascii="Times New Roman" w:hAnsi="Times New Roman" w:eastAsia="Times New Roman" w:cs="Times New Roman"/>
          <w:b/>
          <w:color w:val="000000" w:themeColor="text1"/>
          <w:sz w:val="20"/>
          <w:szCs w:val="20"/>
        </w:rPr>
        <w:outlineLvl w:val="1"/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ГОСУДАРСТВЕННЫЙ КОНТРАКТ №</w:t>
      </w:r>
      <w:r>
        <w:rPr>
          <w:rFonts w:ascii="Times New Roman" w:hAnsi="Times New Roman" w:eastAsia="Times New Roman" w:cs="Times New Roman"/>
          <w:b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0"/>
          <w:szCs w:val="20"/>
        </w:rPr>
      </w:r>
    </w:p>
    <w:p>
      <w:pPr>
        <w:jc w:val="center"/>
        <w:spacing w:after="0" w:line="240" w:lineRule="auto"/>
        <w:rPr>
          <w:rFonts w:ascii="Times New Roman" w:hAnsi="Times New Roman" w:eastAsia="Arial Unicode MS" w:cs="Times New Roman"/>
          <w:b/>
          <w:color w:val="000000"/>
          <w:sz w:val="20"/>
          <w:szCs w:val="20"/>
          <w:lang w:val="ru" w:eastAsia="ru-RU"/>
        </w:rPr>
      </w:pPr>
      <w:r>
        <w:rPr>
          <w:rFonts w:ascii="Times New Roman" w:hAnsi="Times New Roman" w:eastAsia="Arial Unicode MS" w:cs="Times New Roman"/>
          <w:b/>
          <w:color w:val="000000"/>
          <w:sz w:val="20"/>
          <w:szCs w:val="20"/>
          <w:lang w:val="ru" w:eastAsia="ru-RU"/>
        </w:rPr>
        <w:t xml:space="preserve">на </w:t>
      </w:r>
      <w:r>
        <w:rPr>
          <w:rFonts w:ascii="Times New Roman" w:hAnsi="Times New Roman" w:eastAsia="Arial Unicode MS" w:cs="Times New Roman"/>
          <w:b/>
          <w:bCs/>
          <w:color w:val="000000"/>
          <w:sz w:val="20"/>
          <w:szCs w:val="20"/>
          <w:lang w:val="ru" w:eastAsia="ru-RU"/>
        </w:rPr>
        <w:t xml:space="preserve">оказание услуг по техническому обслуживанию и ремонту транспортных средств</w:t>
      </w:r>
      <w:r>
        <w:rPr>
          <w:rFonts w:ascii="Times New Roman" w:hAnsi="Times New Roman" w:eastAsia="Arial Unicode MS" w:cs="Times New Roman"/>
          <w:b/>
          <w:color w:val="000000"/>
          <w:sz w:val="20"/>
          <w:szCs w:val="20"/>
          <w:lang w:val="ru" w:eastAsia="ru-RU"/>
        </w:rPr>
        <w:t xml:space="preserve"> </w:t>
      </w:r>
      <w:r>
        <w:rPr>
          <w:rFonts w:ascii="Times New Roman" w:hAnsi="Times New Roman" w:eastAsia="Arial Unicode MS" w:cs="Times New Roman"/>
          <w:b/>
          <w:color w:val="000000"/>
          <w:sz w:val="20"/>
          <w:szCs w:val="20"/>
          <w:lang w:val="ru" w:eastAsia="ru-RU"/>
        </w:rPr>
      </w:r>
      <w:r>
        <w:rPr>
          <w:rFonts w:ascii="Times New Roman" w:hAnsi="Times New Roman" w:eastAsia="Arial Unicode MS" w:cs="Times New Roman"/>
          <w:b/>
          <w:color w:val="000000"/>
          <w:sz w:val="20"/>
          <w:szCs w:val="20"/>
          <w:lang w:val="ru"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 w:themeColor="text1"/>
          <w:sz w:val="20"/>
          <w:szCs w:val="20"/>
        </w:rPr>
      </w:pPr>
      <w:r>
        <w:rPr>
          <w:rFonts w:ascii="Times New Roman" w:hAnsi="Times New Roman" w:eastAsia="Arial Unicode MS" w:cs="Times New Roman"/>
          <w:color w:val="000000"/>
          <w:sz w:val="20"/>
          <w:szCs w:val="20"/>
          <w:lang w:val="ru" w:eastAsia="ru-RU"/>
        </w:rPr>
        <w:t xml:space="preserve"> (Идентификационный код закупки №</w:t>
      </w:r>
      <w:r>
        <w:rPr>
          <w:rFonts w:ascii="Times New Roman" w:hAnsi="Times New Roman" w:eastAsia="Arial Unicode MS" w:cs="Times New Roman"/>
          <w:color w:val="000000" w:themeColor="text1"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261673005505067300100100230000000244</w:t>
      </w:r>
      <w:r>
        <w:rPr>
          <w:rFonts w:ascii="Times New Roman" w:hAnsi="Times New Roman" w:eastAsia="Arial Unicode MS" w:cs="Times New Roman"/>
          <w:color w:val="000000" w:themeColor="text1"/>
          <w:sz w:val="20"/>
          <w:szCs w:val="20"/>
          <w:lang w:val="ru" w:eastAsia="ru-RU"/>
        </w:rPr>
        <w:t xml:space="preserve">)</w:t>
      </w:r>
      <w:r>
        <w:rPr>
          <w:rFonts w:ascii="Times New Roman" w:hAnsi="Times New Roman" w:eastAsia="Arial Unicode MS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Arial Unicode MS" w:cs="Times New Roman"/>
          <w:color w:val="000000" w:themeColor="text1"/>
          <w:sz w:val="20"/>
          <w:szCs w:val="20"/>
        </w:rPr>
      </w:r>
    </w:p>
    <w:p>
      <w:pPr>
        <w:jc w:val="center"/>
        <w:spacing w:after="0" w:line="240" w:lineRule="auto"/>
        <w:rPr>
          <w:rFonts w:ascii="Times New Roman" w:hAnsi="Times New Roman" w:eastAsia="Arial Unicode MS" w:cs="Times New Roman"/>
          <w:b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Arial Unicode MS" w:cs="Times New Roman"/>
          <w:b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Arial Unicode MS" w:cs="Times New Roman"/>
          <w:b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Arial Unicode MS" w:cs="Times New Roman"/>
          <w:b/>
          <w:color w:val="000000"/>
          <w:sz w:val="20"/>
          <w:szCs w:val="20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Arial Unicode MS" w:cs="Times New Roman"/>
          <w:b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Arial Unicode MS" w:cs="Times New Roman"/>
          <w:b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Arial Unicode MS" w:cs="Times New Roman"/>
          <w:b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Arial Unicode MS" w:cs="Times New Roman"/>
          <w:b/>
          <w:color w:val="000000"/>
          <w:sz w:val="20"/>
          <w:szCs w:val="20"/>
          <w:lang w:eastAsia="ru-RU"/>
        </w:rPr>
      </w:r>
    </w:p>
    <w:p>
      <w:pPr>
        <w:ind w:left="-180" w:firstLine="180"/>
        <w:jc w:val="both"/>
        <w:spacing w:after="0" w:line="240" w:lineRule="auto"/>
        <w:rPr>
          <w:rFonts w:ascii="Times New Roman" w:hAnsi="Times New Roman" w:eastAsia="Arial Unicode MS" w:cs="Times New Roman"/>
          <w:color w:val="000000"/>
          <w:sz w:val="20"/>
          <w:szCs w:val="20"/>
          <w:lang w:val="ru" w:eastAsia="ru-RU"/>
        </w:rPr>
      </w:pPr>
      <w:r>
        <w:rPr>
          <w:rFonts w:ascii="Times New Roman" w:hAnsi="Times New Roman" w:eastAsia="Arial Unicode MS" w:cs="Times New Roman"/>
          <w:bCs/>
          <w:color w:val="000000"/>
          <w:sz w:val="20"/>
          <w:szCs w:val="20"/>
          <w:lang w:val="ru" w:eastAsia="ru-RU"/>
        </w:rPr>
        <w:t xml:space="preserve">«___» _______ 20</w:t>
      </w:r>
      <w:r>
        <w:rPr>
          <w:rFonts w:ascii="Times New Roman" w:hAnsi="Times New Roman" w:eastAsia="Arial Unicode MS" w:cs="Times New Roman"/>
          <w:bCs/>
          <w:color w:val="000000"/>
          <w:sz w:val="20"/>
          <w:szCs w:val="20"/>
          <w:lang w:eastAsia="ru-RU"/>
        </w:rPr>
        <w:t xml:space="preserve">___</w:t>
      </w:r>
      <w:r>
        <w:rPr>
          <w:rFonts w:ascii="Times New Roman" w:hAnsi="Times New Roman" w:eastAsia="Arial Unicode MS" w:cs="Times New Roman"/>
          <w:bCs/>
          <w:color w:val="000000"/>
          <w:sz w:val="20"/>
          <w:szCs w:val="20"/>
          <w:lang w:val="ru" w:eastAsia="ru-RU"/>
        </w:rPr>
        <w:t xml:space="preserve"> г.</w:t>
      </w:r>
      <w:r>
        <w:rPr>
          <w:rFonts w:ascii="Times New Roman" w:hAnsi="Times New Roman" w:eastAsia="Arial Unicode MS" w:cs="Times New Roman"/>
          <w:bCs/>
          <w:color w:val="000000"/>
          <w:sz w:val="20"/>
          <w:szCs w:val="20"/>
          <w:lang w:val="ru" w:eastAsia="ru-RU"/>
        </w:rPr>
        <w:tab/>
      </w:r>
      <w:r>
        <w:rPr>
          <w:rFonts w:ascii="Times New Roman" w:hAnsi="Times New Roman" w:eastAsia="Arial Unicode MS" w:cs="Times New Roman"/>
          <w:bCs/>
          <w:color w:val="000000"/>
          <w:sz w:val="20"/>
          <w:szCs w:val="20"/>
          <w:lang w:val="ru" w:eastAsia="ru-RU"/>
        </w:rPr>
        <w:tab/>
      </w:r>
      <w:r>
        <w:rPr>
          <w:rFonts w:ascii="Times New Roman" w:hAnsi="Times New Roman" w:eastAsia="Arial Unicode MS" w:cs="Times New Roman"/>
          <w:bCs/>
          <w:color w:val="000000"/>
          <w:sz w:val="20"/>
          <w:szCs w:val="20"/>
          <w:lang w:val="ru" w:eastAsia="ru-RU"/>
        </w:rPr>
        <w:tab/>
      </w:r>
      <w:r>
        <w:rPr>
          <w:rFonts w:ascii="Times New Roman" w:hAnsi="Times New Roman" w:eastAsia="Arial Unicode MS" w:cs="Times New Roman"/>
          <w:bCs/>
          <w:color w:val="000000"/>
          <w:sz w:val="20"/>
          <w:szCs w:val="20"/>
          <w:lang w:val="ru" w:eastAsia="ru-RU"/>
        </w:rPr>
        <w:tab/>
      </w:r>
      <w:r>
        <w:rPr>
          <w:rFonts w:ascii="Times New Roman" w:hAnsi="Times New Roman" w:eastAsia="Arial Unicode MS" w:cs="Times New Roman"/>
          <w:bCs/>
          <w:color w:val="000000"/>
          <w:sz w:val="20"/>
          <w:szCs w:val="20"/>
          <w:lang w:val="ru" w:eastAsia="ru-RU"/>
        </w:rPr>
        <w:tab/>
        <w:t xml:space="preserve">                    </w:t>
      </w:r>
      <w:r>
        <w:rPr>
          <w:rFonts w:ascii="Times New Roman" w:hAnsi="Times New Roman" w:eastAsia="Arial Unicode MS" w:cs="Times New Roman"/>
          <w:bCs/>
          <w:color w:val="000000"/>
          <w:sz w:val="20"/>
          <w:szCs w:val="20"/>
          <w:lang w:val="ru" w:eastAsia="ru-RU"/>
        </w:rPr>
        <w:tab/>
      </w:r>
      <w:r>
        <w:rPr>
          <w:rFonts w:ascii="Times New Roman" w:hAnsi="Times New Roman" w:eastAsia="Arial Unicode MS" w:cs="Times New Roman"/>
          <w:bCs/>
          <w:color w:val="000000"/>
          <w:sz w:val="20"/>
          <w:szCs w:val="20"/>
          <w:lang w:val="ru" w:eastAsia="ru-RU"/>
        </w:rPr>
        <w:tab/>
      </w:r>
      <w:r>
        <w:rPr>
          <w:rFonts w:ascii="Times New Roman" w:hAnsi="Times New Roman" w:eastAsia="Arial Unicode MS" w:cs="Times New Roman"/>
          <w:bCs/>
          <w:color w:val="000000"/>
          <w:sz w:val="20"/>
          <w:szCs w:val="20"/>
          <w:lang w:val="ru" w:eastAsia="ru-RU"/>
        </w:rPr>
        <w:tab/>
      </w:r>
      <w:r>
        <w:rPr>
          <w:rFonts w:ascii="Times New Roman" w:hAnsi="Times New Roman" w:eastAsia="Arial Unicode MS" w:cs="Times New Roman"/>
          <w:bCs/>
          <w:color w:val="000000"/>
          <w:sz w:val="20"/>
          <w:szCs w:val="20"/>
          <w:lang w:val="ru" w:eastAsia="ru-RU"/>
        </w:rPr>
        <w:tab/>
      </w:r>
      <w:r>
        <w:rPr>
          <w:rFonts w:ascii="Times New Roman" w:hAnsi="Times New Roman" w:eastAsia="Arial Unicode MS" w:cs="Times New Roman"/>
          <w:bCs/>
          <w:color w:val="000000"/>
          <w:sz w:val="20"/>
          <w:szCs w:val="20"/>
          <w:lang w:eastAsia="ru-RU"/>
        </w:rPr>
        <w:t xml:space="preserve">    </w:t>
      </w:r>
      <w:r>
        <w:rPr>
          <w:rFonts w:ascii="Times New Roman" w:hAnsi="Times New Roman" w:eastAsia="Arial Unicode MS" w:cs="Times New Roman"/>
          <w:bCs/>
          <w:color w:val="000000"/>
          <w:sz w:val="20"/>
          <w:szCs w:val="20"/>
          <w:lang w:val="ru" w:eastAsia="ru-RU"/>
        </w:rPr>
        <w:t xml:space="preserve">г. Смоленск</w:t>
      </w:r>
      <w:r>
        <w:rPr>
          <w:rFonts w:ascii="Times New Roman" w:hAnsi="Times New Roman" w:eastAsia="Arial Unicode MS" w:cs="Times New Roman"/>
          <w:color w:val="000000"/>
          <w:sz w:val="20"/>
          <w:szCs w:val="20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0"/>
          <w:szCs w:val="20"/>
          <w:lang w:val="ru"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Arial Unicode MS" w:cs="Times New Roman"/>
          <w:color w:val="000000"/>
          <w:sz w:val="20"/>
          <w:szCs w:val="20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0"/>
          <w:szCs w:val="20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0"/>
          <w:szCs w:val="20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0"/>
          <w:szCs w:val="20"/>
          <w:lang w:val="ru" w:eastAsia="ru-RU"/>
        </w:rPr>
      </w:r>
    </w:p>
    <w:p>
      <w:pPr>
        <w:ind w:right="-26" w:firstLine="709"/>
        <w:jc w:val="both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Управление Федеральной службы государственной регистрации, кадастра и картографии по Смоленской области (Управление Росреестра по Смоленской области), именуемое                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                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          в дальнейшем «Заказчик», в лице и.о. руководителя </w:t>
      </w:r>
      <w:r>
        <w:rPr>
          <w:rFonts w:ascii="Times New Roman" w:hAnsi="Times New Roman"/>
          <w:sz w:val="24"/>
          <w:szCs w:val="24"/>
          <w:lang w:eastAsia="ru-RU"/>
        </w:rPr>
        <w:t xml:space="preserve">С.В. Сафоновой, действ</w:t>
      </w:r>
      <w:r>
        <w:rPr>
          <w:rFonts w:ascii="Times New Roman" w:hAnsi="Times New Roman"/>
          <w:sz w:val="24"/>
          <w:szCs w:val="24"/>
          <w:lang w:eastAsia="ru-RU"/>
        </w:rPr>
        <w:t xml:space="preserve">ующего на основании Положения об Управлении Федеральной службы государственной регистрации, кадастра                           и картографии по Смоленской области, утвержденного приказом Росреестра от 06.04.2023                      № П/0117, приказа Росреестра от 02.04.2026 № 82-к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, с одной стороны,                                                           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ar-SA"/>
        </w:rPr>
        <w:t xml:space="preserve">и ________________________________, именуемое в дальнейшем «Исполнитель», в лице </w:t>
      </w:r>
      <w:r>
        <w:rPr>
          <w:rFonts w:ascii="Times New Roman" w:hAnsi="Times New Roman"/>
          <w:sz w:val="24"/>
          <w:szCs w:val="24"/>
          <w:lang w:val="ru" w:eastAsia="ru-RU"/>
        </w:rPr>
        <w:t xml:space="preserve">______________________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ar-SA"/>
        </w:rPr>
        <w:t xml:space="preserve">, действующего на основании _____________________, с другой стороны, вместе именуемые «Стороны»,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на основании п. 4 ч. 1 ст. 93 </w:t>
      </w:r>
      <w:r>
        <w:rPr>
          <w:rFonts w:ascii="Times New Roman" w:hAnsi="Times New Roman" w:cs="Times New Roman"/>
          <w:sz w:val="24"/>
          <w:szCs w:val="24"/>
        </w:rPr>
        <w:t xml:space="preserve">Федерального закона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     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              от 5 апреля 2013 г. N 44-ФЗ "О контрактной системе в сфере закупок товаров, работ, услуг                    для обеспечения государственных и муниципальных нужд" заключили настоящий государственный контракт (далее - Контракт) о нижеследующем.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right="-26" w:firstLine="567"/>
        <w:jc w:val="both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numPr>
          <w:ilvl w:val="0"/>
          <w:numId w:val="1"/>
        </w:numPr>
        <w:contextualSpacing/>
        <w:jc w:val="center"/>
        <w:spacing w:after="0" w:line="276" w:lineRule="auto"/>
        <w:widowControl w:val="off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Предмет Контракта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1.1. Исполнитель по заданию Заказчика обязуется в установленный Контрактом срок оказать услуги </w:t>
      </w:r>
      <w:r>
        <w:rPr>
          <w:rFonts w:ascii="Times New Roman" w:hAnsi="Times New Roman" w:eastAsia="Arial Unicode MS" w:cs="Times New Roman"/>
          <w:bCs/>
          <w:color w:val="000000"/>
          <w:sz w:val="24"/>
          <w:szCs w:val="24"/>
          <w:lang w:val="ru" w:eastAsia="ru-RU"/>
        </w:rPr>
        <w:t xml:space="preserve">по</w:t>
      </w:r>
      <w:r>
        <w:rPr>
          <w:rFonts w:ascii="Times New Roman" w:hAnsi="Times New Roman" w:eastAsia="Arial Unicode MS" w:cs="Times New Roman"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техническому обслуживанию транспорт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  <w:t xml:space="preserve">ных средств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 </w:t>
      </w:r>
      <w:r>
        <w:rPr>
          <w:rFonts w:ascii="Times New Roman" w:hAnsi="Times New Roman" w:eastAsia="Arial Unicode MS" w:cs="Times New Roman"/>
          <w:bCs/>
          <w:color w:val="000000"/>
          <w:sz w:val="24"/>
          <w:szCs w:val="24"/>
          <w:lang w:val="ru" w:eastAsia="ru-RU"/>
        </w:rPr>
        <w:t xml:space="preserve">(д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алее – услуги), а Заказчик обязуется принять оказанные услуги и оплатить их.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numPr>
          <w:ilvl w:val="0"/>
          <w:numId w:val="1"/>
        </w:numPr>
        <w:contextualSpacing/>
        <w:jc w:val="center"/>
        <w:spacing w:after="0" w:line="276" w:lineRule="auto"/>
        <w:widowControl w:val="off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Условия оказания услуг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2.1. Услуги оказываются Исполнителем в соответствии с требованиями технического задания (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приложение № 1 к Контракту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), являющегося неотъемлемой частью Контракта, а также те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хническими нормами, требованиями общепринятых стандартов качества, эксплуатационно-техническими и другими нормативными документами, регламентирующими порядок организации выполнения работ и оказания услуг, действующими в Российской Федерации.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numPr>
          <w:ilvl w:val="0"/>
          <w:numId w:val="1"/>
        </w:numPr>
        <w:contextualSpacing/>
        <w:jc w:val="center"/>
        <w:spacing w:after="0" w:line="276" w:lineRule="auto"/>
        <w:widowControl w:val="off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Взаимодействие Сторон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3.1. Исполнитель вправе: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а) привлекать к выполнению Контракта соисполнителей.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В отношении соисполнителей Исполнитель выполняет функции заказчика. Исполнитель несет ответственность за неисполнение или ненадлежащее исполнение обязательств соисполнителями</w:t>
      </w:r>
      <w:r>
        <w:rPr>
          <w:rFonts w:ascii="Times New Roman" w:hAnsi="Times New Roman" w:eastAsia="Arial Unicode MS" w:cs="Times New Roman"/>
          <w:color w:val="000000"/>
          <w:sz w:val="20"/>
          <w:szCs w:val="20"/>
          <w:lang w:val="ru" w:eastAsia="ru-RU"/>
        </w:rPr>
        <w:t xml:space="preserve">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в рамках оказания соответствующих услуг в соответствии с гражданским законодательством.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Невыполнение соисполнителем обязательств перед Исполнителем не освобождает Исполнителя от выполнения условий Контракта;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б) требовать своевременной оплаты на условиях, установленных Контрактом, надлежащим образом оказанных и принятых Заказчиком услуг;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в) принять решение об одностороннем отказе от исполнения Контракта в соответствии                 с гражданским законодательством;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г) по согласованию с Заказчиком (путем заключения дополнительного соглашения) оказать услуги, качество, технические и функциональные характерис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тики которых являются улучшенными по сравнению с качеством и соответствующими техническими и функциональными характеристиками, указанными в Контракте (за исключением случаев, которые предусмотрены нормативными правовыми актами, принятыми в соответствии со </w:t>
      </w:r>
      <w:hyperlink r:id="rId10" w:tooltip="consultantplus://offline/ref=782E9CC4CCC6932545801925E3B536176E50B53C1FD70BD7655CABC93DB89C271041D8CD0197EEC2617428125779CB07805FED4BE83BV7P" w:history="1">
        <w:r>
          <w:rPr>
            <w:rFonts w:ascii="Times New Roman" w:hAnsi="Times New Roman" w:eastAsia="Arial Unicode MS" w:cs="Times New Roman"/>
            <w:sz w:val="24"/>
            <w:szCs w:val="24"/>
            <w:lang w:val="ru" w:eastAsia="ru-RU"/>
          </w:rPr>
          <w:t xml:space="preserve">статьей 14</w:t>
        </w:r>
      </w:hyperlink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 Федерального закона от 5 апреля 2013 г. N 44-ФЗ "О контрактной системе в сфере закупок товаров, работ, услуг                  для обеспечения государственных и муниципальных нужд");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д) требовать возмещения убытков, уплаты неустоек (штрафов, пеней) в соответствии                    с разделом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en-US" w:eastAsia="ru-RU"/>
        </w:rPr>
        <w:t xml:space="preserve">X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 Контракта.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3.2. Исполнитель обязан: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а) оказать услуги в соответствии с техническим заданием в предусмотренный Контрактом срок;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б)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предоставлять Заказчику по его требованию документы, относящиеся к предмету Контракта,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Контракта;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в) обеспечить соответствие результатов оказанных услуг тре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бованиям качества, безопасности жизни и здоровья, а также иным требованиям безопасности (санитарным нормам             и правилам, государственным стандартам), сертификации, лицензирования, установленным законодательством Российской Федерации и Контрактом;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г) обеспечить за свой счет устранение недостатков, выявленных при приемке Заказчиком оказанных услуг.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3.3. Заказчик вправе: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а) требовать от Исполнителя надлежащего исполнения обязательств, установленных Контрактом;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б) требовать от Исполнителя своевременного устранения недостатков, выявленных                      как в ходе приемки, так и в течение гарантийного периода;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в) проверять ход и качество выполнения Исполнителем условий Контракта                                 без вмешательства в оперативно-хозяйственную деятельность Исполнителя;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г) требовать возмещения убытков в соответствии с разделом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en-US" w:eastAsia="ru-RU"/>
        </w:rPr>
        <w:t xml:space="preserve">X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 Контракта, причиненных  по вине Исполнителя;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д) принять решение об одностороннем отказе от исполнения Контракта в соответствии             с гражданским законодательством;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е) до принятия решения об одностороннем отказе от исполнения Контракта провести экспертизу оказанных услуг с привлечением экспертов, экспертных организаций.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3.4. Заказчик обязан: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а) принять и оплатить оказанные услуги в соответствии с Контрактом;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б) обеспечить контроль за исполнением Контракта, в том числе на отдельных этапах его исполнения;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в) провести экспертизу о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казанных услуг для проверки их соответствия условиям Контракта в соответствии с Федеральным законом от 5 апреля 2013 г. № 44-ФЗ «О контрактной системе              в сфере закупок товаров, работ, услуг для обеспечения государственных и муниципальных нужд»;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г) требовать уплаты неустоек (штрафов, пеней) в соответствии с разделом X Контракта.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left="280"/>
        <w:jc w:val="center"/>
        <w:spacing w:after="0" w:line="276" w:lineRule="auto"/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ru" w:eastAsia="ar-SA"/>
        </w:rPr>
      </w:pPr>
      <w:r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ru" w:eastAsia="ar-SA"/>
        </w:rPr>
      </w:r>
      <w:r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ru" w:eastAsia="ar-SA"/>
        </w:rPr>
      </w:r>
      <w:r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ru" w:eastAsia="ar-SA"/>
        </w:rPr>
      </w:r>
    </w:p>
    <w:p>
      <w:pPr>
        <w:numPr>
          <w:ilvl w:val="0"/>
          <w:numId w:val="1"/>
        </w:numPr>
        <w:contextualSpacing/>
        <w:jc w:val="center"/>
        <w:spacing w:after="0" w:line="276" w:lineRule="auto"/>
        <w:widowControl w:val="off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Место и сроки оказания услуг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r>
    </w:p>
    <w:p>
      <w:pPr>
        <w:pStyle w:val="930"/>
        <w:numPr>
          <w:ilvl w:val="1"/>
          <w:numId w:val="1"/>
        </w:numPr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Услуги оказываются в сроки, указанные в контракте.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left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Начало оказания услуг – с даты заключения Контракта.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u w:val="single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Окончание оказания услуг –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12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.10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.20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  <w:t xml:space="preserve">2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6.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u w:val="single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u w:val="single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4.2. Датой исполнения Исполнителем обязательств по Контракту считается дата подписания Сторонами акта сдачи-приемки оказанных услуг.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4.3. Место оказания услуг: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  <w:t xml:space="preserve">г. Смоленск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539"/>
        <w:jc w:val="center"/>
        <w:keepNext/>
        <w:spacing w:before="240" w:after="60" w:line="276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outlineLvl w:val="3"/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V. Порядок сдачи и приемки оказанных услуг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5.1.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Исполнитель представляет Заказчику акт сдачи-приемки оказанных услуг                         в 2-х экземплярах в срок не позднее 2 рабочих дней с момента окончания оказания услуг.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5.2. Для проверки п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редоставленных Исполнителем результатов, предусмотренных Контрактом в части их соответствия условиям Контракта Заказчик проводит экспертизу. Экспертиза результатов оказанных услуг может проводиться Заказчиком своими силами или к ее проведению могут привлек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аться эксперты, экспертные организации на основании контрактов, заключенных в соответствии с 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5.3. Заказчик в течение 5 рабочих дней с даты получения акта сдачи-прие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мки оказанных услуг и документов, указанных в пункте 5.1 Контракта, осуществляет проверку оказанных Исполнителем услуг по Контракту на предмет соответствия оказанных услуг требованиям           и условиям Контракта, принимает оказанные услуги, передает Исп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олнителю подписанный                   со своей стороны акт сдачи-приемки оказанных услуг по Контракту или отказывает в приемке, направляя мотивированный отказ от приемки оказанных услуг с перечнем выявленных недостатков и с указанием сроков их устранения.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5.4. Заказчик вправе не отказывать в приемке оказанных услуг в случае выявления несоответствия этих услуг условиям контракта, если выявленное несоответствие не препятствует приемке этих услуг и устранено Исполнителем. </w:t>
      </w:r>
      <w:r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ru" w:eastAsia="ru-RU"/>
        </w:rPr>
      </w:r>
    </w:p>
    <w:p>
      <w:pPr>
        <w:jc w:val="center"/>
        <w:spacing w:after="0" w:line="276" w:lineRule="auto"/>
        <w:shd w:val="clear" w:color="auto" w:fill="ffffff"/>
        <w:tabs>
          <w:tab w:val="left" w:pos="1176" w:leader="none"/>
          <w:tab w:val="left" w:pos="2093" w:leader="none"/>
          <w:tab w:val="left" w:pos="3686" w:leader="none"/>
          <w:tab w:val="left" w:pos="5131" w:leader="none"/>
          <w:tab w:val="left" w:pos="7493" w:leader="none"/>
        </w:tabs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en-US" w:eastAsia="ru-RU"/>
        </w:rPr>
        <w:t xml:space="preserve">VI</w:t>
      </w:r>
      <w:r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ru" w:eastAsia="ru-RU"/>
        </w:rPr>
        <w:t xml:space="preserve">. Цена Контракта и порядок расчетов</w:t>
      </w:r>
      <w:r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6.1. Цена Контракта составляет ____________________ (_______) ________рублей   __ копеек, в том числе НДС ____________ (______) рублей __ копеек /(НДС не облагается).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6.2. Сумма, подлежащая уплате Заказчиком Исполнителю, уменьшается на размер налогов, сборов и иных обязательных платежей в бюджеты бюджетной системы 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Arial Unicode MS" w:hAnsi="Arial Unicode MS" w:eastAsia="Arial Unicode MS" w:cs="Arial Unicode MS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6.3. Цена Контракта включает в себя все расходы, связан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ные с выполнением Исполнителем обязательств по Контракту, в том числе налоги, сборы и другие обязательные платежи, которые Исполнитель должен выплатить в связи с выполнением обязательств по Контракту в соответствии с законодательством Российской Федерации.</w:t>
      </w:r>
      <w:r>
        <w:rPr>
          <w:rFonts w:ascii="Arial Unicode MS" w:hAnsi="Arial Unicode MS" w:eastAsia="Arial Unicode MS" w:cs="Arial Unicode MS"/>
          <w:color w:val="000000"/>
          <w:sz w:val="24"/>
          <w:szCs w:val="24"/>
          <w:lang w:val="ru" w:eastAsia="ru-RU"/>
        </w:rPr>
        <w:t xml:space="preserve"> </w:t>
      </w:r>
      <w:r>
        <w:rPr>
          <w:rFonts w:ascii="Arial Unicode MS" w:hAnsi="Arial Unicode MS" w:eastAsia="Arial Unicode MS" w:cs="Arial Unicode MS"/>
          <w:color w:val="000000"/>
          <w:sz w:val="24"/>
          <w:szCs w:val="24"/>
          <w:lang w:val="ru" w:eastAsia="ru-RU"/>
        </w:rPr>
      </w:r>
      <w:r>
        <w:rPr>
          <w:rFonts w:ascii="Arial Unicode MS" w:hAnsi="Arial Unicode MS" w:eastAsia="Arial Unicode MS" w:cs="Arial Unicode MS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6.4. </w:t>
      </w:r>
      <w:r>
        <w:rPr>
          <w:rFonts w:ascii="Times New Roman" w:hAnsi="Times New Roman" w:cs="Times New Roman"/>
          <w:sz w:val="24"/>
          <w:szCs w:val="24"/>
        </w:rPr>
        <w:t xml:space="preserve">Цена Контракта является твердой и определяется на весь срок исполнения Контракта за исключением случаев, установленных Федеральным </w:t>
      </w:r>
      <w:hyperlink r:id="rId11" w:tooltip="consultantplus://offline/ref=70866C93C4936329F0C455254E34A6CAC6C7834FF2B62DD46D84312D009DFEDF1ED7917825447EF92CC4307C66QBmFI" w:history="1">
        <w:r>
          <w:rPr>
            <w:rFonts w:ascii="Times New Roman" w:hAnsi="Times New Roman" w:cs="Times New Roman"/>
            <w:sz w:val="24"/>
            <w:szCs w:val="24"/>
          </w:rPr>
          <w:t xml:space="preserve"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5 апреля 2013 г. N 44-ФЗ                  "О контрактной системе в сфере закупок товаров, работ, услуг для обеспечения государственных и муниципальных нужд" и Контрактом.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/>
      <w:bookmarkStart w:id="0" w:name="P889"/>
      <w:r/>
      <w:bookmarkEnd w:id="0"/>
      <w:r>
        <w:rPr>
          <w:rFonts w:ascii="Times New Roman" w:hAnsi="Times New Roman" w:cs="Times New Roman"/>
          <w:sz w:val="24"/>
          <w:szCs w:val="24"/>
        </w:rPr>
        <w:t xml:space="preserve">Цена Контракта может быть снижена по соглашению Сторон без изменения предусмотренных Контрактом объема и качества оказываемых услуг и иных условий Контракта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6.5. Источник финансирования Контракта– федеральный бюджет.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6.6. Расчеты</w:t>
      </w:r>
      <w:r>
        <w:rPr>
          <w:rFonts w:ascii="Times New Roman" w:hAnsi="Times New Roman" w:eastAsia="Arial Unicode MS" w:cs="Times New Roman"/>
          <w:i/>
          <w:color w:val="000000"/>
          <w:sz w:val="24"/>
          <w:szCs w:val="24"/>
          <w:lang w:val="ru" w:eastAsia="ru-RU"/>
        </w:rPr>
        <w:t xml:space="preserve">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между Заказчиком и Исполнителем</w:t>
      </w:r>
      <w:r>
        <w:rPr>
          <w:rFonts w:ascii="Times New Roman" w:hAnsi="Times New Roman" w:eastAsia="Arial Unicode MS" w:cs="Times New Roman"/>
          <w:i/>
          <w:color w:val="000000"/>
          <w:sz w:val="24"/>
          <w:szCs w:val="24"/>
          <w:lang w:val="ru" w:eastAsia="ru-RU"/>
        </w:rPr>
        <w:t xml:space="preserve">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за оказанные услуги</w:t>
      </w:r>
      <w:r>
        <w:rPr>
          <w:rFonts w:ascii="Times New Roman" w:hAnsi="Times New Roman" w:eastAsia="Arial Unicode MS" w:cs="Times New Roman"/>
          <w:i/>
          <w:color w:val="000000"/>
          <w:sz w:val="24"/>
          <w:szCs w:val="24"/>
          <w:lang w:val="ru" w:eastAsia="ru-RU"/>
        </w:rPr>
        <w:t xml:space="preserve">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производятся</w:t>
      </w:r>
      <w:r>
        <w:rPr>
          <w:rFonts w:ascii="Times New Roman" w:hAnsi="Times New Roman" w:eastAsia="Arial Unicode MS" w:cs="Times New Roman"/>
          <w:i/>
          <w:color w:val="000000"/>
          <w:sz w:val="24"/>
          <w:szCs w:val="24"/>
          <w:lang w:val="ru" w:eastAsia="ru-RU"/>
        </w:rPr>
        <w:t xml:space="preserve">                 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не позднее 7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  <w:t xml:space="preserve"> рабочих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 дней с даты подписания Заказчиком акта сдачи-приемки оказанных услуг.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6.7. Оплата по Контракту осуществляе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тся по безналичному расчету платежными поручениями путем перечисления Заказчиком денежных средств на расчетный счет Исполнителя, указанный в Контракте. В случае изменения расчетного счета Исполнитель обязан в течении трех рабочих дней с даты изменения расч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етного счета в письменной форме сообщить об этом Заказчику, указав новые реквизиты расчетного счета. В противном случае все риски, связанные           с перечислением Заказчиком денежных средств на указанный в Контракте счет Исполнителя, несет Исполнитель.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</w:p>
    <w:p>
      <w:pPr>
        <w:ind w:firstLine="540"/>
        <w:jc w:val="center"/>
        <w:keepNext/>
        <w:spacing w:after="0" w:line="276" w:lineRule="auto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ru" w:eastAsia="ru-RU"/>
        </w:rPr>
        <w:outlineLvl w:val="0"/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VII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ru" w:eastAsia="ru-RU"/>
        </w:rPr>
        <w:t xml:space="preserve">. Обеспечение исполнения Контракта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7.1. Обеспечение исполнения Контракт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  <w:t xml:space="preserve">а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 не устанавливается.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</w:p>
    <w:p>
      <w:pPr>
        <w:ind w:firstLine="851"/>
        <w:jc w:val="center"/>
        <w:spacing w:after="0" w:line="276" w:lineRule="auto"/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ru" w:eastAsia="ru-RU"/>
        </w:rPr>
        <w:t xml:space="preserve">VI</w:t>
      </w:r>
      <w:r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en-US" w:eastAsia="ru-RU"/>
        </w:rPr>
        <w:t xml:space="preserve">I</w:t>
      </w:r>
      <w:r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ru" w:eastAsia="ru-RU"/>
        </w:rPr>
        <w:t xml:space="preserve">I. Гарантийные обязательства</w:t>
      </w:r>
      <w:r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8.1. Исполнитель гарантирует Заказчику качество оказания услуг в соответствии                        с требованиями, предусмотренными Контрактом.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8.2. Гарантийный срок на оказанные услуги с даты подписания акта сдачи-приемки оказанных услуг составляет 6 месяцев.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8.3. Если в период гарантийного срока обнаружатся недостатки и/или дефекты (скрытые недостатки и/или дефекты), то Исполнитель (в случае если не докажет отсутствие своей вины) об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язан устранить их за свой счет и в сроки, согласованные Сторонами и зафиксированные в акте с перечнем выявленных недостатков и сроком их устранения. Гарантийный срок в этом случае соответственно продлевается на период устранения недостатков и/или дефектов.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pStyle w:val="931"/>
        <w:jc w:val="center"/>
        <w:rPr>
          <w:rFonts w:ascii="Times New Roman" w:hAnsi="Times New Roman" w:cs="Times New Roman"/>
          <w:b/>
          <w:sz w:val="24"/>
          <w:szCs w:val="24"/>
        </w:rPr>
        <w:outlineLvl w:val="1"/>
      </w:pPr>
      <w:r>
        <w:rPr>
          <w:rFonts w:ascii="Times New Roman" w:hAnsi="Times New Roman" w:cs="Times New Roman"/>
          <w:b/>
          <w:sz w:val="24"/>
          <w:szCs w:val="24"/>
        </w:rPr>
        <w:t xml:space="preserve">IX. Обеспечение гарантийных обязательств 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ind w:firstLine="851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9.1. Обеспечение гарантийных обязательств не устанавливается</w:t>
      </w:r>
      <w:r>
        <w:t xml:space="preserve">.</w:t>
      </w:r>
      <w:r/>
    </w:p>
    <w:p>
      <w:pPr>
        <w:ind w:firstLine="851"/>
        <w:jc w:val="both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540"/>
        <w:jc w:val="center"/>
        <w:spacing w:after="0" w:line="276" w:lineRule="auto"/>
        <w:widowControl w:val="off"/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b/>
          <w:color w:val="000000"/>
          <w:sz w:val="24"/>
          <w:szCs w:val="24"/>
          <w:lang w:val="en-US" w:eastAsia="ru-RU"/>
        </w:rPr>
        <w:t xml:space="preserve">X</w:t>
      </w:r>
      <w:r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ru" w:eastAsia="ru-RU"/>
        </w:rPr>
        <w:t xml:space="preserve">. Ответственность Сторон</w:t>
      </w:r>
      <w:r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10.1.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10.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  <w:t xml:space="preserve">2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. В случае полного (частичного) неисполнения условий Контракта одной из Сторон эта Сторона обязана возместить другой Стороне причиненные убытки в части, непокрытой неустойкой.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10.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  <w:t xml:space="preserve">3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. В случае просрочки исполнения Исполнителем обязательств, предусмотренных Контрактом, Исполнитель уплачивает Зак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азчику пени. Пеня начисляется за каждый день просрочки исполнения Исполнителем обязательства, предусмотренного Контрактом, начиная               со дня, следующего после дня истечения установленного Контрактом срока исполнения обязательства. Размер пени со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ставляет одна трехсотая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Исполнителем.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10.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  <w:t xml:space="preserve">4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. За каждый факт неисполнения или ненадлежащего ис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полнения Исполнителем обязательств, предусмотренных Контрактом, за исключением просрочки исполнения Исполнителем обязательств (в том числе гарантийного обязательства), предусмотренных Контрактом, Исполнитель уплачивает Заказчику штраф. Размер штрафа опреде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ляется                            в соответствии с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ных контрактом 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Российской Федерации от 30 августа 2017 г.               № 1042 (далее – Правила) и составляет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  <w:t xml:space="preserve">10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%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  <w:t xml:space="preserve">цены Контракта.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  <w:t xml:space="preserve">10.5.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За кажд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ый факт неисполнения или ненадлежащего исполнения Исполнителем обязательства, предусмотренного Контрактом, которое не имеет стоимостного выражения, Исполнитель уплачивает Заказчику штраф. Размер штрафа определяется в соответствии                         с </w:t>
      </w:r>
      <w:hyperlink r:id="rId12" w:tooltip="consultantplus://offline/ref=782E9CC4CCC6932545801925E3B536176E57B6381BDA0BD7655CABC93DB89C271041D8CF0ACBB4D2653D7F184B7ED2198541ED34VBP" w:history="1">
        <w:r>
          <w:rPr>
            <w:rFonts w:ascii="Times New Roman" w:hAnsi="Times New Roman" w:eastAsia="Arial Unicode MS" w:cs="Times New Roman"/>
            <w:sz w:val="24"/>
            <w:szCs w:val="24"/>
            <w:lang w:val="ru" w:eastAsia="ru-RU"/>
          </w:rPr>
          <w:t xml:space="preserve">Правилами</w:t>
        </w:r>
      </w:hyperlink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 и составляет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  <w:t xml:space="preserve">1000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 (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  <w:t xml:space="preserve">Одна тысяча)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 рублей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10.6. В случае просрочки исполнения Заказчиком обязательств, предусмотренных Контрактом, Исполнитель вправе потребовать уплату пени в размере одной трехсотой действующей на дату уплаты пеней ключевой ставки Центрального бан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ка Российской Федерации от не уплаченной в срок суммы. 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highlight w:val="yellow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10.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  <w:t xml:space="preserve">7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Исполнитель вправе потребовать уплату штрафа. Размер штрафа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  <w:t xml:space="preserve">определяет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ся в соответствии               с Правилами и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  <w:t xml:space="preserve">составляет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  <w:t xml:space="preserve">1000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 (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  <w:t xml:space="preserve">Одна тысяча)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 рублей.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highlight w:val="yellow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highlight w:val="yellow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10.8.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Применение неустойки (штрафа, пени) не освобождает Стороны от исполнения обязательств по Контракту.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10.9. Общая сумма начисленных штрафов за неисполнение или ненадлежащее исполнение Исполнителем обязательств, предусмотренных Контрактом, не может превышать цену Контракта.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10.10. 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10.11. В случае расторжения Контракта в связи с односторонним отказом Стороны           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        от исполнения Контракта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Контракта.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jc w:val="center"/>
        <w:keepNext/>
        <w:spacing w:before="240" w:after="60" w:line="276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outlineLvl w:val="3"/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 xml:space="preserve">XI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. Обстоятельства непреодолимой силы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11.1. Стороны не несут ответственность за полное или частичное неисполнение предусмотренных Контрактом обязательств, если такое неисполнение связано с обстоятельствами непреодолимой силы.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11.2. В случае если надлежащее исполнение Стороной предусмотренных Контрактом обязательств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оказалось невозможным вследствие обстоятельств непреодолимой силы, такая Сторона не позднее 3-х рабочих дней с даты их наступления в письменной форме извещает другую Сторону с приложением документов, удостоверяющих факт наступления указанных обстоятельств.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11.3. В случае возникновения обстоятельств непреодолимой силы Стороны вправе расторгнуть Контракт, и в этом случае ни одна из Сторон не вправе требовать возмещения убытков.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11.4. Подтверждением наличия обстоятельств непреодолимой силы и их продолжительности является письменное свидетельство уполномоченных органов                                или уполномоченных организаций.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jc w:val="center"/>
        <w:spacing w:after="0" w:line="276" w:lineRule="auto"/>
        <w:widowControl w:val="off"/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ru" w:eastAsia="ru-RU"/>
        </w:rPr>
        <w:t xml:space="preserve">X</w:t>
      </w:r>
      <w:r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en-US" w:eastAsia="ru-RU"/>
        </w:rPr>
        <w:t xml:space="preserve">II</w:t>
      </w:r>
      <w:r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ru" w:eastAsia="ru-RU"/>
        </w:rPr>
        <w:t xml:space="preserve">. Рассмотрение и разрешение споров</w:t>
      </w:r>
      <w:r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12.1. Все споры и разногласия, которые могут возникнуть из Контракта между Сторонами, будут разрешаться путем переговоров, в том числе в претензионном порядке.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12.2. Претензия оформляется в письменной форме. В претензии перечисляются допущенные при испол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нении Контракта нарушения со ссылкой на соответствующие положения Контракта или его приложений, отражаются стоимостная оценка ответственности (неустойки),                  а также действия, которые должны быть произведены Стороной для устранения нарушений.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Срок рассмотрения претензии не может превышать 3-х рабочих дней. Переписка Сторон может осуществляться в виде писем или телеграмм, а в случаях направления телекса, факса, иного электронного сообщения – с последующим предоставлением оригинала документа.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12.3. При неурегулировании Сторонами спора в досудебном порядке спор разрешается                      в судебном порядке.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jc w:val="center"/>
        <w:spacing w:after="0" w:line="276" w:lineRule="auto"/>
        <w:widowControl w:val="off"/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en-US" w:eastAsia="ru-RU"/>
        </w:rPr>
        <w:t xml:space="preserve">XIII</w:t>
      </w:r>
      <w:r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ru" w:eastAsia="ru-RU"/>
        </w:rPr>
        <w:t xml:space="preserve">. Срок действия Контракта </w:t>
      </w:r>
      <w:r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1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  <w:t xml:space="preserve">3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.1. Контракт вступает в силу с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  <w:t xml:space="preserve">даты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 его подписания обеими Сторонами и действует                по 30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.10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.20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  <w:t xml:space="preserve">2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6г. Окончание срока действия Контракта не влечет прекращения неисполненных обязательств Сторон по Контракту, в том числе гарантийных обязательств Исполнителя.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540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jc w:val="center"/>
        <w:spacing w:after="0" w:line="276" w:lineRule="auto"/>
        <w:widowControl w:val="off"/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ru" w:eastAsia="ru-RU"/>
        </w:rPr>
        <w:t xml:space="preserve">X</w:t>
      </w:r>
      <w:r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en-US" w:eastAsia="ru-RU"/>
        </w:rPr>
        <w:t xml:space="preserve">IV</w:t>
      </w:r>
      <w:r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ru" w:eastAsia="ru-RU"/>
        </w:rPr>
        <w:t xml:space="preserve">. Иные положения</w:t>
      </w:r>
      <w:r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ru" w:eastAsia="ru-RU"/>
        </w:rPr>
      </w:r>
    </w:p>
    <w:p>
      <w:pPr>
        <w:pStyle w:val="93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14.1. Контракт составлен в двух экземплярах, идентичных по содержанию и имеющих одинаковую юридическую силу, один из которых передан Исполнителю, второй - находится                      у Заказчика.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1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  <w:t xml:space="preserve">4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.2. В слу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чае изменения у какой-либо из Сторон местонахождения, наименования, а также в случае реорганизации она обязана в течение 10 дней с даты внесения в единый государственный реестр юридических лиц указанных изменений письменно известить об этом другую Сторону.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1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  <w:t xml:space="preserve">4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.3. Любые изменения, дополнения и приложения к Контракту, выполненные                            в письменной форме и подписанные каждой из Сторон, являются его неотъемлемой частью.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1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  <w:t xml:space="preserve">4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.4. Изменение условий Контракта при его исполн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ении не допускается за исключением случаев, предусмотренных статьей 95 Федерального закона от 5 апреля 2013 г. № 44-ФЗ                       «О контрактной системе в сфере закупок товаров, работ, услуг для обеспечения государственных и муниципальных нужд».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14.5. При исполнении Контракта не допускается перемена Исполнителя, за исключением случая, если новый исполнитель является правопреемником Исполнителя вследствие реорганизации юридического лица в форме преобразования, слияния или присоединения.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Передача прав и обязанностей по Контракту правопреемнику Исполнителя осуществляется путем заключения соответствующего дополнительного соглашения к Контракту.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14.6. Контракт будет считаться исполненным и прекратившим свое действие после выполнения Сторонами взаимных обязательств по Контракту и осуществления окончательных расчетов между Сторонами.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1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  <w:t xml:space="preserve">4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.7. Контракт может быть расторгнут по взаимному соглашению Сторон, по решению суда или в случае одностороннего отказа Стороны от исполнения Контракта в соответствии                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         с гражданским законодательством в порядке, предусмотренном частями 9 – 23 статьи 95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1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  <w:t xml:space="preserve">4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.8. Во всем, что не оговорено в Контракте, Стороны руководствуются действующим законодательством Российской Федерации.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jc w:val="center"/>
        <w:spacing w:after="0" w:line="276" w:lineRule="auto"/>
        <w:rPr>
          <w:rFonts w:ascii="Times New Roman" w:hAnsi="Times New Roman" w:eastAsia="Arial Unicode MS" w:cs="Times New Roman"/>
          <w:b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b/>
          <w:color w:val="000000"/>
          <w:sz w:val="24"/>
          <w:szCs w:val="24"/>
          <w:lang w:val="ru" w:eastAsia="ru-RU"/>
        </w:rPr>
        <w:t xml:space="preserve">X</w:t>
      </w:r>
      <w:r>
        <w:rPr>
          <w:rFonts w:ascii="Times New Roman" w:hAnsi="Times New Roman" w:eastAsia="Arial Unicode MS" w:cs="Times New Roman"/>
          <w:b/>
          <w:color w:val="000000"/>
          <w:sz w:val="24"/>
          <w:szCs w:val="24"/>
          <w:lang w:val="en-US" w:eastAsia="ru-RU"/>
        </w:rPr>
        <w:t xml:space="preserve">V</w:t>
      </w:r>
      <w:r>
        <w:rPr>
          <w:rFonts w:ascii="Times New Roman" w:hAnsi="Times New Roman" w:eastAsia="Arial Unicode MS" w:cs="Times New Roman"/>
          <w:b/>
          <w:color w:val="000000"/>
          <w:sz w:val="24"/>
          <w:szCs w:val="24"/>
          <w:lang w:val="ru" w:eastAsia="ru-RU"/>
        </w:rPr>
        <w:t xml:space="preserve">. Перечень приложений</w:t>
      </w:r>
      <w:r>
        <w:rPr>
          <w:rFonts w:ascii="Times New Roman" w:hAnsi="Times New Roman" w:eastAsia="Arial Unicode MS" w:cs="Times New Roman"/>
          <w:b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b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1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  <w:t xml:space="preserve">5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.1. Неотъемлемой частью Контракта являются следующие приложения: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техническое задание ТО 5  Lada NIVA TRAVEL (приложение № 1);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  <w:t xml:space="preserve">перечень цен единиц услуг ТО 5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Lada NIVA TRAVEL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  <w:t xml:space="preserve"> (приложение № 2).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en-US" w:eastAsia="ru-RU"/>
        </w:rPr>
        <w:t xml:space="preserve">XVI</w:t>
      </w:r>
      <w:r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ru" w:eastAsia="ru-RU"/>
        </w:rPr>
        <w:t xml:space="preserve">. Адреса и банковские реквизиты Сторон</w:t>
      </w:r>
      <w:r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ru" w:eastAsia="ru-RU"/>
        </w:rPr>
      </w:r>
    </w:p>
    <w:p>
      <w:pPr>
        <w:ind w:left="280" w:firstLine="708"/>
        <w:jc w:val="center"/>
        <w:spacing w:after="0" w:line="276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ar-SA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ar-SA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ar-SA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ar-SA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4471"/>
        <w:gridCol w:w="4542"/>
      </w:tblGrid>
      <w:tr>
        <w:tblPrEx/>
        <w:trPr>
          <w:trHeight w:val="10115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447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ЗАКАЗЧИК: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Calibri"/>
                <w:b/>
                <w:bCs/>
                <w:sz w:val="24"/>
                <w:szCs w:val="24"/>
                <w:lang w:eastAsia="ru-RU"/>
              </w:rPr>
              <w:t xml:space="preserve">Управление Федеральной службы государственной регистрации, кадастра и картографии по Смоленской области</w:t>
            </w:r>
            <w:r>
              <w:rPr>
                <w:rFonts w:ascii="Times New Roman" w:hAnsi="Times New Roman" w:cs="Calibri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Calibri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tabs>
                <w:tab w:val="left" w:pos="-180" w:leader="none"/>
                <w:tab w:val="left" w:pos="0" w:leader="none"/>
              </w:tabs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  <w:t xml:space="preserve">ИНН 6730055050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tabs>
                <w:tab w:val="left" w:pos="-180" w:leader="none"/>
                <w:tab w:val="left" w:pos="0" w:leader="none"/>
              </w:tabs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  <w:t xml:space="preserve">КПП 673001001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tabs>
                <w:tab w:val="left" w:pos="-180" w:leader="none"/>
                <w:tab w:val="left" w:pos="0" w:leader="none"/>
              </w:tabs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  <w:t xml:space="preserve">ОГРН 1046758340507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tabs>
                <w:tab w:val="left" w:pos="-180" w:leader="none"/>
                <w:tab w:val="left" w:pos="0" w:leader="none"/>
              </w:tabs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  <w:t xml:space="preserve">Наименование органа Федерального казначейства УФК по Смоленской области г. Смоленск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tabs>
                <w:tab w:val="left" w:pos="-180" w:leader="none"/>
                <w:tab w:val="left" w:pos="0" w:leader="none"/>
              </w:tabs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  <w:t xml:space="preserve">Банковские реквизиты счета, открытого органу Федерального казначейства: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tabs>
                <w:tab w:val="left" w:pos="-180" w:leader="none"/>
                <w:tab w:val="left" w:pos="0" w:leader="none"/>
              </w:tabs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  <w:t xml:space="preserve">ОКЦ № 1 Волго-Вятского ГУ Банка России //УФК по Нижегородской области г. Нижний Новгород: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tabs>
                <w:tab w:val="left" w:pos="-180" w:leader="none"/>
                <w:tab w:val="left" w:pos="0" w:leader="none"/>
              </w:tabs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  <w:t xml:space="preserve">счет 03211643000000013216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tabs>
                <w:tab w:val="left" w:pos="-180" w:leader="none"/>
                <w:tab w:val="left" w:pos="0" w:leader="none"/>
              </w:tabs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  <w:t xml:space="preserve">сч. №40102810745370000024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tabs>
                <w:tab w:val="left" w:pos="-180" w:leader="none"/>
                <w:tab w:val="left" w:pos="0" w:leader="none"/>
              </w:tabs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  <w:t xml:space="preserve">Лицевой счет 03631А39190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tabs>
                <w:tab w:val="left" w:pos="-180" w:leader="none"/>
                <w:tab w:val="left" w:pos="0" w:leader="none"/>
              </w:tabs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  <w:t xml:space="preserve">БИК 012202102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tabs>
                <w:tab w:val="left" w:pos="-180" w:leader="none"/>
                <w:tab w:val="left" w:pos="0" w:leader="none"/>
              </w:tabs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/>
            <w:hyperlink r:id="rId13" w:tooltip="consultantplus://offline/ref=00E1C201CF2CFBE43691BDF595F15F0BF2C4513BF2220FBB060B5246E130B0C5D4717608AF8389373D5B1E4DDBP728G" w:history="1">
              <w:r>
                <w:rPr>
                  <w:rFonts w:ascii="Times New Roman" w:hAnsi="Times New Roman"/>
                  <w:sz w:val="24"/>
                  <w:szCs w:val="24"/>
                  <w:highlight w:val="white"/>
                  <w:lang w:eastAsia="ru-RU"/>
                </w:rPr>
                <w:t xml:space="preserve">ОКОПФ</w:t>
              </w:r>
            </w:hyperlink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  <w:t xml:space="preserve"> 75104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tabs>
                <w:tab w:val="left" w:pos="-180" w:leader="none"/>
                <w:tab w:val="left" w:pos="0" w:leader="none"/>
              </w:tabs>
              <w:rPr>
                <w:rFonts w:ascii="Times New Roman" w:hAnsi="Times New Roman"/>
                <w:sz w:val="28"/>
                <w:szCs w:val="28"/>
              </w:rPr>
            </w:pPr>
            <w:r/>
            <w:hyperlink r:id="rId14" w:tooltip="consultantplus://offline/ref=00E1C201CF2CFBE43691BDF595F15F0BF2C25339FE2E0FBB060B5246E130B0C5D4717608AF8389373D5B1E4DDBP728G" w:history="1">
              <w:r>
                <w:rPr>
                  <w:rFonts w:ascii="Times New Roman" w:hAnsi="Times New Roman"/>
                  <w:sz w:val="24"/>
                  <w:szCs w:val="24"/>
                  <w:highlight w:val="white"/>
                  <w:lang w:eastAsia="ru-RU"/>
                </w:rPr>
                <w:t xml:space="preserve">ОКВЭД2</w:t>
              </w:r>
            </w:hyperlink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  <w:t xml:space="preserve"> 84.11.12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spacing w:after="0" w:line="240" w:lineRule="auto"/>
              <w:tabs>
                <w:tab w:val="left" w:pos="-180" w:leader="none"/>
                <w:tab w:val="left" w:pos="0" w:leader="none"/>
              </w:tabs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  <w:t xml:space="preserve">Адрес местонахождения: 214025,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tabs>
                <w:tab w:val="left" w:pos="-180" w:leader="none"/>
                <w:tab w:val="left" w:pos="0" w:leader="none"/>
              </w:tabs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  <w:t xml:space="preserve">г. Смоленск, ул. Полтавская, д. 8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tabs>
                <w:tab w:val="left" w:pos="-180" w:leader="none"/>
                <w:tab w:val="left" w:pos="0" w:leader="none"/>
              </w:tabs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  <w:t xml:space="preserve">Адрес электронной почты: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tabs>
                <w:tab w:val="left" w:pos="-180" w:leader="none"/>
                <w:tab w:val="left" w:pos="0" w:leader="none"/>
              </w:tabs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  <w:t xml:space="preserve">67_upr@rosreestr.ru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  <w:t xml:space="preserve">Телефон: (4812) 35-12-50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ЗАКАЗЧИК: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И.о. руководителя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__________________ </w:t>
            </w:r>
            <w:bookmarkStart w:id="1" w:name="undefined"/>
            <w:r/>
            <w:bookmarkEnd w:id="1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С.В. Сафонова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М.П.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45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ИСПОЛНИТЕЛЬ: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ИСПОЛНИТЕЛЬ: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_____________________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М.П.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</w:tbl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0"/>
          <w:szCs w:val="20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ПРИЛОЖЕНИЕ №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  <w:t xml:space="preserve">1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к государственному контракту №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  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 от _____20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  <w:t xml:space="preserve">___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г.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0"/>
          <w:szCs w:val="20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0"/>
          <w:szCs w:val="20"/>
          <w:lang w:val="ru" w:eastAsia="ru-RU"/>
        </w:rPr>
        <w:t xml:space="preserve">.</w:t>
      </w:r>
      <w:r>
        <w:rPr>
          <w:rFonts w:ascii="Times New Roman" w:hAnsi="Times New Roman" w:eastAsia="Arial Unicode MS" w:cs="Times New Roman"/>
          <w:color w:val="000000"/>
          <w:sz w:val="20"/>
          <w:szCs w:val="20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0"/>
          <w:szCs w:val="20"/>
          <w:lang w:val="ru"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0"/>
          <w:szCs w:val="20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0"/>
          <w:szCs w:val="20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0"/>
          <w:szCs w:val="20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0"/>
          <w:szCs w:val="20"/>
          <w:lang w:val="ru" w:eastAsia="ru-RU"/>
        </w:rPr>
      </w:r>
    </w:p>
    <w:p>
      <w:pPr>
        <w:ind w:left="7020" w:right="-289"/>
        <w:spacing w:after="0" w:line="240" w:lineRule="auto"/>
        <w:rPr>
          <w:rFonts w:ascii="Times New Roman" w:hAnsi="Times New Roman" w:eastAsia="Arial Unicode MS" w:cs="Times New Roman"/>
          <w:color w:val="000000"/>
          <w:sz w:val="20"/>
          <w:szCs w:val="20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0"/>
          <w:szCs w:val="20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0"/>
          <w:szCs w:val="20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0"/>
          <w:szCs w:val="20"/>
          <w:lang w:val="ru" w:eastAsia="ru-RU"/>
        </w:rPr>
      </w:r>
    </w:p>
    <w:p>
      <w:pPr>
        <w:ind w:right="-289"/>
        <w:jc w:val="center"/>
        <w:spacing w:after="0" w:line="240" w:lineRule="auto"/>
        <w:rPr>
          <w:rFonts w:ascii="Times New Roman" w:hAnsi="Times New Roman" w:eastAsia="Arial Unicode MS" w:cs="Times New Roman"/>
          <w:b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b/>
          <w:color w:val="000000"/>
          <w:sz w:val="24"/>
          <w:szCs w:val="24"/>
          <w:lang w:val="ru" w:eastAsia="ru-RU"/>
        </w:rPr>
        <w:t xml:space="preserve">Техническое задание</w:t>
      </w:r>
      <w:r>
        <w:rPr>
          <w:rFonts w:ascii="Times New Roman" w:hAnsi="Times New Roman" w:eastAsia="Arial Unicode MS" w:cs="Times New Roman"/>
          <w:b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b/>
          <w:color w:val="000000"/>
          <w:sz w:val="24"/>
          <w:szCs w:val="24"/>
          <w:lang w:val="ru"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Arial Unicode MS" w:cs="Times New Roman"/>
          <w:b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b/>
          <w:color w:val="000000"/>
          <w:sz w:val="24"/>
          <w:szCs w:val="24"/>
          <w:lang w:val="ru" w:eastAsia="ru-RU"/>
        </w:rPr>
        <w:t xml:space="preserve">на </w:t>
      </w:r>
      <w:r>
        <w:rPr>
          <w:rFonts w:ascii="Times New Roman" w:hAnsi="Times New Roman" w:eastAsia="Arial Unicode MS" w:cs="Times New Roman"/>
          <w:b/>
          <w:bCs/>
          <w:color w:val="000000"/>
          <w:sz w:val="24"/>
          <w:szCs w:val="24"/>
          <w:lang w:val="ru" w:eastAsia="ru-RU"/>
        </w:rPr>
        <w:t xml:space="preserve">оказание услуг по техническому обслуживанию транспортных средств</w:t>
      </w:r>
      <w:r>
        <w:rPr>
          <w:rFonts w:ascii="Times New Roman" w:hAnsi="Times New Roman" w:eastAsia="Arial Unicode MS" w:cs="Times New Roman"/>
          <w:b/>
          <w:color w:val="000000"/>
          <w:sz w:val="24"/>
          <w:szCs w:val="24"/>
          <w:lang w:val="ru" w:eastAsia="ru-RU"/>
        </w:rPr>
        <w:t xml:space="preserve"> </w:t>
      </w:r>
      <w:r>
        <w:rPr>
          <w:rFonts w:ascii="Times New Roman" w:hAnsi="Times New Roman" w:eastAsia="Arial Unicode MS" w:cs="Times New Roman"/>
          <w:b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b/>
          <w:color w:val="000000"/>
          <w:sz w:val="24"/>
          <w:szCs w:val="24"/>
          <w:lang w:val="ru"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0"/>
          <w:szCs w:val="20"/>
          <w:lang w:val="ru" w:eastAsia="ru-RU"/>
        </w:rPr>
        <w:t xml:space="preserve">   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Arial Unicode MS" w:cs="Times New Roman"/>
          <w:b/>
          <w:color w:val="000000"/>
          <w:sz w:val="24"/>
          <w:szCs w:val="24"/>
          <w:lang w:val="ru" w:eastAsia="ru-RU"/>
        </w:rPr>
        <w:t xml:space="preserve">   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Требования к проведению технического осмотра ТО-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5 (69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500 -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70500км)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left="125" w:firstLine="725"/>
        <w:jc w:val="both"/>
        <w:spacing w:after="3" w:line="265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Автомобиль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LADA НИВА Travel А940ТС67  VIN XTA212300S0948079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2025 года выпуска находится на гарантийном обслуживании.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left="125" w:hanging="3"/>
        <w:jc w:val="both"/>
        <w:spacing w:after="3" w:line="265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Комплекс-сервис «Техническое обслуживание» ТО-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5: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125" w:hanging="3"/>
        <w:jc w:val="both"/>
        <w:spacing w:after="3" w:line="265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Регламентные работы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930"/>
        <w:numPr>
          <w:ilvl w:val="0"/>
          <w:numId w:val="32"/>
        </w:numPr>
        <w:ind w:right="0"/>
        <w:spacing w:before="0" w:after="0"/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4"/>
          <w:szCs w:val="24"/>
        </w:rPr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заменить фильтрующий элемент системы вентиляции и отопления салона</w:t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;</w:t>
      </w:r>
      <w:r>
        <w:rPr>
          <w:rFonts w:ascii="Tinos" w:hAnsi="Tinos" w:eastAsia="Tinos" w:cs="Tinos"/>
          <w:color w:val="000000" w:themeColor="text1"/>
          <w:sz w:val="24"/>
          <w:szCs w:val="24"/>
        </w:rPr>
      </w:r>
      <w:r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</w:r>
    </w:p>
    <w:p>
      <w:pPr>
        <w:pStyle w:val="930"/>
        <w:numPr>
          <w:ilvl w:val="0"/>
          <w:numId w:val="32"/>
        </w:numPr>
        <w:ind w:right="0"/>
        <w:spacing w:before="0" w:after="0"/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заменить масляный фильтр и масло в картере двигателя;</w:t>
      </w:r>
      <w:r>
        <w:rPr>
          <w:rFonts w:ascii="Tinos" w:hAnsi="Tinos" w:eastAsia="Tinos" w:cs="Tinos"/>
          <w:color w:val="000000" w:themeColor="text1"/>
          <w:sz w:val="24"/>
          <w:szCs w:val="24"/>
        </w:rPr>
      </w:r>
      <w:r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</w:r>
    </w:p>
    <w:p>
      <w:pPr>
        <w:pStyle w:val="930"/>
        <w:numPr>
          <w:ilvl w:val="0"/>
          <w:numId w:val="32"/>
        </w:numPr>
        <w:ind w:right="0"/>
        <w:jc w:val="both"/>
        <w:spacing w:before="0" w:after="0"/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4"/>
          <w:szCs w:val="24"/>
        </w:rPr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заменить смазку и отрегулировать зазоры в подшипниках ступиц передних колес</w:t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;</w:t>
      </w:r>
      <w:r>
        <w:rPr>
          <w:rFonts w:ascii="Tinos" w:hAnsi="Tinos" w:eastAsia="Tinos" w:cs="Tinos"/>
          <w:color w:val="000000" w:themeColor="text1"/>
          <w:sz w:val="24"/>
          <w:szCs w:val="24"/>
        </w:rPr>
      </w:r>
      <w:r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</w:r>
    </w:p>
    <w:p>
      <w:pPr>
        <w:pStyle w:val="930"/>
        <w:numPr>
          <w:ilvl w:val="0"/>
          <w:numId w:val="32"/>
        </w:numPr>
        <w:ind w:right="0"/>
        <w:spacing w:before="0" w:after="0"/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4"/>
          <w:szCs w:val="24"/>
        </w:rPr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проверить состояние колодок передних тормозов</w:t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;</w:t>
      </w:r>
      <w:r>
        <w:rPr>
          <w:rFonts w:ascii="Tinos" w:hAnsi="Tinos" w:eastAsia="Tinos" w:cs="Tinos"/>
          <w:color w:val="000000" w:themeColor="text1"/>
          <w:sz w:val="24"/>
          <w:szCs w:val="24"/>
        </w:rPr>
      </w:r>
      <w:r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</w:r>
    </w:p>
    <w:p>
      <w:pPr>
        <w:pStyle w:val="930"/>
        <w:numPr>
          <w:ilvl w:val="0"/>
          <w:numId w:val="32"/>
        </w:numPr>
        <w:ind w:right="0"/>
        <w:spacing w:before="0" w:after="0"/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4"/>
          <w:szCs w:val="24"/>
        </w:rPr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проверить состояние дисков и шин колес</w:t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;</w:t>
      </w:r>
      <w:r>
        <w:rPr>
          <w:rFonts w:ascii="Tinos" w:hAnsi="Tinos" w:eastAsia="Tinos" w:cs="Tinos"/>
          <w:color w:val="000000" w:themeColor="text1"/>
          <w:sz w:val="24"/>
          <w:szCs w:val="24"/>
        </w:rPr>
      </w:r>
    </w:p>
    <w:p>
      <w:pPr>
        <w:pStyle w:val="930"/>
        <w:numPr>
          <w:ilvl w:val="0"/>
          <w:numId w:val="32"/>
        </w:numPr>
        <w:ind w:right="0"/>
        <w:jc w:val="both"/>
        <w:spacing w:before="0" w:after="0"/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4"/>
          <w:szCs w:val="24"/>
        </w:rPr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смазать: трущиеся участки ограничителя открывания дверей, шарнир и пружину крышки люка топливного бака, замочные скважины дверей</w:t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;</w:t>
      </w:r>
      <w:r>
        <w:rPr>
          <w:rFonts w:ascii="Tinos" w:hAnsi="Tinos" w:eastAsia="Tinos" w:cs="Tinos"/>
          <w:color w:val="000000" w:themeColor="text1"/>
          <w:sz w:val="24"/>
          <w:szCs w:val="24"/>
        </w:rPr>
      </w:r>
    </w:p>
    <w:p>
      <w:pPr>
        <w:pStyle w:val="930"/>
        <w:numPr>
          <w:ilvl w:val="0"/>
          <w:numId w:val="32"/>
        </w:numPr>
        <w:ind w:right="0"/>
        <w:spacing w:before="0" w:after="0"/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прочистить дренажные отверстия дверей и порогов;</w:t>
      </w:r>
      <w:r>
        <w:rPr>
          <w:rFonts w:ascii="Tinos" w:hAnsi="Tinos" w:eastAsia="Tinos" w:cs="Tinos"/>
          <w:color w:val="000000" w:themeColor="text1"/>
          <w:sz w:val="24"/>
          <w:szCs w:val="24"/>
        </w:rPr>
      </w:r>
      <w:r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</w:r>
    </w:p>
    <w:p>
      <w:pPr>
        <w:ind w:left="834" w:firstLine="0"/>
        <w:jc w:val="both"/>
        <w:spacing w:after="3" w:line="265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left="142" w:hanging="3"/>
        <w:jc w:val="both"/>
        <w:spacing w:after="3" w:line="265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Диагностические работы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left="142" w:hanging="3"/>
        <w:jc w:val="both"/>
        <w:spacing w:after="3" w:line="265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Проверить: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934"/>
        <w:numPr>
          <w:ilvl w:val="0"/>
          <w:numId w:val="35"/>
        </w:numPr>
        <w:jc w:val="both"/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</w:pPr>
      <w:r>
        <w:rPr>
          <w:rFonts w:ascii="Tinos" w:hAnsi="Tinos" w:eastAsia="Tinos" w:cs="Tinos"/>
          <w:color w:val="000000" w:themeColor="text1"/>
          <w:sz w:val="24"/>
          <w:szCs w:val="24"/>
        </w:rPr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наличие сколов, трещин и очагов коррозии лакокрасочного покрытия кузова, повреждений мастики арок колес и днища; работу замков дверей и капот</w:t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а</w:t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;</w:t>
      </w:r>
      <w:r>
        <w:rPr>
          <w:rFonts w:ascii="Tinos" w:hAnsi="Tinos" w:eastAsia="Tinos" w:cs="Tinos"/>
          <w:color w:val="000000" w:themeColor="text1"/>
          <w:sz w:val="24"/>
          <w:szCs w:val="24"/>
        </w:rPr>
      </w:r>
      <w:r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</w:r>
    </w:p>
    <w:p>
      <w:pPr>
        <w:pStyle w:val="934"/>
        <w:numPr>
          <w:ilvl w:val="0"/>
          <w:numId w:val="35"/>
        </w:numPr>
        <w:jc w:val="both"/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</w:pPr>
      <w:r>
        <w:rPr>
          <w:rFonts w:ascii="Tinos" w:hAnsi="Tinos" w:eastAsia="Tinos" w:cs="Tinos"/>
          <w:color w:val="000000" w:themeColor="text1"/>
          <w:sz w:val="24"/>
          <w:szCs w:val="24"/>
        </w:rPr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состояние элементов передней и задней подвесок, их резинометаллических шарниров; шаровых опор; шарниров рулевых тяг и их защитных колпачков; защитных чехлов приводов передних колес; буферов отбоя; состояние резиновых подушек стабилизатора поперечной устойч</w:t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ивости; состояние гидравлических амортизаторов и резиновых втулок;</w:t>
      </w:r>
      <w:r>
        <w:rPr>
          <w:rFonts w:ascii="Tinos" w:hAnsi="Tinos" w:eastAsia="Tinos" w:cs="Tinos"/>
          <w:color w:val="000000" w:themeColor="text1"/>
          <w:sz w:val="24"/>
          <w:szCs w:val="24"/>
        </w:rPr>
      </w:r>
      <w:r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</w:r>
    </w:p>
    <w:p>
      <w:pPr>
        <w:pStyle w:val="934"/>
        <w:numPr>
          <w:ilvl w:val="0"/>
          <w:numId w:val="35"/>
        </w:numPr>
        <w:jc w:val="both"/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суммарный люфт в рулевом управлении;</w:t>
      </w:r>
      <w:r>
        <w:rPr>
          <w:rFonts w:ascii="Tinos" w:hAnsi="Tinos" w:eastAsia="Tinos" w:cs="Tinos"/>
          <w:color w:val="000000" w:themeColor="text1"/>
          <w:sz w:val="24"/>
          <w:szCs w:val="24"/>
        </w:rPr>
      </w:r>
      <w:r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</w:r>
    </w:p>
    <w:p>
      <w:pPr>
        <w:pStyle w:val="934"/>
        <w:numPr>
          <w:ilvl w:val="0"/>
          <w:numId w:val="35"/>
        </w:numPr>
        <w:jc w:val="both"/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герметичность систем охлаждения, питания и гидравлического привода тормозов, сцепления и гидроусилителя рулевого управления; состояние шлангов, трубок и соединений;</w:t>
      </w:r>
      <w:r>
        <w:rPr>
          <w:rFonts w:ascii="Tinos" w:hAnsi="Tinos" w:eastAsia="Tinos" w:cs="Tinos"/>
          <w:color w:val="000000" w:themeColor="text1"/>
          <w:sz w:val="24"/>
          <w:szCs w:val="24"/>
        </w:rPr>
      </w:r>
      <w:r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</w:r>
    </w:p>
    <w:p>
      <w:pPr>
        <w:pStyle w:val="934"/>
        <w:numPr>
          <w:ilvl w:val="0"/>
          <w:numId w:val="35"/>
        </w:numPr>
        <w:jc w:val="both"/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герметичность уплотнений узлов и агрегатов;</w:t>
      </w:r>
      <w:r>
        <w:rPr>
          <w:rFonts w:ascii="Tinos" w:hAnsi="Tinos" w:eastAsia="Tinos" w:cs="Tinos"/>
          <w:color w:val="000000" w:themeColor="text1"/>
          <w:sz w:val="24"/>
          <w:szCs w:val="24"/>
        </w:rPr>
      </w:r>
      <w:r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</w:r>
    </w:p>
    <w:p>
      <w:pPr>
        <w:pStyle w:val="934"/>
        <w:numPr>
          <w:ilvl w:val="0"/>
          <w:numId w:val="35"/>
        </w:numPr>
        <w:jc w:val="both"/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уровни жидкости в бачках гидропривода тормозов и сцепления; работу сигнализатора уровня жидкости в бачке гидропривода тормозов;</w:t>
      </w:r>
      <w:r>
        <w:rPr>
          <w:rFonts w:ascii="Tinos" w:hAnsi="Tinos" w:eastAsia="Tinos" w:cs="Tinos"/>
          <w:color w:val="000000" w:themeColor="text1"/>
          <w:sz w:val="24"/>
          <w:szCs w:val="24"/>
        </w:rPr>
      </w:r>
      <w:r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</w:r>
    </w:p>
    <w:p>
      <w:pPr>
        <w:pStyle w:val="934"/>
        <w:numPr>
          <w:ilvl w:val="0"/>
          <w:numId w:val="35"/>
        </w:numPr>
        <w:jc w:val="both"/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уровень охлаждающей жидкости в расширительном бачке;</w:t>
      </w:r>
      <w:r>
        <w:rPr>
          <w:rFonts w:ascii="Tinos" w:hAnsi="Tinos" w:eastAsia="Tinos" w:cs="Tinos"/>
          <w:color w:val="000000" w:themeColor="text1"/>
          <w:sz w:val="24"/>
          <w:szCs w:val="24"/>
        </w:rPr>
      </w:r>
      <w:r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</w:r>
    </w:p>
    <w:p>
      <w:pPr>
        <w:pStyle w:val="934"/>
        <w:numPr>
          <w:ilvl w:val="0"/>
          <w:numId w:val="35"/>
        </w:numPr>
        <w:jc w:val="both"/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состояние и натяжение ремней привода вспомогательных агрегатов и компрессора кондиционера (при наличии);</w:t>
      </w:r>
      <w:r>
        <w:rPr>
          <w:rFonts w:ascii="Tinos" w:hAnsi="Tinos" w:eastAsia="Tinos" w:cs="Tinos"/>
          <w:color w:val="000000" w:themeColor="text1"/>
          <w:sz w:val="24"/>
          <w:szCs w:val="24"/>
        </w:rPr>
      </w:r>
      <w:r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</w:r>
    </w:p>
    <w:p>
      <w:pPr>
        <w:pStyle w:val="934"/>
        <w:numPr>
          <w:ilvl w:val="0"/>
          <w:numId w:val="35"/>
        </w:numPr>
        <w:jc w:val="both"/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4"/>
          <w:szCs w:val="24"/>
        </w:rPr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уровень плотности электролита в аккумуляторной батарее</w:t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;</w:t>
      </w:r>
      <w:r>
        <w:rPr>
          <w:rFonts w:ascii="Tinos" w:hAnsi="Tinos" w:eastAsia="Tinos" w:cs="Tinos"/>
          <w:color w:val="000000" w:themeColor="text1"/>
          <w:sz w:val="24"/>
          <w:szCs w:val="24"/>
        </w:rPr>
      </w:r>
      <w:r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</w:r>
    </w:p>
    <w:p>
      <w:pPr>
        <w:pStyle w:val="934"/>
        <w:numPr>
          <w:ilvl w:val="0"/>
          <w:numId w:val="35"/>
        </w:numPr>
        <w:jc w:val="both"/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4"/>
          <w:szCs w:val="24"/>
        </w:rPr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работу генератора, систем освещения, световой и звуковой сигнализации, электрокорректора фар, контрольных приборов, стеклоочистителей, омывателей, вентиляторов, обогрева заднего стекла, электропривода наружных зеркал, обогрева передних сидений (при наличии</w:t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), электроблокировки замков дверей, кондиционера (при наличии), подушек безопасности (при наличии), АБС (при наличии)</w:t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;</w:t>
      </w:r>
      <w:r>
        <w:rPr>
          <w:rFonts w:ascii="Tinos" w:hAnsi="Tinos" w:eastAsia="Tinos" w:cs="Tinos"/>
          <w:color w:val="000000" w:themeColor="text1"/>
          <w:sz w:val="24"/>
          <w:szCs w:val="24"/>
        </w:rPr>
      </w:r>
      <w:r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</w:r>
    </w:p>
    <w:p>
      <w:pPr>
        <w:pStyle w:val="934"/>
        <w:numPr>
          <w:ilvl w:val="0"/>
          <w:numId w:val="35"/>
        </w:numPr>
        <w:jc w:val="both"/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4"/>
          <w:szCs w:val="24"/>
        </w:rPr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отсутствие посторонних шумов и стуков в двигателе, узлах и агрегатах трансмиссии</w:t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;</w:t>
      </w:r>
      <w:r>
        <w:rPr>
          <w:rFonts w:ascii="Tinos" w:hAnsi="Tinos" w:eastAsia="Tinos" w:cs="Tinos"/>
          <w:color w:val="000000" w:themeColor="text1"/>
          <w:sz w:val="24"/>
          <w:szCs w:val="24"/>
        </w:rPr>
      </w:r>
      <w:r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</w:r>
    </w:p>
    <w:p>
      <w:pPr>
        <w:pStyle w:val="934"/>
        <w:numPr>
          <w:ilvl w:val="0"/>
          <w:numId w:val="35"/>
        </w:numPr>
        <w:jc w:val="both"/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эффективность работы передних и задних тормозов; регулировку стояночного тормоза и ход педали тормоза; </w:t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работоспособность регулятора давления (или АБС) и вакуумного усилителя тормозов</w:t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;</w:t>
      </w:r>
      <w:r>
        <w:rPr>
          <w:rFonts w:ascii="Tinos" w:hAnsi="Tinos" w:eastAsia="Tinos" w:cs="Tinos"/>
          <w:color w:val="000000" w:themeColor="text1"/>
          <w:sz w:val="24"/>
          <w:szCs w:val="24"/>
        </w:rPr>
      </w:r>
      <w:r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</w:r>
    </w:p>
    <w:p>
      <w:pPr>
        <w:pStyle w:val="934"/>
        <w:numPr>
          <w:ilvl w:val="0"/>
          <w:numId w:val="35"/>
        </w:numPr>
        <w:jc w:val="both"/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уровень масла в коробке передач, раздаточной коробке, переднем и заднем мостах;</w:t>
      </w:r>
      <w:r>
        <w:rPr>
          <w:rFonts w:ascii="Tinos" w:hAnsi="Tinos" w:eastAsia="Tinos" w:cs="Tinos"/>
          <w:color w:val="000000" w:themeColor="text1"/>
          <w:sz w:val="24"/>
          <w:szCs w:val="24"/>
        </w:rPr>
      </w:r>
      <w:r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</w:r>
    </w:p>
    <w:p>
      <w:pPr>
        <w:pStyle w:val="934"/>
        <w:numPr>
          <w:ilvl w:val="0"/>
          <w:numId w:val="35"/>
        </w:numPr>
        <w:jc w:val="both"/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уровень жидкости в бачке гидроусилителя рулевого управления;</w:t>
      </w:r>
      <w:r>
        <w:rPr>
          <w:rFonts w:ascii="Tinos" w:hAnsi="Tinos" w:eastAsia="Tinos" w:cs="Tinos"/>
          <w:color w:val="000000" w:themeColor="text1"/>
          <w:sz w:val="24"/>
          <w:szCs w:val="24"/>
        </w:rPr>
      </w:r>
      <w:r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</w:r>
    </w:p>
    <w:p>
      <w:pPr>
        <w:pStyle w:val="934"/>
        <w:numPr>
          <w:ilvl w:val="0"/>
          <w:numId w:val="35"/>
        </w:numPr>
        <w:jc w:val="both"/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4"/>
          <w:szCs w:val="24"/>
        </w:rPr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работоспособность диагностической лампы «ПРОВЕРЬТЕ ДВИГАТЕЛЬ» – при включении зажигания лампа загорается и гаснет после того, как двигатель заведется. Отсутствие в памяти контроллера кодов неисправностей ЭСУД, и если коды имеются, устранить причины их возн</w:t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икновения и удалить коды из памяти контроллера</w:t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;</w:t>
      </w:r>
      <w:r>
        <w:rPr>
          <w:rFonts w:ascii="Tinos" w:hAnsi="Tinos" w:eastAsia="Tinos" w:cs="Tinos"/>
          <w:color w:val="000000" w:themeColor="text1"/>
          <w:sz w:val="24"/>
          <w:szCs w:val="24"/>
        </w:rPr>
      </w:r>
      <w:r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</w:r>
    </w:p>
    <w:p>
      <w:pPr>
        <w:pStyle w:val="934"/>
        <w:numPr>
          <w:ilvl w:val="0"/>
          <w:numId w:val="35"/>
        </w:numPr>
        <w:jc w:val="both"/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4"/>
          <w:szCs w:val="24"/>
        </w:rPr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работу системы вызова экстренных оперативных служб (при наличии). При наличии кодов неисправностей системы вызова экстренных оперативных служб устранить причины их возникновения и удалить коды из памяти блока «ЭРА-ГЛОНАСС»</w:t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;</w:t>
      </w:r>
      <w:r>
        <w:rPr>
          <w:rFonts w:ascii="Tinos" w:hAnsi="Tinos" w:eastAsia="Tinos" w:cs="Tinos"/>
          <w:color w:val="000000" w:themeColor="text1"/>
          <w:sz w:val="24"/>
          <w:szCs w:val="24"/>
        </w:rPr>
      </w:r>
    </w:p>
    <w:p>
      <w:pPr>
        <w:pStyle w:val="934"/>
        <w:numPr>
          <w:ilvl w:val="0"/>
          <w:numId w:val="35"/>
        </w:numPr>
        <w:jc w:val="both"/>
        <w:rPr>
          <w:rFonts w:ascii="Tinos" w:hAnsi="Tinos" w:eastAsia="Tinos" w:cs="Tinos"/>
          <w:color w:val="000000" w:themeColor="text1"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состояние и наличие загрязнения на теплообменных поверхностях конденсатора системы кондиционирования воздуха (при наличии) и радиаторе системы охлаждения двигателя</w:t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.</w:t>
      </w:r>
      <w:r>
        <w:rPr>
          <w:rFonts w:ascii="Tinos" w:hAnsi="Tinos" w:eastAsia="Tinos" w:cs="Tinos"/>
          <w:color w:val="000000" w:themeColor="text1"/>
          <w:sz w:val="24"/>
          <w:szCs w:val="24"/>
        </w:rPr>
      </w:r>
      <w:r>
        <w:rPr>
          <w:rFonts w:ascii="Tinos" w:hAnsi="Tinos" w:eastAsia="Tinos" w:cs="Tinos"/>
          <w:color w:val="000000" w:themeColor="text1"/>
          <w:sz w:val="24"/>
          <w:szCs w:val="24"/>
        </w:rPr>
      </w:r>
    </w:p>
    <w:p>
      <w:pPr>
        <w:ind w:left="125" w:firstLine="583"/>
        <w:jc w:val="both"/>
        <w:spacing w:after="3" w:line="265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125" w:firstLine="583"/>
        <w:jc w:val="both"/>
        <w:spacing w:after="3" w:line="265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yellow"/>
          <w:lang w:eastAsia="ru-RU"/>
        </w:rPr>
        <w:t xml:space="preserve">Работы должны быть выполнены в сертифицированном автомобильном центре (уполномоченной организации изготовителя из числа указанных в сервисной книжке автомобиля)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yellow"/>
          <w:lang w:eastAsia="ru-RU"/>
        </w:rPr>
        <w:t xml:space="preserve">для соблюдения условий гарантийного обслуживания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yellow"/>
          <w:lang w:eastAsia="ru-RU"/>
        </w:rPr>
        <w:t xml:space="preserve"> на территории города Смоленска.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left="125" w:firstLine="583"/>
        <w:jc w:val="both"/>
        <w:spacing w:after="3" w:line="265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125" w:firstLine="583"/>
        <w:jc w:val="both"/>
        <w:spacing w:after="3" w:line="265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125" w:firstLine="583"/>
        <w:jc w:val="both"/>
        <w:spacing w:after="3" w:line="265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tbl>
      <w:tblPr>
        <w:tblW w:w="0" w:type="auto"/>
        <w:tblInd w:w="499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4349"/>
        <w:gridCol w:w="340"/>
        <w:gridCol w:w="4365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4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ЗАКАЗЧИК: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ИСПОЛНИТЕЛЬ: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434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И.о. руководителя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43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4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(должность)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(должность)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4349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С.В. Сафонова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4365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4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(подпись, фамилия и инициалы)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(подпись, фамилия и инициалы)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4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М.П.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М.П.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</w:p>
        </w:tc>
      </w:tr>
    </w:tbl>
    <w:p>
      <w:pPr>
        <w:ind w:left="125" w:firstLine="583"/>
        <w:jc w:val="both"/>
        <w:spacing w:after="3" w:line="265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ПРИЛОЖЕНИЕ №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  <w:t xml:space="preserve">2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к государственному контракту №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  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 от _____20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/>
        </w:rPr>
        <w:t xml:space="preserve">___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  <w:t xml:space="preserve">г.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tbl>
      <w:tblPr>
        <w:tblStyle w:val="932"/>
        <w:tblW w:w="0" w:type="auto"/>
        <w:tblInd w:w="125" w:type="dxa"/>
        <w:tblLayout w:type="fixed"/>
        <w:tblLook w:val="04A0" w:firstRow="1" w:lastRow="0" w:firstColumn="1" w:lastColumn="0" w:noHBand="0" w:noVBand="1"/>
      </w:tblPr>
      <w:tblGrid>
        <w:gridCol w:w="721"/>
        <w:gridCol w:w="2754"/>
        <w:gridCol w:w="1497"/>
        <w:gridCol w:w="1658"/>
        <w:gridCol w:w="1658"/>
        <w:gridCol w:w="1658"/>
      </w:tblGrid>
      <w:tr>
        <w:tblPrEx/>
        <w:trPr/>
        <w:tc>
          <w:tcPr>
            <w:shd w:val="clear" w:color="ffffff" w:fill="ffffff"/>
            <w:tcW w:w="721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2754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497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Ед. изм.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658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Кол-во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658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Цена, руб.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658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Сумма, руб.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shd w:val="clear" w:color="ffffff" w:fill="ffffff"/>
            <w:tcW w:w="721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2754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Гайка ступицы левой/правой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497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шт.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658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658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658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shd w:val="clear" w:color="ffffff" w:fill="ffffff"/>
            <w:tcW w:w="721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2754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Масло моторное синтетическое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497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л.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658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3,5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658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658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598"/>
        </w:trPr>
        <w:tc>
          <w:tcPr>
            <w:shd w:val="clear" w:color="ffffff" w:fill="ffffff"/>
            <w:tcW w:w="721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2754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Очиститель универсальный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497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658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658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658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shd w:val="clear" w:color="ffffff" w:fill="ffffff"/>
            <w:tcW w:w="721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2754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5-минутная промывка двигателя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497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шт.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658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658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658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shd w:val="clear" w:color="ffffff" w:fill="ffffff"/>
            <w:tcW w:w="721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2754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Смазка адгезионная для петель</w:t>
            </w:r>
            <w:r/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497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658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658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658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shd w:val="clear" w:color="ffffff" w:fill="ffffff"/>
            <w:tcW w:w="721" w:type="dxa"/>
            <w:vMerge w:val="restart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2754" w:type="dxa"/>
            <w:vMerge w:val="restart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Смазка электроконтактов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497" w:type="dxa"/>
            <w:vMerge w:val="restart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658" w:type="dxa"/>
            <w:vMerge w:val="restart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658" w:type="dxa"/>
            <w:vMerge w:val="restart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658" w:type="dxa"/>
            <w:vMerge w:val="restart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shd w:val="clear" w:color="ffffff" w:fill="ffffff"/>
            <w:tcW w:w="721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2754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Фильтр масляный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497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шт.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658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658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658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shd w:val="clear" w:color="ffffff" w:fill="ffffff"/>
            <w:tcW w:w="721" w:type="dxa"/>
            <w:vMerge w:val="restart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2754" w:type="dxa"/>
            <w:vMerge w:val="restart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Фильтр салона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497" w:type="dxa"/>
            <w:vMerge w:val="restart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шт.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658" w:type="dxa"/>
            <w:vMerge w:val="restart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658" w:type="dxa"/>
            <w:vMerge w:val="restart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658" w:type="dxa"/>
            <w:vMerge w:val="restart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shd w:val="clear" w:color="ffffff" w:fill="ffffff"/>
            <w:tcW w:w="721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2754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Элемент фильтрующий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r>
          </w:p>
        </w:tc>
        <w:tc>
          <w:tcPr>
            <w:shd w:val="clear" w:color="ffffff" w:fill="ffffff"/>
            <w:tcW w:w="1497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шт.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658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658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658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shd w:val="clear" w:color="ffffff" w:fill="ffffff"/>
            <w:tcW w:w="721" w:type="dxa"/>
            <w:vMerge w:val="restart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2754" w:type="dxa"/>
            <w:vMerge w:val="restart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Дроссельная заслонка - очистка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497" w:type="dxa"/>
            <w:vMerge w:val="restart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н/ч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658" w:type="dxa"/>
            <w:vMerge w:val="restart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0,5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658" w:type="dxa"/>
            <w:vMerge w:val="restart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658" w:type="dxa"/>
            <w:vMerge w:val="restart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08"/>
        </w:trPr>
        <w:tc>
          <w:tcPr>
            <w:shd w:val="clear" w:color="ffffff" w:fill="ffffff"/>
            <w:tcW w:w="721" w:type="dxa"/>
            <w:vMerge w:val="restart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2754" w:type="dxa"/>
            <w:vMerge w:val="restart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Автомобиль: ТО-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5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69500-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70500 км TRAVEL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497" w:type="dxa"/>
            <w:vMerge w:val="restart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н/ч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658" w:type="dxa"/>
            <w:vMerge w:val="restart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3,26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658" w:type="dxa"/>
            <w:vMerge w:val="restart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658" w:type="dxa"/>
            <w:vMerge w:val="restart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08"/>
        </w:trPr>
        <w:tc>
          <w:tcPr>
            <w:shd w:val="clear" w:color="ffffff" w:fill="ffffff"/>
            <w:tcW w:w="721" w:type="dxa"/>
            <w:vMerge w:val="restart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2754" w:type="dxa"/>
            <w:vMerge w:val="restart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ТО – Проверить углы установки передних колес и отрегулировать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497" w:type="dxa"/>
            <w:vMerge w:val="restart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н/ч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658" w:type="dxa"/>
            <w:vMerge w:val="restart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1,2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658" w:type="dxa"/>
            <w:vMerge w:val="restart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658" w:type="dxa"/>
            <w:vMerge w:val="restart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5"/>
            <w:shd w:val="clear" w:color="ffffff" w:fill="ffffff"/>
            <w:tcW w:w="8288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Итого: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658" w:type="dxa"/>
            <w:textDirection w:val="lrTb"/>
            <w:noWrap w:val="false"/>
          </w:tcPr>
          <w:p>
            <w:pPr>
              <w:jc w:val="both"/>
              <w:spacing w:after="3" w:line="26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</w:tbl>
    <w:p>
      <w:pPr>
        <w:ind w:right="-289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right="-289"/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p>
      <w:pPr>
        <w:ind w:left="7020" w:right="-289"/>
        <w:spacing w:after="0" w:line="240" w:lineRule="auto"/>
        <w:rPr>
          <w:rFonts w:ascii="Arial Unicode MS" w:hAnsi="Arial Unicode MS" w:eastAsia="Arial Unicode MS" w:cs="Arial Unicode MS"/>
          <w:color w:val="000000"/>
          <w:sz w:val="24"/>
          <w:szCs w:val="24"/>
          <w:lang w:val="ru" w:eastAsia="ru-RU"/>
        </w:rPr>
      </w:pPr>
      <w:r>
        <w:rPr>
          <w:rFonts w:ascii="Arial Unicode MS" w:hAnsi="Arial Unicode MS" w:eastAsia="Arial Unicode MS" w:cs="Arial Unicode MS"/>
          <w:color w:val="000000"/>
          <w:sz w:val="24"/>
          <w:szCs w:val="24"/>
          <w:lang w:val="ru" w:eastAsia="ru-RU"/>
        </w:rPr>
      </w:r>
      <w:r>
        <w:rPr>
          <w:rFonts w:ascii="Arial Unicode MS" w:hAnsi="Arial Unicode MS" w:eastAsia="Arial Unicode MS" w:cs="Arial Unicode MS"/>
          <w:color w:val="000000"/>
          <w:sz w:val="24"/>
          <w:szCs w:val="24"/>
          <w:lang w:val="ru" w:eastAsia="ru-RU"/>
        </w:rPr>
      </w:r>
      <w:r>
        <w:rPr>
          <w:rFonts w:ascii="Arial Unicode MS" w:hAnsi="Arial Unicode MS" w:eastAsia="Arial Unicode MS" w:cs="Arial Unicode MS"/>
          <w:color w:val="000000"/>
          <w:sz w:val="24"/>
          <w:szCs w:val="24"/>
          <w:lang w:val="ru"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Arial Unicode MS" w:cs="Times New Roman"/>
          <w:b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Arial Unicode MS" w:cs="Times New Roman"/>
          <w:b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Arial Unicode MS" w:cs="Times New Roman"/>
          <w:b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Arial Unicode MS" w:cs="Times New Roman"/>
          <w:b/>
          <w:color w:val="000000"/>
          <w:sz w:val="20"/>
          <w:szCs w:val="20"/>
          <w:lang w:eastAsia="ru-RU"/>
        </w:rPr>
      </w:r>
    </w:p>
    <w:tbl>
      <w:tblPr>
        <w:tblW w:w="0" w:type="auto"/>
        <w:tblInd w:w="499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4349"/>
        <w:gridCol w:w="340"/>
        <w:gridCol w:w="4365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4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ЗАКАЗЧИК: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ИСПОЛНИТЕЛЬ: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434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И.о. руководителя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43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4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(должность)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(должность)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4349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С.В. Сафонова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4365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4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(подпись, фамилия и инициалы)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(подпись, фамилия и инициалы)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4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М.П.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М.П.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val="ru" w:eastAsia="ru-RU"/>
        </w:rPr>
      </w:r>
    </w:p>
    <w:sectPr>
      <w:footnotePr/>
      <w:endnotePr/>
      <w:type w:val="nextPage"/>
      <w:pgSz w:w="11906" w:h="16838" w:orient="portrait"/>
      <w:pgMar w:top="539" w:right="748" w:bottom="539" w:left="1077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Symbol">
    <w:panose1 w:val="05010000000000000000"/>
  </w:font>
  <w:font w:name="Courier New">
    <w:panose1 w:val="02070409020205020404"/>
  </w:font>
  <w:font w:name="Wingdings">
    <w:panose1 w:val="05010000000000000000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Arial Unicode MS">
    <w:panose1 w:val="020B0604020202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831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551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271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991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11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431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151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71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591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934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654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374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3094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814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534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254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974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694" w:hanging="360"/>
      </w:pPr>
      <w:rPr>
        <w:rFonts w:hint="default" w:ascii="Symbol" w:hAnsi="Symbol" w:eastAsia="Symbol" w:cs="Symbol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834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554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274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994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14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434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154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74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594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831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551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271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991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11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431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151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71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591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831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551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271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991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11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431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151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71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591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831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551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271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991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11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431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151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71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591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831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551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271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991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11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431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151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71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591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831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551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271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991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11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431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151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71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591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834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554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274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994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14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434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154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74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594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834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554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274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994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14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434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154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74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594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834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554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274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994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14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434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154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74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594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934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654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374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3094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814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534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254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974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694" w:hanging="360"/>
      </w:pPr>
      <w:rPr>
        <w:rFonts w:hint="default" w:ascii="Symbol" w:hAnsi="Symbol" w:eastAsia="Symbol" w:cs="Symbol"/>
      </w:rPr>
    </w:lvl>
  </w:abstractNum>
  <w:abstractNum w:abstractNumId="13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rFonts w:hint="default"/>
        <w:b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834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554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274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994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14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434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154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74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594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831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551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271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991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11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431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151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71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591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834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554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274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994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14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434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154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74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594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934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654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374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3094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814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534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254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974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694" w:hanging="360"/>
      </w:pPr>
      <w:rPr>
        <w:rFonts w:hint="default" w:ascii="Symbol" w:hAnsi="Symbol" w:eastAsia="Symbol" w:cs="Symbol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934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654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374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3094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814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534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254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974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694" w:hanging="360"/>
      </w:pPr>
      <w:rPr>
        <w:rFonts w:hint="default" w:ascii="Symbol" w:hAnsi="Symbol" w:eastAsia="Symbol" w:cs="Symbol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834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554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274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994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14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434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154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74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594" w:hanging="360"/>
      </w:pPr>
      <w:rPr>
        <w:rFonts w:hint="default" w:ascii="Wingdings" w:hAnsi="Wingdings" w:eastAsia="Wingdings" w:cs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834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554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274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994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14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434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154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74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594" w:hanging="360"/>
      </w:pPr>
      <w:rPr>
        <w:rFonts w:hint="default" w:ascii="Wingdings" w:hAnsi="Wingdings" w:eastAsia="Wingdings" w:cs="Wingdings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831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551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271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991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11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431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151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71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591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934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654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374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3094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814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534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254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974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694" w:hanging="360"/>
      </w:pPr>
      <w:rPr>
        <w:rFonts w:hint="default" w:ascii="Symbol" w:hAnsi="Symbol" w:eastAsia="Symbol" w:cs="Symbol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831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551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271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991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11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431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151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71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591" w:hanging="360"/>
      </w:pPr>
      <w:rPr>
        <w:rFonts w:hint="default" w:ascii="Wingdings" w:hAnsi="Wingdings" w:eastAsia="Wingdings" w:cs="Wingdings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934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654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374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3094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814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534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254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974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694" w:hanging="360"/>
      </w:pPr>
      <w:rPr>
        <w:rFonts w:hint="default" w:ascii="Symbol" w:hAnsi="Symbol" w:eastAsia="Symbol" w:cs="Symbol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934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654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374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3094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814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534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254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974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694" w:hanging="360"/>
      </w:pPr>
      <w:rPr>
        <w:rFonts w:hint="default" w:ascii="Symbol" w:hAnsi="Symbol" w:eastAsia="Symbol" w:cs="Symbol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642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362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082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802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522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242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962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82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402" w:hanging="360"/>
      </w:pPr>
      <w:rPr>
        <w:rFonts w:hint="default" w:ascii="Wingdings" w:hAnsi="Wingdings" w:eastAsia="Wingdings" w:cs="Wingdings"/>
      </w:rPr>
    </w:lvl>
  </w:abstractNum>
  <w:abstractNum w:abstractNumId="32">
    <w:multiLevelType w:val="hybridMultilevel"/>
    <w:lvl w:ilvl="0">
      <w:start w:val="1"/>
      <w:numFmt w:val="bullet"/>
      <w:pStyle w:val="934"/>
      <w:isLgl w:val="false"/>
      <w:suff w:val="tab"/>
      <w:lvlText w:val="·"/>
      <w:lvlJc w:val="left"/>
      <w:pPr>
        <w:ind w:left="934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654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374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3094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814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534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254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974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694" w:hanging="360"/>
      </w:pPr>
      <w:rPr>
        <w:rFonts w:hint="default" w:ascii="Symbol" w:hAnsi="Symbol" w:eastAsia="Symbol" w:cs="Symbol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642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362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082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802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522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242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962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82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402" w:hanging="360"/>
      </w:pPr>
      <w:rPr>
        <w:rFonts w:hint="default" w:ascii="Wingdings" w:hAnsi="Wingdings" w:eastAsia="Wingdings" w:cs="Wingdings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934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654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374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3094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814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534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254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974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694" w:hanging="360"/>
      </w:pPr>
      <w:rPr>
        <w:rFonts w:hint="default" w:ascii="Symbol" w:hAnsi="Symbol" w:eastAsia="Symbol" w:cs="Symbol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642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362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082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802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522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242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962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82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402" w:hanging="360"/>
      </w:pPr>
      <w:rPr>
        <w:rFonts w:hint="default" w:ascii="Wingdings" w:hAnsi="Wingdings" w:eastAsia="Wingdings" w:cs="Wingdings"/>
      </w:rPr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num w:numId="1">
    <w:abstractNumId w:val="13"/>
  </w:num>
  <w:num w:numId="2">
    <w:abstractNumId w:val="29"/>
  </w:num>
  <w:num w:numId="3">
    <w:abstractNumId w:val="7"/>
  </w:num>
  <w:num w:numId="4">
    <w:abstractNumId w:val="20"/>
  </w:num>
  <w:num w:numId="5">
    <w:abstractNumId w:val="27"/>
  </w:num>
  <w:num w:numId="6">
    <w:abstractNumId w:val="5"/>
  </w:num>
  <w:num w:numId="7">
    <w:abstractNumId w:val="0"/>
  </w:num>
  <w:num w:numId="8">
    <w:abstractNumId w:val="14"/>
  </w:num>
  <w:num w:numId="9">
    <w:abstractNumId w:val="9"/>
  </w:num>
  <w:num w:numId="10">
    <w:abstractNumId w:val="16"/>
  </w:num>
  <w:num w:numId="11">
    <w:abstractNumId w:val="11"/>
  </w:num>
  <w:num w:numId="12">
    <w:abstractNumId w:val="3"/>
  </w:num>
  <w:num w:numId="13">
    <w:abstractNumId w:val="6"/>
  </w:num>
  <w:num w:numId="14">
    <w:abstractNumId w:val="17"/>
  </w:num>
  <w:num w:numId="15">
    <w:abstractNumId w:val="26"/>
  </w:num>
  <w:num w:numId="16">
    <w:abstractNumId w:val="12"/>
  </w:num>
  <w:num w:numId="17">
    <w:abstractNumId w:val="1"/>
  </w:num>
  <w:num w:numId="18">
    <w:abstractNumId w:val="25"/>
  </w:num>
  <w:num w:numId="19">
    <w:abstractNumId w:val="15"/>
  </w:num>
  <w:num w:numId="20">
    <w:abstractNumId w:val="23"/>
  </w:num>
  <w:num w:numId="21">
    <w:abstractNumId w:val="19"/>
  </w:num>
  <w:num w:numId="22">
    <w:abstractNumId w:val="28"/>
  </w:num>
  <w:num w:numId="23">
    <w:abstractNumId w:val="21"/>
  </w:num>
  <w:num w:numId="24">
    <w:abstractNumId w:val="2"/>
  </w:num>
  <w:num w:numId="25">
    <w:abstractNumId w:val="22"/>
  </w:num>
  <w:num w:numId="26">
    <w:abstractNumId w:val="8"/>
  </w:num>
  <w:num w:numId="27">
    <w:abstractNumId w:val="4"/>
  </w:num>
  <w:num w:numId="28">
    <w:abstractNumId w:val="24"/>
  </w:num>
  <w:num w:numId="29">
    <w:abstractNumId w:val="18"/>
  </w:num>
  <w:num w:numId="30">
    <w:abstractNumId w:val="10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3">
    <w:name w:val="Heading 1 Char"/>
    <w:basedOn w:val="759"/>
    <w:link w:val="750"/>
    <w:uiPriority w:val="9"/>
    <w:rPr>
      <w:rFonts w:ascii="Arial" w:hAnsi="Arial" w:eastAsia="Arial" w:cs="Arial"/>
      <w:sz w:val="40"/>
      <w:szCs w:val="40"/>
    </w:rPr>
  </w:style>
  <w:style w:type="character" w:styleId="734">
    <w:name w:val="Heading 2 Char"/>
    <w:basedOn w:val="759"/>
    <w:link w:val="751"/>
    <w:uiPriority w:val="9"/>
    <w:rPr>
      <w:rFonts w:ascii="Arial" w:hAnsi="Arial" w:eastAsia="Arial" w:cs="Arial"/>
      <w:sz w:val="34"/>
    </w:rPr>
  </w:style>
  <w:style w:type="character" w:styleId="735">
    <w:name w:val="Heading 3 Char"/>
    <w:basedOn w:val="759"/>
    <w:link w:val="752"/>
    <w:uiPriority w:val="9"/>
    <w:rPr>
      <w:rFonts w:ascii="Arial" w:hAnsi="Arial" w:eastAsia="Arial" w:cs="Arial"/>
      <w:sz w:val="30"/>
      <w:szCs w:val="30"/>
    </w:rPr>
  </w:style>
  <w:style w:type="character" w:styleId="736">
    <w:name w:val="Heading 4 Char"/>
    <w:basedOn w:val="759"/>
    <w:link w:val="753"/>
    <w:uiPriority w:val="9"/>
    <w:rPr>
      <w:rFonts w:ascii="Arial" w:hAnsi="Arial" w:eastAsia="Arial" w:cs="Arial"/>
      <w:b/>
      <w:bCs/>
      <w:sz w:val="26"/>
      <w:szCs w:val="26"/>
    </w:rPr>
  </w:style>
  <w:style w:type="character" w:styleId="737">
    <w:name w:val="Heading 5 Char"/>
    <w:basedOn w:val="759"/>
    <w:link w:val="754"/>
    <w:uiPriority w:val="9"/>
    <w:rPr>
      <w:rFonts w:ascii="Arial" w:hAnsi="Arial" w:eastAsia="Arial" w:cs="Arial"/>
      <w:b/>
      <w:bCs/>
      <w:sz w:val="24"/>
      <w:szCs w:val="24"/>
    </w:rPr>
  </w:style>
  <w:style w:type="character" w:styleId="738">
    <w:name w:val="Heading 6 Char"/>
    <w:basedOn w:val="759"/>
    <w:link w:val="755"/>
    <w:uiPriority w:val="9"/>
    <w:rPr>
      <w:rFonts w:ascii="Arial" w:hAnsi="Arial" w:eastAsia="Arial" w:cs="Arial"/>
      <w:b/>
      <w:bCs/>
      <w:sz w:val="22"/>
      <w:szCs w:val="22"/>
    </w:rPr>
  </w:style>
  <w:style w:type="character" w:styleId="739">
    <w:name w:val="Heading 7 Char"/>
    <w:basedOn w:val="759"/>
    <w:link w:val="75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0">
    <w:name w:val="Heading 8 Char"/>
    <w:basedOn w:val="759"/>
    <w:link w:val="757"/>
    <w:uiPriority w:val="9"/>
    <w:rPr>
      <w:rFonts w:ascii="Arial" w:hAnsi="Arial" w:eastAsia="Arial" w:cs="Arial"/>
      <w:i/>
      <w:iCs/>
      <w:sz w:val="22"/>
      <w:szCs w:val="22"/>
    </w:rPr>
  </w:style>
  <w:style w:type="character" w:styleId="741">
    <w:name w:val="Heading 9 Char"/>
    <w:basedOn w:val="759"/>
    <w:link w:val="758"/>
    <w:uiPriority w:val="9"/>
    <w:rPr>
      <w:rFonts w:ascii="Arial" w:hAnsi="Arial" w:eastAsia="Arial" w:cs="Arial"/>
      <w:i/>
      <w:iCs/>
      <w:sz w:val="21"/>
      <w:szCs w:val="21"/>
    </w:rPr>
  </w:style>
  <w:style w:type="character" w:styleId="742">
    <w:name w:val="Title Char"/>
    <w:basedOn w:val="759"/>
    <w:link w:val="772"/>
    <w:uiPriority w:val="10"/>
    <w:rPr>
      <w:sz w:val="48"/>
      <w:szCs w:val="48"/>
    </w:rPr>
  </w:style>
  <w:style w:type="character" w:styleId="743">
    <w:name w:val="Subtitle Char"/>
    <w:basedOn w:val="759"/>
    <w:link w:val="774"/>
    <w:uiPriority w:val="11"/>
    <w:rPr>
      <w:sz w:val="24"/>
      <w:szCs w:val="24"/>
    </w:rPr>
  </w:style>
  <w:style w:type="character" w:styleId="744">
    <w:name w:val="Quote Char"/>
    <w:link w:val="776"/>
    <w:uiPriority w:val="29"/>
    <w:rPr>
      <w:i/>
    </w:rPr>
  </w:style>
  <w:style w:type="character" w:styleId="745">
    <w:name w:val="Intense Quote Char"/>
    <w:link w:val="778"/>
    <w:uiPriority w:val="30"/>
    <w:rPr>
      <w:i/>
    </w:rPr>
  </w:style>
  <w:style w:type="character" w:styleId="746">
    <w:name w:val="Header Char"/>
    <w:basedOn w:val="759"/>
    <w:link w:val="780"/>
    <w:uiPriority w:val="99"/>
  </w:style>
  <w:style w:type="character" w:styleId="747">
    <w:name w:val="Caption Char"/>
    <w:basedOn w:val="784"/>
    <w:link w:val="782"/>
    <w:uiPriority w:val="35"/>
  </w:style>
  <w:style w:type="character" w:styleId="748">
    <w:name w:val="Endnote Text Char"/>
    <w:link w:val="913"/>
    <w:uiPriority w:val="99"/>
    <w:rPr>
      <w:sz w:val="20"/>
    </w:rPr>
  </w:style>
  <w:style w:type="paragraph" w:styleId="749" w:default="1">
    <w:name w:val="Normal"/>
    <w:qFormat/>
  </w:style>
  <w:style w:type="paragraph" w:styleId="750">
    <w:name w:val="Heading 1"/>
    <w:basedOn w:val="749"/>
    <w:next w:val="749"/>
    <w:link w:val="76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51">
    <w:name w:val="Heading 2"/>
    <w:basedOn w:val="749"/>
    <w:next w:val="749"/>
    <w:link w:val="76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52">
    <w:name w:val="Heading 3"/>
    <w:basedOn w:val="749"/>
    <w:next w:val="749"/>
    <w:link w:val="76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53">
    <w:name w:val="Heading 4"/>
    <w:basedOn w:val="749"/>
    <w:next w:val="749"/>
    <w:link w:val="76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54">
    <w:name w:val="Heading 5"/>
    <w:basedOn w:val="749"/>
    <w:next w:val="749"/>
    <w:link w:val="76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55">
    <w:name w:val="Heading 6"/>
    <w:basedOn w:val="749"/>
    <w:next w:val="749"/>
    <w:link w:val="7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56">
    <w:name w:val="Heading 7"/>
    <w:basedOn w:val="749"/>
    <w:next w:val="749"/>
    <w:link w:val="76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757">
    <w:name w:val="Heading 8"/>
    <w:basedOn w:val="749"/>
    <w:next w:val="749"/>
    <w:link w:val="7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58">
    <w:name w:val="Heading 9"/>
    <w:basedOn w:val="749"/>
    <w:next w:val="749"/>
    <w:link w:val="77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59" w:default="1">
    <w:name w:val="Default Paragraph Font"/>
    <w:uiPriority w:val="1"/>
    <w:semiHidden/>
    <w:unhideWhenUsed/>
  </w:style>
  <w:style w:type="table" w:styleId="76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1" w:default="1">
    <w:name w:val="No List"/>
    <w:uiPriority w:val="99"/>
    <w:semiHidden/>
    <w:unhideWhenUsed/>
  </w:style>
  <w:style w:type="character" w:styleId="762" w:customStyle="1">
    <w:name w:val="Заголовок 1 Знак"/>
    <w:basedOn w:val="759"/>
    <w:link w:val="750"/>
    <w:uiPriority w:val="9"/>
    <w:rPr>
      <w:rFonts w:ascii="Arial" w:hAnsi="Arial" w:eastAsia="Arial" w:cs="Arial"/>
      <w:sz w:val="40"/>
      <w:szCs w:val="40"/>
    </w:rPr>
  </w:style>
  <w:style w:type="character" w:styleId="763" w:customStyle="1">
    <w:name w:val="Заголовок 2 Знак"/>
    <w:basedOn w:val="759"/>
    <w:link w:val="751"/>
    <w:uiPriority w:val="9"/>
    <w:rPr>
      <w:rFonts w:ascii="Arial" w:hAnsi="Arial" w:eastAsia="Arial" w:cs="Arial"/>
      <w:sz w:val="34"/>
    </w:rPr>
  </w:style>
  <w:style w:type="character" w:styleId="764" w:customStyle="1">
    <w:name w:val="Заголовок 3 Знак"/>
    <w:basedOn w:val="759"/>
    <w:link w:val="752"/>
    <w:uiPriority w:val="9"/>
    <w:rPr>
      <w:rFonts w:ascii="Arial" w:hAnsi="Arial" w:eastAsia="Arial" w:cs="Arial"/>
      <w:sz w:val="30"/>
      <w:szCs w:val="30"/>
    </w:rPr>
  </w:style>
  <w:style w:type="character" w:styleId="765" w:customStyle="1">
    <w:name w:val="Заголовок 4 Знак"/>
    <w:basedOn w:val="759"/>
    <w:link w:val="753"/>
    <w:uiPriority w:val="9"/>
    <w:rPr>
      <w:rFonts w:ascii="Arial" w:hAnsi="Arial" w:eastAsia="Arial" w:cs="Arial"/>
      <w:b/>
      <w:bCs/>
      <w:sz w:val="26"/>
      <w:szCs w:val="26"/>
    </w:rPr>
  </w:style>
  <w:style w:type="character" w:styleId="766" w:customStyle="1">
    <w:name w:val="Заголовок 5 Знак"/>
    <w:basedOn w:val="759"/>
    <w:link w:val="754"/>
    <w:uiPriority w:val="9"/>
    <w:rPr>
      <w:rFonts w:ascii="Arial" w:hAnsi="Arial" w:eastAsia="Arial" w:cs="Arial"/>
      <w:b/>
      <w:bCs/>
      <w:sz w:val="24"/>
      <w:szCs w:val="24"/>
    </w:rPr>
  </w:style>
  <w:style w:type="character" w:styleId="767" w:customStyle="1">
    <w:name w:val="Заголовок 6 Знак"/>
    <w:basedOn w:val="759"/>
    <w:link w:val="755"/>
    <w:uiPriority w:val="9"/>
    <w:rPr>
      <w:rFonts w:ascii="Arial" w:hAnsi="Arial" w:eastAsia="Arial" w:cs="Arial"/>
      <w:b/>
      <w:bCs/>
      <w:sz w:val="22"/>
      <w:szCs w:val="22"/>
    </w:rPr>
  </w:style>
  <w:style w:type="character" w:styleId="768" w:customStyle="1">
    <w:name w:val="Заголовок 7 Знак"/>
    <w:basedOn w:val="759"/>
    <w:link w:val="75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69" w:customStyle="1">
    <w:name w:val="Заголовок 8 Знак"/>
    <w:basedOn w:val="759"/>
    <w:link w:val="757"/>
    <w:uiPriority w:val="9"/>
    <w:rPr>
      <w:rFonts w:ascii="Arial" w:hAnsi="Arial" w:eastAsia="Arial" w:cs="Arial"/>
      <w:i/>
      <w:iCs/>
      <w:sz w:val="22"/>
      <w:szCs w:val="22"/>
    </w:rPr>
  </w:style>
  <w:style w:type="character" w:styleId="770" w:customStyle="1">
    <w:name w:val="Заголовок 9 Знак"/>
    <w:basedOn w:val="759"/>
    <w:link w:val="758"/>
    <w:uiPriority w:val="9"/>
    <w:rPr>
      <w:rFonts w:ascii="Arial" w:hAnsi="Arial" w:eastAsia="Arial" w:cs="Arial"/>
      <w:i/>
      <w:iCs/>
      <w:sz w:val="21"/>
      <w:szCs w:val="21"/>
    </w:rPr>
  </w:style>
  <w:style w:type="paragraph" w:styleId="771">
    <w:name w:val="No Spacing"/>
    <w:uiPriority w:val="1"/>
    <w:qFormat/>
    <w:pPr>
      <w:spacing w:after="0" w:line="240" w:lineRule="auto"/>
    </w:pPr>
  </w:style>
  <w:style w:type="paragraph" w:styleId="772">
    <w:name w:val="Title"/>
    <w:basedOn w:val="749"/>
    <w:next w:val="749"/>
    <w:link w:val="7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73" w:customStyle="1">
    <w:name w:val="Заголовок Знак"/>
    <w:basedOn w:val="759"/>
    <w:link w:val="772"/>
    <w:uiPriority w:val="10"/>
    <w:rPr>
      <w:sz w:val="48"/>
      <w:szCs w:val="48"/>
    </w:rPr>
  </w:style>
  <w:style w:type="paragraph" w:styleId="774">
    <w:name w:val="Subtitle"/>
    <w:basedOn w:val="749"/>
    <w:next w:val="749"/>
    <w:link w:val="775"/>
    <w:uiPriority w:val="11"/>
    <w:qFormat/>
    <w:pPr>
      <w:spacing w:before="200" w:after="200"/>
    </w:pPr>
    <w:rPr>
      <w:sz w:val="24"/>
      <w:szCs w:val="24"/>
    </w:rPr>
  </w:style>
  <w:style w:type="character" w:styleId="775" w:customStyle="1">
    <w:name w:val="Подзаголовок Знак"/>
    <w:basedOn w:val="759"/>
    <w:link w:val="774"/>
    <w:uiPriority w:val="11"/>
    <w:rPr>
      <w:sz w:val="24"/>
      <w:szCs w:val="24"/>
    </w:rPr>
  </w:style>
  <w:style w:type="paragraph" w:styleId="776">
    <w:name w:val="Quote"/>
    <w:basedOn w:val="749"/>
    <w:next w:val="749"/>
    <w:link w:val="777"/>
    <w:uiPriority w:val="29"/>
    <w:qFormat/>
    <w:pPr>
      <w:ind w:left="720" w:right="720"/>
    </w:pPr>
    <w:rPr>
      <w:i/>
    </w:rPr>
  </w:style>
  <w:style w:type="character" w:styleId="777" w:customStyle="1">
    <w:name w:val="Цитата 2 Знак"/>
    <w:link w:val="776"/>
    <w:uiPriority w:val="29"/>
    <w:rPr>
      <w:i/>
    </w:rPr>
  </w:style>
  <w:style w:type="paragraph" w:styleId="778">
    <w:name w:val="Intense Quote"/>
    <w:basedOn w:val="749"/>
    <w:next w:val="749"/>
    <w:link w:val="77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9" w:customStyle="1">
    <w:name w:val="Выделенная цитата Знак"/>
    <w:link w:val="778"/>
    <w:uiPriority w:val="30"/>
    <w:rPr>
      <w:i/>
    </w:rPr>
  </w:style>
  <w:style w:type="paragraph" w:styleId="780">
    <w:name w:val="Header"/>
    <w:basedOn w:val="749"/>
    <w:link w:val="7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81" w:customStyle="1">
    <w:name w:val="Верхний колонтитул Знак"/>
    <w:basedOn w:val="759"/>
    <w:link w:val="780"/>
    <w:uiPriority w:val="99"/>
  </w:style>
  <w:style w:type="paragraph" w:styleId="782">
    <w:name w:val="Footer"/>
    <w:basedOn w:val="749"/>
    <w:link w:val="7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83" w:customStyle="1">
    <w:name w:val="Footer Char"/>
    <w:basedOn w:val="759"/>
    <w:uiPriority w:val="99"/>
  </w:style>
  <w:style w:type="paragraph" w:styleId="784">
    <w:name w:val="Caption"/>
    <w:basedOn w:val="749"/>
    <w:next w:val="749"/>
    <w:link w:val="747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85" w:customStyle="1">
    <w:name w:val="Нижний колонтитул Знак"/>
    <w:link w:val="782"/>
    <w:uiPriority w:val="99"/>
  </w:style>
  <w:style w:type="table" w:styleId="786" w:customStyle="1">
    <w:name w:val="Table Grid Light"/>
    <w:basedOn w:val="76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87">
    <w:name w:val="Plain Table 1"/>
    <w:basedOn w:val="76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8">
    <w:name w:val="Plain Table 2"/>
    <w:basedOn w:val="76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9">
    <w:name w:val="Plain Table 3"/>
    <w:basedOn w:val="7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0">
    <w:name w:val="Plain Table 4"/>
    <w:basedOn w:val="7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Plain Table 5"/>
    <w:basedOn w:val="7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2">
    <w:name w:val="Grid Table 1 Light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Grid Table 1 Light - Accent 1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Grid Table 1 Light - Accent 2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Grid Table 1 Light - Accent 3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Grid Table 1 Light - Accent 4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Grid Table 1 Light - Accent 5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Grid Table 1 Light - Accent 6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Grid Table 2"/>
    <w:basedOn w:val="7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2 - Accent 1"/>
    <w:basedOn w:val="7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2 - Accent 2"/>
    <w:basedOn w:val="7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2 - Accent 3"/>
    <w:basedOn w:val="7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2 - Accent 4"/>
    <w:basedOn w:val="7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2 - Accent 5"/>
    <w:basedOn w:val="7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Grid Table 2 - Accent 6"/>
    <w:basedOn w:val="7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3"/>
    <w:basedOn w:val="7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Grid Table 3 - Accent 1"/>
    <w:basedOn w:val="7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3 - Accent 2"/>
    <w:basedOn w:val="7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Grid Table 3 - Accent 3"/>
    <w:basedOn w:val="7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Grid Table 3 - Accent 4"/>
    <w:basedOn w:val="7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3 - Accent 5"/>
    <w:basedOn w:val="7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3 - Accent 6"/>
    <w:basedOn w:val="7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4"/>
    <w:basedOn w:val="7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4" w:customStyle="1">
    <w:name w:val="Grid Table 4 - Accent 1"/>
    <w:basedOn w:val="7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15" w:customStyle="1">
    <w:name w:val="Grid Table 4 - Accent 2"/>
    <w:basedOn w:val="7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16" w:customStyle="1">
    <w:name w:val="Grid Table 4 - Accent 3"/>
    <w:basedOn w:val="7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17" w:customStyle="1">
    <w:name w:val="Grid Table 4 - Accent 4"/>
    <w:basedOn w:val="7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18" w:customStyle="1">
    <w:name w:val="Grid Table 4 - Accent 5"/>
    <w:basedOn w:val="7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19" w:customStyle="1">
    <w:name w:val="Grid Table 4 - Accent 6"/>
    <w:basedOn w:val="7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20">
    <w:name w:val="Grid Table 5 Dark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21" w:customStyle="1">
    <w:name w:val="Grid Table 5 Dark- Accent 1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22" w:customStyle="1">
    <w:name w:val="Grid Table 5 Dark - Accent 2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23" w:customStyle="1">
    <w:name w:val="Grid Table 5 Dark - Accent 3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24" w:customStyle="1">
    <w:name w:val="Grid Table 5 Dark- Accent 4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25" w:customStyle="1">
    <w:name w:val="Grid Table 5 Dark - Accent 5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26" w:customStyle="1">
    <w:name w:val="Grid Table 5 Dark - Accent 6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27">
    <w:name w:val="Grid Table 6 Colorful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28" w:customStyle="1">
    <w:name w:val="Grid Table 6 Colorful - Accent 1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29" w:customStyle="1">
    <w:name w:val="Grid Table 6 Colorful - Accent 2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30" w:customStyle="1">
    <w:name w:val="Grid Table 6 Colorful - Accent 3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31" w:customStyle="1">
    <w:name w:val="Grid Table 6 Colorful - Accent 4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32" w:customStyle="1">
    <w:name w:val="Grid Table 6 Colorful - Accent 5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33" w:customStyle="1">
    <w:name w:val="Grid Table 6 Colorful - Accent 6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34">
    <w:name w:val="Grid Table 7 Colorful"/>
    <w:basedOn w:val="7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Grid Table 7 Colorful - Accent 1"/>
    <w:basedOn w:val="7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Grid Table 7 Colorful - Accent 2"/>
    <w:basedOn w:val="7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Grid Table 7 Colorful - Accent 3"/>
    <w:basedOn w:val="7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Grid Table 7 Colorful - Accent 4"/>
    <w:basedOn w:val="7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Grid Table 7 Colorful - Accent 5"/>
    <w:basedOn w:val="7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Grid Table 7 Colorful - Accent 6"/>
    <w:basedOn w:val="7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List Table 1 Light"/>
    <w:basedOn w:val="7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List Table 1 Light - Accent 1"/>
    <w:basedOn w:val="7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List Table 1 Light - Accent 2"/>
    <w:basedOn w:val="7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List Table 1 Light - Accent 3"/>
    <w:basedOn w:val="7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1 Light - Accent 4"/>
    <w:basedOn w:val="7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1 Light - Accent 5"/>
    <w:basedOn w:val="7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1 Light - Accent 6"/>
    <w:basedOn w:val="7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List Table 2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49" w:customStyle="1">
    <w:name w:val="List Table 2 - Accent 1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50" w:customStyle="1">
    <w:name w:val="List Table 2 - Accent 2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51" w:customStyle="1">
    <w:name w:val="List Table 2 - Accent 3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52" w:customStyle="1">
    <w:name w:val="List Table 2 - Accent 4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53" w:customStyle="1">
    <w:name w:val="List Table 2 - Accent 5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54" w:customStyle="1">
    <w:name w:val="List Table 2 - Accent 6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55">
    <w:name w:val="List Table 3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List Table 3 - Accent 1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 w:customStyle="1">
    <w:name w:val="List Table 3 - Accent 2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 w:customStyle="1">
    <w:name w:val="List Table 3 - Accent 3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List Table 3 - Accent 4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List Table 3 - Accent 5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 w:customStyle="1">
    <w:name w:val="List Table 3 - Accent 6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4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 w:customStyle="1">
    <w:name w:val="List Table 4 - Accent 1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 w:customStyle="1">
    <w:name w:val="List Table 4 - Accent 2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 w:customStyle="1">
    <w:name w:val="List Table 4 - Accent 3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 w:customStyle="1">
    <w:name w:val="List Table 4 - Accent 4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 w:customStyle="1">
    <w:name w:val="List Table 4 - Accent 5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 w:customStyle="1">
    <w:name w:val="List Table 4 - Accent 6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List Table 5 Dark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0" w:customStyle="1">
    <w:name w:val="List Table 5 Dark - Accent 1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1" w:customStyle="1">
    <w:name w:val="List Table 5 Dark - Accent 2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2" w:customStyle="1">
    <w:name w:val="List Table 5 Dark - Accent 3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3" w:customStyle="1">
    <w:name w:val="List Table 5 Dark - Accent 4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4" w:customStyle="1">
    <w:name w:val="List Table 5 Dark - Accent 5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5" w:customStyle="1">
    <w:name w:val="List Table 5 Dark - Accent 6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6">
    <w:name w:val="List Table 6 Colorful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77" w:customStyle="1">
    <w:name w:val="List Table 6 Colorful - Accent 1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78" w:customStyle="1">
    <w:name w:val="List Table 6 Colorful - Accent 2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79" w:customStyle="1">
    <w:name w:val="List Table 6 Colorful - Accent 3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80" w:customStyle="1">
    <w:name w:val="List Table 6 Colorful - Accent 4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81" w:customStyle="1">
    <w:name w:val="List Table 6 Colorful - Accent 5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82" w:customStyle="1">
    <w:name w:val="List Table 6 Colorful - Accent 6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83">
    <w:name w:val="List Table 7 Colorful"/>
    <w:basedOn w:val="7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 w:customStyle="1">
    <w:name w:val="List Table 7 Colorful - Accent 1"/>
    <w:basedOn w:val="7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 w:customStyle="1">
    <w:name w:val="List Table 7 Colorful - Accent 2"/>
    <w:basedOn w:val="7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 w:customStyle="1">
    <w:name w:val="List Table 7 Colorful - Accent 3"/>
    <w:basedOn w:val="7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 w:customStyle="1">
    <w:name w:val="List Table 7 Colorful - Accent 4"/>
    <w:basedOn w:val="7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 w:customStyle="1">
    <w:name w:val="List Table 7 Colorful - Accent 5"/>
    <w:basedOn w:val="7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 w:customStyle="1">
    <w:name w:val="List Table 7 Colorful - Accent 6"/>
    <w:basedOn w:val="7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Lined - Accent"/>
    <w:basedOn w:val="76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1" w:customStyle="1">
    <w:name w:val="Lined - Accent 1"/>
    <w:basedOn w:val="76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92" w:customStyle="1">
    <w:name w:val="Lined - Accent 2"/>
    <w:basedOn w:val="76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93" w:customStyle="1">
    <w:name w:val="Lined - Accent 3"/>
    <w:basedOn w:val="76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94" w:customStyle="1">
    <w:name w:val="Lined - Accent 4"/>
    <w:basedOn w:val="76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95" w:customStyle="1">
    <w:name w:val="Lined - Accent 5"/>
    <w:basedOn w:val="76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96" w:customStyle="1">
    <w:name w:val="Lined - Accent 6"/>
    <w:basedOn w:val="76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97" w:customStyle="1">
    <w:name w:val="Bordered &amp; Lined - Accent"/>
    <w:basedOn w:val="76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8" w:customStyle="1">
    <w:name w:val="Bordered &amp; Lined - Accent 1"/>
    <w:basedOn w:val="76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99" w:customStyle="1">
    <w:name w:val="Bordered &amp; Lined - Accent 2"/>
    <w:basedOn w:val="76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00" w:customStyle="1">
    <w:name w:val="Bordered &amp; Lined - Accent 3"/>
    <w:basedOn w:val="76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01" w:customStyle="1">
    <w:name w:val="Bordered &amp; Lined - Accent 4"/>
    <w:basedOn w:val="76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02" w:customStyle="1">
    <w:name w:val="Bordered &amp; Lined - Accent 5"/>
    <w:basedOn w:val="76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03" w:customStyle="1">
    <w:name w:val="Bordered &amp; Lined - Accent 6"/>
    <w:basedOn w:val="76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04" w:customStyle="1">
    <w:name w:val="Bordered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05" w:customStyle="1">
    <w:name w:val="Bordered - Accent 1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06" w:customStyle="1">
    <w:name w:val="Bordered - Accent 2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07" w:customStyle="1">
    <w:name w:val="Bordered - Accent 3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08" w:customStyle="1">
    <w:name w:val="Bordered - Accent 4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09" w:customStyle="1">
    <w:name w:val="Bordered - Accent 5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910" w:customStyle="1">
    <w:name w:val="Bordered - Accent 6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911">
    <w:name w:val="Hyperlink"/>
    <w:uiPriority w:val="99"/>
    <w:unhideWhenUsed/>
    <w:rPr>
      <w:color w:val="0563c1" w:themeColor="hyperlink"/>
      <w:u w:val="single"/>
    </w:rPr>
  </w:style>
  <w:style w:type="character" w:styleId="912" w:customStyle="1">
    <w:name w:val="Footnote Text Char"/>
    <w:uiPriority w:val="99"/>
    <w:rPr>
      <w:sz w:val="18"/>
    </w:rPr>
  </w:style>
  <w:style w:type="paragraph" w:styleId="913">
    <w:name w:val="endnote text"/>
    <w:basedOn w:val="749"/>
    <w:link w:val="914"/>
    <w:uiPriority w:val="99"/>
    <w:semiHidden/>
    <w:unhideWhenUsed/>
    <w:pPr>
      <w:spacing w:after="0" w:line="240" w:lineRule="auto"/>
    </w:pPr>
    <w:rPr>
      <w:sz w:val="20"/>
    </w:rPr>
  </w:style>
  <w:style w:type="character" w:styleId="914" w:customStyle="1">
    <w:name w:val="Текст концевой сноски Знак"/>
    <w:link w:val="913"/>
    <w:uiPriority w:val="99"/>
    <w:rPr>
      <w:sz w:val="20"/>
    </w:rPr>
  </w:style>
  <w:style w:type="character" w:styleId="915">
    <w:name w:val="endnote reference"/>
    <w:basedOn w:val="759"/>
    <w:uiPriority w:val="99"/>
    <w:semiHidden/>
    <w:unhideWhenUsed/>
    <w:rPr>
      <w:vertAlign w:val="superscript"/>
    </w:rPr>
  </w:style>
  <w:style w:type="paragraph" w:styleId="916">
    <w:name w:val="toc 1"/>
    <w:basedOn w:val="749"/>
    <w:next w:val="749"/>
    <w:uiPriority w:val="39"/>
    <w:unhideWhenUsed/>
    <w:pPr>
      <w:spacing w:after="57"/>
    </w:pPr>
  </w:style>
  <w:style w:type="paragraph" w:styleId="917">
    <w:name w:val="toc 2"/>
    <w:basedOn w:val="749"/>
    <w:next w:val="749"/>
    <w:uiPriority w:val="39"/>
    <w:unhideWhenUsed/>
    <w:pPr>
      <w:ind w:left="283"/>
      <w:spacing w:after="57"/>
    </w:pPr>
  </w:style>
  <w:style w:type="paragraph" w:styleId="918">
    <w:name w:val="toc 3"/>
    <w:basedOn w:val="749"/>
    <w:next w:val="749"/>
    <w:uiPriority w:val="39"/>
    <w:unhideWhenUsed/>
    <w:pPr>
      <w:ind w:left="567"/>
      <w:spacing w:after="57"/>
    </w:pPr>
  </w:style>
  <w:style w:type="paragraph" w:styleId="919">
    <w:name w:val="toc 4"/>
    <w:basedOn w:val="749"/>
    <w:next w:val="749"/>
    <w:uiPriority w:val="39"/>
    <w:unhideWhenUsed/>
    <w:pPr>
      <w:ind w:left="850"/>
      <w:spacing w:after="57"/>
    </w:pPr>
  </w:style>
  <w:style w:type="paragraph" w:styleId="920">
    <w:name w:val="toc 5"/>
    <w:basedOn w:val="749"/>
    <w:next w:val="749"/>
    <w:uiPriority w:val="39"/>
    <w:unhideWhenUsed/>
    <w:pPr>
      <w:ind w:left="1134"/>
      <w:spacing w:after="57"/>
    </w:pPr>
  </w:style>
  <w:style w:type="paragraph" w:styleId="921">
    <w:name w:val="toc 6"/>
    <w:basedOn w:val="749"/>
    <w:next w:val="749"/>
    <w:uiPriority w:val="39"/>
    <w:unhideWhenUsed/>
    <w:pPr>
      <w:ind w:left="1417"/>
      <w:spacing w:after="57"/>
    </w:pPr>
  </w:style>
  <w:style w:type="paragraph" w:styleId="922">
    <w:name w:val="toc 7"/>
    <w:basedOn w:val="749"/>
    <w:next w:val="749"/>
    <w:uiPriority w:val="39"/>
    <w:unhideWhenUsed/>
    <w:pPr>
      <w:ind w:left="1701"/>
      <w:spacing w:after="57"/>
    </w:pPr>
  </w:style>
  <w:style w:type="paragraph" w:styleId="923">
    <w:name w:val="toc 8"/>
    <w:basedOn w:val="749"/>
    <w:next w:val="749"/>
    <w:uiPriority w:val="39"/>
    <w:unhideWhenUsed/>
    <w:pPr>
      <w:ind w:left="1984"/>
      <w:spacing w:after="57"/>
    </w:pPr>
  </w:style>
  <w:style w:type="paragraph" w:styleId="924">
    <w:name w:val="toc 9"/>
    <w:basedOn w:val="749"/>
    <w:next w:val="749"/>
    <w:uiPriority w:val="39"/>
    <w:unhideWhenUsed/>
    <w:pPr>
      <w:ind w:left="2268"/>
      <w:spacing w:after="57"/>
    </w:pPr>
  </w:style>
  <w:style w:type="paragraph" w:styleId="925">
    <w:name w:val="TOC Heading"/>
    <w:uiPriority w:val="39"/>
    <w:unhideWhenUsed/>
  </w:style>
  <w:style w:type="paragraph" w:styleId="926">
    <w:name w:val="table of figures"/>
    <w:basedOn w:val="749"/>
    <w:next w:val="749"/>
    <w:uiPriority w:val="99"/>
    <w:unhideWhenUsed/>
    <w:pPr>
      <w:spacing w:after="0"/>
    </w:pPr>
  </w:style>
  <w:style w:type="paragraph" w:styleId="927">
    <w:name w:val="footnote text"/>
    <w:basedOn w:val="749"/>
    <w:link w:val="92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928" w:customStyle="1">
    <w:name w:val="Текст сноски Знак"/>
    <w:basedOn w:val="759"/>
    <w:link w:val="927"/>
    <w:uiPriority w:val="99"/>
    <w:semiHidden/>
    <w:rPr>
      <w:sz w:val="20"/>
      <w:szCs w:val="20"/>
    </w:rPr>
  </w:style>
  <w:style w:type="character" w:styleId="929">
    <w:name w:val="footnote reference"/>
    <w:uiPriority w:val="99"/>
    <w:rPr>
      <w:vertAlign w:val="superscript"/>
    </w:rPr>
  </w:style>
  <w:style w:type="paragraph" w:styleId="930">
    <w:name w:val="List Paragraph"/>
    <w:basedOn w:val="749"/>
    <w:uiPriority w:val="34"/>
    <w:qFormat/>
    <w:pPr>
      <w:contextualSpacing/>
      <w:ind w:left="720"/>
    </w:pPr>
  </w:style>
  <w:style w:type="paragraph" w:styleId="931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table" w:styleId="932">
    <w:name w:val="Table Grid"/>
    <w:basedOn w:val="76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33" w:customStyle="1">
    <w:name w:val="-_character"/>
    <w:link w:val="934"/>
    <w:rPr>
      <w:rFonts w:ascii="Liberation Sans" w:hAnsi="Liberation Sans" w:eastAsia="Liberation Sans" w:cs="Liberation Sans"/>
      <w:color w:val="000000" w:themeColor="text1"/>
      <w:sz w:val="24"/>
    </w:rPr>
  </w:style>
  <w:style w:type="paragraph" w:styleId="934" w:customStyle="1">
    <w:name w:val="-"/>
    <w:basedOn w:val="930"/>
    <w:link w:val="933"/>
    <w:qFormat/>
    <w:pPr>
      <w:numPr>
        <w:ilvl w:val="0"/>
        <w:numId w:val="33"/>
      </w:numPr>
      <w:ind w:right="0"/>
      <w:spacing w:before="0" w:after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</w:pBdr>
    </w:pPr>
    <w:rPr>
      <w:rFonts w:ascii="Liberation Sans" w:hAnsi="Liberation Sans" w:eastAsia="Liberation Sans" w:cs="Liberation Sans"/>
      <w:color w:val="000000" w:themeColor="text1"/>
      <w:sz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consultantplus://offline/ref=782E9CC4CCC6932545801925E3B536176E50B53C1FD70BD7655CABC93DB89C271041D8CD0197EEC2617428125779CB07805FED4BE83BV7P" TargetMode="External"/><Relationship Id="rId11" Type="http://schemas.openxmlformats.org/officeDocument/2006/relationships/hyperlink" Target="consultantplus://offline/ref=70866C93C4936329F0C455254E34A6CAC6C7834FF2B62DD46D84312D009DFEDF1ED7917825447EF92CC4307C66QBmFI" TargetMode="External"/><Relationship Id="rId12" Type="http://schemas.openxmlformats.org/officeDocument/2006/relationships/hyperlink" Target="consultantplus://offline/ref=782E9CC4CCC6932545801925E3B536176E57B6381BDA0BD7655CABC93DB89C271041D8CF0ACBB4D2653D7F184B7ED2198541ED34VBP" TargetMode="External"/><Relationship Id="rId13" Type="http://schemas.openxmlformats.org/officeDocument/2006/relationships/hyperlink" Target="consultantplus://offline/ref=00E1C201CF2CFBE43691BDF595F15F0BF2C4513BF2220FBB060B5246E130B0C5D4717608AF8389373D5B1E4DDBP728G" TargetMode="External"/><Relationship Id="rId14" Type="http://schemas.openxmlformats.org/officeDocument/2006/relationships/hyperlink" Target="consultantplus://offline/ref=00E1C201CF2CFBE43691BDF595F15F0BF2C25339FE2E0FBB060B5246E130B0C5D4717608AF8389373D5B1E4DDBP728G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3113F-E351-4603-A0D9-D22347F5D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Р7-Офис/2026.2.2.2683</Application>
  <Company>Управление Росреестра по Смоленской области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Гурова Светлана Алексеевна</dc:creator>
  <cp:lastModifiedBy>golovinaea</cp:lastModifiedBy>
  <cp:revision>9</cp:revision>
  <dcterms:created xsi:type="dcterms:W3CDTF">2026-05-18T08:38:00Z</dcterms:created>
  <dcterms:modified xsi:type="dcterms:W3CDTF">2026-09-23T07:17:51Z</dcterms:modified>
</cp:coreProperties>
</file>