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Cs/>
          <w:sz w:val="24"/>
          <w:szCs w:val="24"/>
          <w:lang w:eastAsia="ru-RU"/>
        </w:rPr>
      </w:pPr>
      <w:r>
        <w:rPr>
          <w:rFonts w:eastAsia="SimSun" w:cs="Times New Roman" w:ascii="Times New Roman" w:hAnsi="Times New Roman"/>
          <w:b/>
          <w:bCs/>
          <w:sz w:val="24"/>
          <w:szCs w:val="24"/>
          <w:lang w:eastAsia="ru-RU"/>
        </w:rPr>
        <w:t>ГОСУДАРСТВЕННЫЙ КОНТРАКТ</w:t>
      </w:r>
      <w:bookmarkStart w:id="0" w:name="_Hlk34225053"/>
      <w:r>
        <w:rPr>
          <w:rFonts w:eastAsia="SimSun" w:cs="Times New Roman" w:ascii="Times New Roman" w:hAnsi="Times New Roman"/>
          <w:b/>
          <w:bCs/>
          <w:sz w:val="24"/>
          <w:szCs w:val="24"/>
          <w:lang w:eastAsia="ru-RU"/>
        </w:rPr>
        <w:t xml:space="preserve"> №____</w:t>
      </w:r>
      <w:bookmarkEnd w:id="0"/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на поставку </w:t>
      </w:r>
      <w:bookmarkStart w:id="1" w:name="_Hlk32595843"/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товаров </w:t>
      </w:r>
      <w:bookmarkEnd w:id="1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для нужд ОФСИН России по Республике Алтай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iCs/>
          <w:sz w:val="24"/>
          <w:szCs w:val="24"/>
        </w:rPr>
        <w:t>с. Майма                                                                                                                  «___» _______ 2026 г.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iCs/>
          <w:sz w:val="24"/>
          <w:szCs w:val="24"/>
        </w:rPr>
      </w:pPr>
      <w:r>
        <w:rPr>
          <w:rFonts w:eastAsia="Calibri" w:cs="Times New Roman" w:ascii="Times New Roman" w:hAnsi="Times New Roman"/>
          <w:iCs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Отдел Федеральной службы исполнения наказаний по Республике Алтай (далее - ОФСИН России по Республике Алтай), выступающий от имени Российской Федерации, в целях обеспечения государственных нужд, именуемый в дальнейшем «Государственный заказчик» в лице ____________________________________________ действующего </w:t>
      </w:r>
      <w:r>
        <w:rPr>
          <w:rFonts w:cs="Times New Roman" w:ascii="Times New Roman" w:hAnsi="Times New Roman"/>
          <w:sz w:val="24"/>
          <w:szCs w:val="24"/>
        </w:rPr>
        <w:t>на основании _____________________________</w:t>
      </w:r>
      <w:r>
        <w:rPr>
          <w:rFonts w:eastAsia="Calibri" w:cs="Times New Roman" w:ascii="Times New Roman" w:hAnsi="Times New Roman"/>
          <w:sz w:val="24"/>
          <w:szCs w:val="24"/>
        </w:rPr>
        <w:t>, с одной стороны далее «Поставщик», ___________________________________________________, действующего на основании ____________________, с другой стороны, именуемые в дальнейшем Стороны в соответствии с п. 4 ч. 1 ст. 93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ListParagraph"/>
        <w:widowControl w:val="false"/>
        <w:tabs>
          <w:tab w:val="clear" w:pos="708"/>
          <w:tab w:val="left" w:pos="1224" w:leader="none"/>
        </w:tabs>
        <w:spacing w:lineRule="auto" w:line="240" w:before="0" w:after="0"/>
        <w:ind w:start="0"/>
        <w:contextualSpacing w:val="false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1. Предмет Контракта</w:t>
      </w:r>
    </w:p>
    <w:p>
      <w:pPr>
        <w:pStyle w:val="ListParagraph"/>
        <w:widowControl w:val="false"/>
        <w:tabs>
          <w:tab w:val="clear" w:pos="708"/>
          <w:tab w:val="left" w:pos="1224" w:leader="none"/>
        </w:tabs>
        <w:spacing w:lineRule="auto" w:line="240" w:before="0" w:after="0"/>
        <w:ind w:firstLine="709" w:start="0"/>
        <w:contextualSpacing w:val="false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1.1. Поставщик обязуется передать Государственному заказчику Товар по наименованию, характеристикам, количеству, цене и срокам, указанным в Ведомости поставки (Приложение №1), являющейся неотъемлемой частью настоящего Контракта. Поставляемый товар должен быть новым товаром (товаром, который не был в употреблении и ремонте).</w:t>
      </w:r>
    </w:p>
    <w:p>
      <w:pPr>
        <w:pStyle w:val="ListParagraph"/>
        <w:widowControl w:val="false"/>
        <w:tabs>
          <w:tab w:val="clear" w:pos="708"/>
          <w:tab w:val="left" w:pos="1224" w:leader="none"/>
        </w:tabs>
        <w:spacing w:lineRule="auto" w:line="240" w:before="0" w:after="0"/>
        <w:ind w:firstLine="709" w:start="0"/>
        <w:contextualSpacing w:val="false"/>
        <w:jc w:val="both"/>
        <w:rPr>
          <w:rFonts w:ascii="Times New Roman" w:hAnsi="Times New Roman" w:eastAsia="Calibri" w:cs="Times New Roman"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1.2. Идентификационный код закупки </w:t>
      </w: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  <w:u w:val="single"/>
        </w:rPr>
        <w:t>261041111231004110100100110000000244</w:t>
      </w:r>
    </w:p>
    <w:p>
      <w:pPr>
        <w:pStyle w:val="ListParagraph"/>
        <w:widowControl w:val="false"/>
        <w:tabs>
          <w:tab w:val="clear" w:pos="708"/>
          <w:tab w:val="left" w:pos="1224" w:leader="none"/>
        </w:tabs>
        <w:spacing w:lineRule="auto" w:line="240" w:before="0" w:after="0"/>
        <w:ind w:firstLine="709" w:start="0"/>
        <w:contextualSpacing w:val="false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1224" w:leader="none"/>
        </w:tabs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2. Права и обязанности Сторон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1224" w:leader="none"/>
        </w:tabs>
        <w:spacing w:lineRule="auto" w:line="240" w:before="0" w:after="0"/>
        <w:ind w:firstLine="709" w:start="0"/>
        <w:contextualSpacing w:val="false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Государственный заказчик обязуется:</w:t>
      </w:r>
    </w:p>
    <w:p>
      <w:pPr>
        <w:pStyle w:val="ListParagraph"/>
        <w:widowControl w:val="false"/>
        <w:numPr>
          <w:ilvl w:val="2"/>
          <w:numId w:val="1"/>
        </w:numPr>
        <w:tabs>
          <w:tab w:val="clear" w:pos="708"/>
          <w:tab w:val="left" w:pos="1224" w:leader="none"/>
        </w:tabs>
        <w:spacing w:lineRule="auto" w:line="240" w:before="0" w:after="0"/>
        <w:ind w:firstLine="709" w:start="0"/>
        <w:contextualSpacing w:val="false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Осуществлять контроль за обеспечением Поставщиком поставок товара в соответствии с Контрактом.</w:t>
      </w:r>
    </w:p>
    <w:p>
      <w:pPr>
        <w:pStyle w:val="ListParagraph"/>
        <w:widowControl w:val="false"/>
        <w:numPr>
          <w:ilvl w:val="2"/>
          <w:numId w:val="1"/>
        </w:numPr>
        <w:tabs>
          <w:tab w:val="clear" w:pos="708"/>
          <w:tab w:val="left" w:pos="1224" w:leader="none"/>
        </w:tabs>
        <w:spacing w:lineRule="auto" w:line="240" w:before="0" w:after="0"/>
        <w:ind w:firstLine="709" w:start="0"/>
        <w:contextualSpacing w:val="false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Обеспечить приемку товара Грузополучателем в соответствии с условиями Контракта.</w:t>
      </w:r>
    </w:p>
    <w:p>
      <w:pPr>
        <w:pStyle w:val="ListParagraph"/>
        <w:widowControl w:val="false"/>
        <w:numPr>
          <w:ilvl w:val="2"/>
          <w:numId w:val="1"/>
        </w:numPr>
        <w:tabs>
          <w:tab w:val="clear" w:pos="708"/>
          <w:tab w:val="left" w:pos="1224" w:leader="none"/>
        </w:tabs>
        <w:spacing w:lineRule="auto" w:line="240" w:before="0" w:after="0"/>
        <w:ind w:firstLine="709" w:start="0"/>
        <w:contextualSpacing w:val="false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Обеспечить оплату товара в соответствии с условиями раздела 3 Контракта.</w:t>
      </w:r>
    </w:p>
    <w:p>
      <w:pPr>
        <w:pStyle w:val="22"/>
        <w:numPr>
          <w:ilvl w:val="2"/>
          <w:numId w:val="1"/>
        </w:numPr>
        <w:shd w:val="clear" w:color="auto" w:fill="auto"/>
        <w:tabs>
          <w:tab w:val="clear" w:pos="708"/>
          <w:tab w:val="left" w:pos="1224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Грузополучателем без замечаний актов приема-передачи товара, выполненных по разработанной Государственным заказчиком форме «Акт приема-передачи товара».</w:t>
      </w:r>
    </w:p>
    <w:p>
      <w:pPr>
        <w:pStyle w:val="22"/>
        <w:numPr>
          <w:ilvl w:val="2"/>
          <w:numId w:val="1"/>
        </w:numPr>
        <w:shd w:val="clear" w:color="auto" w:fill="auto"/>
        <w:tabs>
          <w:tab w:val="clear" w:pos="708"/>
          <w:tab w:val="left" w:pos="1220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Выполнять иные обязанности, предусмотренные законодательством Российской Федерации и Контрактом.</w:t>
      </w:r>
    </w:p>
    <w:p>
      <w:pPr>
        <w:pStyle w:val="22"/>
        <w:numPr>
          <w:ilvl w:val="1"/>
          <w:numId w:val="1"/>
        </w:numPr>
        <w:shd w:val="clear" w:color="auto" w:fill="auto"/>
        <w:tabs>
          <w:tab w:val="clear" w:pos="708"/>
          <w:tab w:val="left" w:pos="1100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Государственный заказчик имеет право:</w:t>
      </w:r>
    </w:p>
    <w:p>
      <w:pPr>
        <w:pStyle w:val="22"/>
        <w:numPr>
          <w:ilvl w:val="2"/>
          <w:numId w:val="1"/>
        </w:numPr>
        <w:shd w:val="clear" w:color="auto" w:fill="auto"/>
        <w:tabs>
          <w:tab w:val="clear" w:pos="708"/>
          <w:tab w:val="left" w:pos="1224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>
      <w:pPr>
        <w:pStyle w:val="22"/>
        <w:numPr>
          <w:ilvl w:val="2"/>
          <w:numId w:val="1"/>
        </w:numPr>
        <w:shd w:val="clear" w:color="auto" w:fill="auto"/>
        <w:tabs>
          <w:tab w:val="clear" w:pos="708"/>
          <w:tab w:val="left" w:pos="1224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настоящем Контракте, в ходе приемки товара.</w:t>
      </w:r>
    </w:p>
    <w:p>
      <w:pPr>
        <w:pStyle w:val="22"/>
        <w:numPr>
          <w:ilvl w:val="2"/>
          <w:numId w:val="1"/>
        </w:numPr>
        <w:shd w:val="clear" w:color="auto" w:fill="auto"/>
        <w:tabs>
          <w:tab w:val="clear" w:pos="708"/>
          <w:tab w:val="left" w:pos="1220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Требовать замены товара, несоответствующего по качеству и безопасности, показателям содержащимся в нормативных и технических документах, и настоящем Контракте.</w:t>
      </w:r>
    </w:p>
    <w:p>
      <w:pPr>
        <w:pStyle w:val="22"/>
        <w:numPr>
          <w:ilvl w:val="2"/>
          <w:numId w:val="1"/>
        </w:numPr>
        <w:shd w:val="clear" w:color="auto" w:fill="auto"/>
        <w:tabs>
          <w:tab w:val="clear" w:pos="708"/>
          <w:tab w:val="left" w:pos="1220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Отказаться от исполнения Контракта, потребовать возмещения убытков в случае предусмотренном Федеральным законом №44-ФЗ от 05.04.2013 г. "О контрактной системе в сфере закупок товаров, работ, услуг для обеспечения государственных и муниципальных нужд" статья 95 «Изменение, расторжение контракта» пункт 15.</w:t>
      </w:r>
    </w:p>
    <w:p>
      <w:pPr>
        <w:pStyle w:val="22"/>
        <w:numPr>
          <w:ilvl w:val="2"/>
          <w:numId w:val="1"/>
        </w:numPr>
        <w:shd w:val="clear" w:color="auto" w:fill="auto"/>
        <w:tabs>
          <w:tab w:val="clear" w:pos="708"/>
          <w:tab w:val="left" w:pos="1220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Взыскивать пеню и штраф, а также требовать возмещения убытков в соответствии с разделом Контракта.</w:t>
      </w:r>
    </w:p>
    <w:p>
      <w:pPr>
        <w:pStyle w:val="22"/>
        <w:numPr>
          <w:ilvl w:val="2"/>
          <w:numId w:val="1"/>
        </w:numPr>
        <w:shd w:val="clear" w:color="auto" w:fill="auto"/>
        <w:tabs>
          <w:tab w:val="clear" w:pos="708"/>
          <w:tab w:val="left" w:pos="1220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Контракта.</w:t>
      </w:r>
    </w:p>
    <w:p>
      <w:pPr>
        <w:pStyle w:val="22"/>
        <w:numPr>
          <w:ilvl w:val="2"/>
          <w:numId w:val="1"/>
        </w:numPr>
        <w:shd w:val="clear" w:color="auto" w:fill="auto"/>
        <w:tabs>
          <w:tab w:val="clear" w:pos="708"/>
          <w:tab w:val="left" w:pos="1216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Требовать от Поставщика надлежащего исполнения обязательств, предусмотренных настоящим Контрактом.</w:t>
      </w:r>
    </w:p>
    <w:p>
      <w:pPr>
        <w:pStyle w:val="22"/>
        <w:shd w:val="clear" w:color="auto" w:fill="auto"/>
        <w:tabs>
          <w:tab w:val="clear" w:pos="708"/>
          <w:tab w:val="left" w:pos="1071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2.3. Поставщик обязуется:</w:t>
      </w:r>
    </w:p>
    <w:p>
      <w:pPr>
        <w:pStyle w:val="22"/>
        <w:shd w:val="clear" w:color="auto" w:fill="auto"/>
        <w:tabs>
          <w:tab w:val="clear" w:pos="708"/>
          <w:tab w:val="left" w:pos="1220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2.3.1. Обеспечить поставку продукции на условиях настоящего Контракта, в том числе по обеспечению, с учетом специфики поставляемой продукции, ее соответствия обязательным требованиям, установленным государственным заказчиком в соответствии с законодательством Российской Федерации о техническом регулировании и (или) Контрактом.</w:t>
      </w:r>
    </w:p>
    <w:p>
      <w:pPr>
        <w:pStyle w:val="22"/>
        <w:shd w:val="clear" w:color="auto" w:fill="auto"/>
        <w:tabs>
          <w:tab w:val="clear" w:pos="708"/>
          <w:tab w:val="left" w:pos="1220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2.3.2. В письменной форме известить Государственного заказчика (Грузополучателя) о готовности товара к поставке и о дате поставки товара в порядке установленном настоящим Контрактом.</w:t>
      </w:r>
    </w:p>
    <w:p>
      <w:pPr>
        <w:pStyle w:val="22"/>
        <w:shd w:val="clear" w:color="auto" w:fill="auto"/>
        <w:tabs>
          <w:tab w:val="clear" w:pos="708"/>
          <w:tab w:val="left" w:pos="1220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2.3.3. Обеспечить соответствие товара требованиям законодательства, нормативных и технических документов, иных актов Государственного заказчика и условиям Контракта.</w:t>
      </w:r>
    </w:p>
    <w:p>
      <w:pPr>
        <w:pStyle w:val="22"/>
        <w:shd w:val="clear" w:color="auto" w:fill="auto"/>
        <w:tabs>
          <w:tab w:val="clear" w:pos="708"/>
          <w:tab w:val="left" w:pos="1216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2.3.4. 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Контрактом, не обремененный правами третьих лиц.</w:t>
      </w:r>
    </w:p>
    <w:p>
      <w:pPr>
        <w:pStyle w:val="22"/>
        <w:shd w:val="clear" w:color="auto" w:fill="auto"/>
        <w:tabs>
          <w:tab w:val="clear" w:pos="708"/>
          <w:tab w:val="left" w:pos="1220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2.3.5. Передать товар в порядке и в сроки, указанные в ведомости поставки (Приложение №1) Передать Государственному заказчику (Грузополучателю) товар в комплекте с относящейся к нему документацией, установленной настоящим Контрактом.</w:t>
      </w:r>
    </w:p>
    <w:p>
      <w:pPr>
        <w:pStyle w:val="22"/>
        <w:shd w:val="clear" w:color="auto" w:fill="auto"/>
        <w:tabs>
          <w:tab w:val="clear" w:pos="708"/>
          <w:tab w:val="left" w:pos="1220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2.3.6. Производить замену некачественного Товара, а также устранения за свой счет недостатков и дефектов при приемке продукции в течение гарантийного срока в порядке и на условиях, предусмотренных разделом 7 Контракта.</w:t>
      </w:r>
    </w:p>
    <w:p>
      <w:pPr>
        <w:pStyle w:val="22"/>
        <w:shd w:val="clear" w:color="auto" w:fill="auto"/>
        <w:tabs>
          <w:tab w:val="clear" w:pos="708"/>
          <w:tab w:val="left" w:pos="1216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2.3.7. В случае нарушения условий Контракта о сроках поставки и качестве товара возвратить сумму авансового платежа и возместить убытки, в порядке и на условиях, предусмотренных Контрактом.</w:t>
      </w:r>
    </w:p>
    <w:p>
      <w:pPr>
        <w:pStyle w:val="22"/>
        <w:shd w:val="clear" w:color="auto" w:fill="auto"/>
        <w:tabs>
          <w:tab w:val="clear" w:pos="708"/>
          <w:tab w:val="left" w:pos="1216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2.3.8. Обеспечить осуществление Государственным заказчиком контроля за исполнением Контракта, в том числе на отдельных этапах его исполнения.</w:t>
      </w:r>
    </w:p>
    <w:p>
      <w:pPr>
        <w:pStyle w:val="22"/>
        <w:shd w:val="clear" w:color="auto" w:fill="auto"/>
        <w:tabs>
          <w:tab w:val="clear" w:pos="708"/>
          <w:tab w:val="left" w:pos="1423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2.3.9. 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соответствующих сферах.</w:t>
      </w:r>
    </w:p>
    <w:p>
      <w:pPr>
        <w:pStyle w:val="22"/>
        <w:shd w:val="clear" w:color="auto" w:fill="auto"/>
        <w:tabs>
          <w:tab w:val="clear" w:pos="708"/>
          <w:tab w:val="left" w:pos="1423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2.3.10. Выполнять иные обязанности, предусмотренные законодательством Российской Федерации и Контрактом.</w:t>
      </w:r>
    </w:p>
    <w:p>
      <w:pPr>
        <w:pStyle w:val="22"/>
        <w:shd w:val="clear" w:color="auto" w:fill="auto"/>
        <w:tabs>
          <w:tab w:val="clear" w:pos="708"/>
          <w:tab w:val="left" w:pos="1071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2.4. Поставщик вправе:</w:t>
      </w:r>
    </w:p>
    <w:p>
      <w:pPr>
        <w:pStyle w:val="22"/>
        <w:shd w:val="clear" w:color="auto" w:fill="auto"/>
        <w:tabs>
          <w:tab w:val="clear" w:pos="708"/>
          <w:tab w:val="left" w:pos="1216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2.4.1. Требовать своевременную оплату за поставленный товар в соответствии с условиями Контракта.</w:t>
      </w:r>
    </w:p>
    <w:p>
      <w:pPr>
        <w:pStyle w:val="22"/>
        <w:shd w:val="clear" w:color="auto" w:fill="auto"/>
        <w:tabs>
          <w:tab w:val="clear" w:pos="708"/>
          <w:tab w:val="left" w:pos="1423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2.4.2. Требовать уплату пеней, а также возмещения убытков, согласно условий настоящего Контракта.</w:t>
      </w:r>
    </w:p>
    <w:p>
      <w:pPr>
        <w:pStyle w:val="22"/>
        <w:shd w:val="clear" w:color="auto" w:fill="auto"/>
        <w:tabs>
          <w:tab w:val="clear" w:pos="708"/>
          <w:tab w:val="left" w:pos="1220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2.4.3. С письменного согласия Государственного заказчика досрочно исполнить обязательства по Контракту, при этом досрочное исполнение Контракта не влечет обязанности Г осударственного заказчика по досрочной оплате принятой продукции (товара).</w:t>
      </w:r>
    </w:p>
    <w:p>
      <w:pPr>
        <w:pStyle w:val="22"/>
        <w:shd w:val="clear" w:color="auto" w:fill="auto"/>
        <w:tabs>
          <w:tab w:val="clear" w:pos="708"/>
          <w:tab w:val="left" w:pos="1254" w:leader="none"/>
        </w:tabs>
        <w:spacing w:lineRule="auto" w:line="240" w:before="0" w:after="0"/>
        <w:ind w:firstLine="709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22"/>
        <w:shd w:val="clear" w:color="auto" w:fill="auto"/>
        <w:tabs>
          <w:tab w:val="clear" w:pos="708"/>
          <w:tab w:val="left" w:pos="1254" w:leader="none"/>
        </w:tabs>
        <w:spacing w:lineRule="auto" w:line="240" w:before="0" w:after="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3. Цена контракта.</w:t>
      </w:r>
    </w:p>
    <w:p>
      <w:pPr>
        <w:pStyle w:val="22"/>
        <w:shd w:val="clear" w:color="auto" w:fill="auto"/>
        <w:spacing w:lineRule="auto" w:line="240" w:before="0" w:after="0"/>
        <w:ind w:firstLine="709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3.1. Цена Контракта составляет _____________ () рублей ___ копеек в том числе НДС 20% и включает в себя общую стоимость товара, транспортные расходы, в т.ч. доставку товара Государственному заказчику (грузополучателю), расходы на страхование, погрузочные работы, уплату таможенных пошлин, налогов, сборов и других обязательных платежей, взимаемых с Поставщика в связи с исполнением обязательств по настоящему Контракту. Цена Контракта является твердой и не может изменяться в ходе его </w:t>
      </w:r>
      <w:r>
        <w:rPr>
          <w:color w:val="000000"/>
          <w:sz w:val="24"/>
          <w:szCs w:val="24"/>
          <w:lang w:eastAsia="ru-RU" w:bidi="ru-RU"/>
        </w:rPr>
        <w:t>исполнения, за исключением случаев, предусмотренных п. 1 ч. 1 ст. 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3.2. Оплата по настоящему контракту производится путем перечисления денежных средств на расчетный счет Поставщика в течение 7 (семи) рабочих дней со дня подписания Сторонами документов о приемке. Оплата Товара производится Государственным заказчиком на основании счета или счет-фактуры (если исполнитель является плательщиком НДС), либо универсального передаточного документа, предоставленного Поставщиком.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3.3.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3.4. В случае изменения банковских реквизитов Поставщик обязан в течение 2 (двух) рабочих дней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Поставщика, несет Поставщик.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4. </w:t>
      </w:r>
      <w:bookmarkStart w:id="2" w:name="bookmark7"/>
      <w:r>
        <w:rPr>
          <w:rFonts w:eastAsia="Calibri" w:cs="Times New Roman" w:ascii="Times New Roman" w:hAnsi="Times New Roman"/>
          <w:b/>
          <w:sz w:val="24"/>
          <w:szCs w:val="24"/>
        </w:rPr>
        <w:t>Маркировка, упаковка, тара и транспортировка</w:t>
      </w:r>
      <w:bookmarkEnd w:id="2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4.1. Товар должен быть упакован и замаркирован в соответствии с действующими стандартами и техническими условиями, и условиями Контракта, таким образом,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Государственного заказчика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4.2. Упаковка и маркировка поставляемого товара должны соответствовать государственным стандартам (ГОСТ), отраслевым стандартам (ОСТ), техническим условиям (ТУ), а также иным нормативным правовым актам, устанавливающим требования к упаковке и маркировке поставляемого товара.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4.3. Упаковка возврату не подлежат и их стоимость включается в цену Контракта.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4.4. Товар, получивший при погрузке (разгрузке) и транспортировке повреждения, в том числе внешние, вследствие использования Поставщиком ненадлежащей упаковки, считается не поставленным и приемке не подлежит.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4.5. Транспортировка Товара должна осуществляться в соответствии с требованиями и правилами перевозок, действующих на соответствующем виде транспорта.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5. </w:t>
      </w:r>
      <w:bookmarkStart w:id="3" w:name="bookmark8"/>
      <w:r>
        <w:rPr>
          <w:rFonts w:eastAsia="Calibri" w:cs="Times New Roman" w:ascii="Times New Roman" w:hAnsi="Times New Roman"/>
          <w:b/>
          <w:sz w:val="24"/>
          <w:szCs w:val="24"/>
        </w:rPr>
        <w:t>Сроки и порядок поставки товара</w:t>
      </w:r>
      <w:bookmarkEnd w:id="3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5.1. Поставщик обязуется передать Государственному заказчику (Грузополучателю) качественную продукцию, предусмотренную Предметом контракта, в количестве, по цене, адресу и в сроки, предусмотренные ведомостью поставки (Приложение № 1).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5.2. Не позднее, чем за 5 (пять) рабочих дней до планируемой даты поставки, Поставщик в письменной форме извещает Г осударственного заказчика (Г рузополучателя).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5.3. Вместе с товаром Поставщик передает Государственному заказчику (Грузополучателю) относящуюся к товару документацию: счет; счет - фактуру; товарную накладную (код формы 0330212 по ОКУД), оформленную в 2-х экземплярах (по одному для Поставщика и Государственного заказчика (Грузополучателя)) с печатью Поставщика; документ подтверждающий качество поставляемой продукции (сертификат соответствия) или их копия, заверенная в установленном законодательством Российской Федерации порядке.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5.4. В случае, если документы, указанные в пункте 5.3 Контракта, не переданы Поставщиком Грузополучателю одновременно с товаром, товар считается не поставленным и приемке не подлежит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5.5. Обязательство Поставщика по поставке (передаче) товара считается исполненным с момента подписания Грузополучателем без замечаний по факту приемки товара.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5.6.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5.5. Контракта.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5.7. Право собственности на товар переходит к Государственному заказчику с момента поставки товара в соответствии с пунктом 5.5. Контракта.</w:t>
      </w:r>
    </w:p>
    <w:p>
      <w:pPr>
        <w:pStyle w:val="41"/>
        <w:shd w:val="clear" w:color="auto" w:fill="auto"/>
        <w:tabs>
          <w:tab w:val="clear" w:pos="708"/>
          <w:tab w:val="left" w:pos="901" w:leader="none"/>
        </w:tabs>
        <w:spacing w:lineRule="auto" w:line="240" w:before="0" w:after="0"/>
        <w:ind w:firstLine="709" w:end="8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</w:p>
    <w:p>
      <w:pPr>
        <w:pStyle w:val="41"/>
        <w:shd w:val="clear" w:color="auto" w:fill="auto"/>
        <w:tabs>
          <w:tab w:val="clear" w:pos="708"/>
          <w:tab w:val="left" w:pos="901" w:leader="none"/>
        </w:tabs>
        <w:spacing w:lineRule="auto" w:line="240" w:before="0" w:after="0"/>
        <w:ind w:end="80"/>
        <w:rPr>
          <w:sz w:val="24"/>
          <w:szCs w:val="24"/>
        </w:rPr>
      </w:pPr>
      <w:bookmarkStart w:id="4" w:name="bookmark9"/>
      <w:r>
        <w:rPr>
          <w:color w:val="000000"/>
          <w:sz w:val="24"/>
          <w:szCs w:val="24"/>
          <w:lang w:eastAsia="ru-RU" w:bidi="ru-RU"/>
        </w:rPr>
        <w:t>6. Качество и безопасность товара, порядок приемки, условия, запреты, ограничения допуска товаров, приходящих из иностранного государства или группы иностранных</w:t>
      </w:r>
      <w:bookmarkEnd w:id="4"/>
      <w:r>
        <w:rPr>
          <w:sz w:val="24"/>
          <w:szCs w:val="24"/>
        </w:rPr>
        <w:t xml:space="preserve"> </w:t>
      </w:r>
      <w:bookmarkStart w:id="5" w:name="bookmark10"/>
      <w:r>
        <w:rPr>
          <w:color w:val="000000"/>
          <w:sz w:val="24"/>
          <w:szCs w:val="24"/>
          <w:lang w:eastAsia="ru-RU" w:bidi="ru-RU"/>
        </w:rPr>
        <w:t>государств</w:t>
      </w:r>
      <w:bookmarkEnd w:id="5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6.1. Качество и безопасность поставляемого товара должны отвечать требованиям законодательства Российской Федерации, а так же нормативно-технической документации на поставляемый товар, что должно подтверждаться соответствующими документами (сертификатом изготовителя)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6.2. Приемка товара по количеству (в том числе по количеству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Контракта.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6.3. 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6.4. Моментом исполнения обязательств Поставщика по поставке (передаче) товара считается дата подписания Государственным заказчиком (Грузополучателем)без замечаний акта приема - передачи товара, по факту приемки товара.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6.5. Товар, не соответствующий требованиям, предусмотренным Контрактом, приемке не подлежит и считается непоставленным. При этом Государственный заказчик (Грузополучатель)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6.6. Для проверки предоставленных Поставщиком результатов, предусмотренных Контрактом, в части их соответствия условиям Контракта, Заказчик вправе проводить экспертизу. Экспертиза результатов, предусмотренных Контрактом, осуществляется с привлечением экспертов, либо экспертной организации.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6.7. По решению Государственного заказчика для приемки поставленного товара, результатов отдельного этапа исполнения контракта может создаваться приемочная комиссия, которая состоит не менее чем из трех человек.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6.8. Приемка результатов отдельного этапа исполнения Контракта, а также поставленного товара осуществляется в порядке и в сроки, которые установлены настоящим Контрактом, и оформляется документом о приемке, который подписывается Государственным заказчиком (в случае создания приемочной комиссии - подписывается всеми членами приемочной комиссии и утверждается Государственным заказчиком), либо Поставщику в те же сроки Государственным заказчиком направляется в письменной форме мотивированный отказ от подписания такого документа. В случае привлечения Государственным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6.9. Государственный заказчик вправе не отказывать в приемке результатов отдельного этапа исполнения контракта, либо поставленного товара, в случае выявления несоответствия этих результатов, либо этого товара условиям контракта, если выявленное несоответствие не препятствует приемке этого товара и устранено Поставщиком.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6.10. Поставщик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Грузополучателю товар, предусмотренный контрактом, при этом Государственный заказчик обязан обеспечить приемку поставленного товара в соответствии с настоящим контрактом.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7.</w:t>
      </w:r>
      <w:bookmarkStart w:id="6" w:name="bookmark11"/>
      <w:r>
        <w:rPr>
          <w:rFonts w:eastAsia="Calibri" w:cs="Times New Roman" w:ascii="Times New Roman" w:hAnsi="Times New Roman"/>
          <w:b/>
          <w:sz w:val="24"/>
          <w:szCs w:val="24"/>
        </w:rPr>
        <w:t xml:space="preserve"> Гарантийные обязательства</w:t>
      </w:r>
      <w:bookmarkEnd w:id="6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7.1. Поставщик гарантирует: 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Контракта.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7.2 Срок замены некачественного товара составляет не более 10 (десяти) календарных дней с момента получения Поставщиком письменного требования Государственного заказчика (Грузополучателя) о замене товара несоответствующего качества. В данный срок входит время, затраченное на транспортировку товара.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7.3. Все расходы, связанные с заменой товара ненадлежащего качествав период срока годности товара оплачиваются за счет Поставщика.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8. </w:t>
      </w:r>
      <w:bookmarkStart w:id="7" w:name="bookmark12"/>
      <w:r>
        <w:rPr>
          <w:rFonts w:eastAsia="Calibri" w:cs="Times New Roman" w:ascii="Times New Roman" w:hAnsi="Times New Roman"/>
          <w:b/>
          <w:sz w:val="24"/>
          <w:szCs w:val="24"/>
        </w:rPr>
        <w:t>Ответственность Сторон</w:t>
      </w:r>
      <w:bookmarkEnd w:id="7"/>
    </w:p>
    <w:p>
      <w:pPr>
        <w:pStyle w:val="22"/>
        <w:shd w:val="clear" w:color="auto" w:fill="auto"/>
        <w:tabs>
          <w:tab w:val="clear" w:pos="708"/>
          <w:tab w:val="left" w:pos="1041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8.1. В случае неисполнения или ненадлежащего исполнения обязательств по настоящему контракту,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8.2. В случае просрочки исполнения «Заказчиком» обязательств, предусмотренных настоящим контрактом, «Поставщик» вправе потребовать от «Заказчика» уплатить неустойку (штрафа, пени).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8.3. «Заказчик» освобождается от уплаты неустойки (пеней), если докажет, что просрочка исполнения указанного обязательства произошла по вине «Поставщика» или вследствие действия обстоятельств непреодолимой силы (форс-мажорных обстоятельств).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8.4. За каждый факт неисполнения заказчиком обязательств, предусмотренных контрактом, за исключение просрочки исполнения обязательств, предусмотренных контрактом, размер штрафа составляет 1000 рублей.</w:t>
      </w:r>
    </w:p>
    <w:p>
      <w:pPr>
        <w:pStyle w:val="22"/>
        <w:shd w:val="clear" w:color="auto" w:fill="auto"/>
        <w:tabs>
          <w:tab w:val="clear" w:pos="708"/>
          <w:tab w:val="left" w:pos="1046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8.5. В случае просрочки исполнения «Поставщиком» обязательств, предусмотренных настоящим контрактом, а также в иных случаях неисполнения или ненадлежащего исполнения «Поставщиком» обязательств, предусмотренных настоящим контрактом, «Заказчик» направляет «Поставщику» требование об уплате неустойки (штрафа, пени).</w:t>
      </w:r>
    </w:p>
    <w:p>
      <w:pPr>
        <w:pStyle w:val="22"/>
        <w:shd w:val="clear" w:color="auto" w:fill="auto"/>
        <w:tabs>
          <w:tab w:val="clear" w:pos="708"/>
          <w:tab w:val="left" w:pos="1046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8.6. Пеня начисляется за каждый день просрочки исполнения поставщиком (исполнителем, подрядчиком) обязательства, предусмотренного контрактом, и устанавливается в размере не менее одной трехсотой действующей на дату уплаты пени ключевой ставки Банка России,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8.7.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10% цены контракта.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8.8.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в размере 1000 рублей.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8.9. 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8.10.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8.11. «Сторона»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8.12. Уплата штрафов не освобождает «Стороны» от выполнения своих обязательств по настоящему контракту.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8.13. В случае расторжения настоящего контракта по решению суда в связи с существенными нарушениями «Поставщиком» своих обязательств, а также при принятии «Заказчиком» решения об одностороннем отказе от исполнения контракта, сведения об «Поставщике» будут включены в реестр недобросовестных поставщиков, предусмотренный статьей 104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8.14. Возможность списания неустоек (штрафов, пеней), начисленных поставщику, Заказчиком предусмотрена в порядке, установленном ПП РФ от 04.07.2018 № 783 «О списании начисленных поставщику (подрядчику, исполнителю), но не списанных заказчиком сумм неустоек (штрафов, пеней) </w:t>
      </w:r>
      <w:bookmarkStart w:id="8" w:name="_GoBack"/>
      <w:bookmarkEnd w:id="8"/>
      <w:r>
        <w:rPr>
          <w:rFonts w:eastAsia="Calibri" w:cs="Times New Roman" w:ascii="Times New Roman" w:hAnsi="Times New Roman"/>
          <w:sz w:val="24"/>
          <w:szCs w:val="24"/>
        </w:rPr>
        <w:t>в связи с неисполнением или  ненадлежащим исполнением обязательств, предусмотренных контрактом».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9. </w:t>
      </w:r>
      <w:bookmarkStart w:id="9" w:name="bookmark13"/>
      <w:r>
        <w:rPr>
          <w:rFonts w:eastAsia="Calibri" w:cs="Times New Roman" w:ascii="Times New Roman" w:hAnsi="Times New Roman"/>
          <w:b/>
          <w:sz w:val="24"/>
          <w:szCs w:val="24"/>
        </w:rPr>
        <w:t>Форс-мажорные обстоятельства</w:t>
      </w:r>
      <w:bookmarkEnd w:id="9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9.1.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 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-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9.3.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9.4.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9.5. 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9.6.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10. </w:t>
      </w:r>
      <w:bookmarkStart w:id="10" w:name="bookmark14"/>
      <w:r>
        <w:rPr>
          <w:rFonts w:eastAsia="Calibri" w:cs="Times New Roman" w:ascii="Times New Roman" w:hAnsi="Times New Roman"/>
          <w:b/>
          <w:sz w:val="24"/>
          <w:szCs w:val="24"/>
        </w:rPr>
        <w:t>Изменение, расторжение Контракта</w:t>
      </w:r>
      <w:bookmarkEnd w:id="10"/>
    </w:p>
    <w:p>
      <w:pPr>
        <w:pStyle w:val="22"/>
        <w:shd w:val="clear" w:color="auto" w:fill="auto"/>
        <w:tabs>
          <w:tab w:val="clear" w:pos="708"/>
          <w:tab w:val="left" w:pos="1158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10.1.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22"/>
        <w:shd w:val="clear" w:color="auto" w:fill="auto"/>
        <w:tabs>
          <w:tab w:val="clear" w:pos="708"/>
          <w:tab w:val="left" w:pos="1158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>
      <w:pPr>
        <w:pStyle w:val="22"/>
        <w:shd w:val="clear" w:color="auto" w:fill="auto"/>
        <w:tabs>
          <w:tab w:val="clear" w:pos="708"/>
          <w:tab w:val="left" w:pos="1158" w:leader="none"/>
        </w:tabs>
        <w:spacing w:lineRule="auto" w:line="240" w:before="0" w:after="0"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10.3. Расторжение Контракта допускается по соглашению сторон, по решению суда, в случае одностороннего отказа стороны контракта от исполнения Контакта в соответствии с гражданским законодательством.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10.4.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отдельных видов обязательств.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10.5. Государственный заказчик (Грузополучатель)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Контакта в соответствии с требованиями ч. 8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10.6.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10.7.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10.8.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11. Порядок разрешения споров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11.1.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Республики Алтай в порядке, предусмотренном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11.2. Досудебный порядок урегулирования споров, предусматривающий направление претензии контрагенту, является обязательным.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11.3. Сторона, которой предъявлена претензия, обязана рассмотреть такую претензию в течение 30 (тридцать)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11.4. Стороны предусматривают электронный документооборот при направлении претензий в адрес каждой из сторон, по адресам электронной почты указанным в разделе 14 Государственного контракта.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12. Прочие условия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12.1. Контракт составлен в двух подлинных экземплярах, имеющих одинаковую юридическую силу, по одному для каждой из Сторон.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12.2. В случае изменения юридических адресов, банковских и отгрузочных реквизитов Сторона обязана сообщить об этом другой Стороне в течение 2 (двух) рабочих дня в письменной форме.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12.3.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12.4. Во всем остальном, что не предусмотрено Контрактом, Стороны руководствуются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12.5. Приложения к Контракту, являющиеся его неотъемлемой частью: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Приложение № 1 - ведомость поставки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13. Срок действия и исполнения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13.1. Контракта Контракт вступает в силу с момента его подписания Сторонами и действует </w:t>
      </w:r>
      <w:r>
        <w:rPr>
          <w:rFonts w:eastAsia="Calibri" w:cs="Times New Roman" w:ascii="Times New Roman" w:hAnsi="Times New Roman"/>
          <w:b/>
          <w:sz w:val="24"/>
          <w:szCs w:val="24"/>
        </w:rPr>
        <w:t>до</w:t>
      </w:r>
      <w:r>
        <w:rPr>
          <w:rFonts w:eastAsia="Calibri"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b/>
          <w:sz w:val="24"/>
          <w:szCs w:val="24"/>
        </w:rPr>
        <w:t>31</w:t>
      </w:r>
      <w:r>
        <w:rPr>
          <w:rFonts w:eastAsia="Calibri" w:cs="Times New Roman" w:ascii="Times New Roman" w:hAnsi="Times New Roman"/>
          <w:b/>
          <w:bCs/>
          <w:sz w:val="24"/>
          <w:szCs w:val="24"/>
        </w:rPr>
        <w:t>.12.2026.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13.2. Срок исполнения контракта: с даты заключения и </w:t>
      </w:r>
      <w:r>
        <w:rPr>
          <w:rFonts w:eastAsia="Calibri" w:cs="Times New Roman" w:ascii="Times New Roman" w:hAnsi="Times New Roman"/>
          <w:b/>
          <w:sz w:val="24"/>
          <w:szCs w:val="24"/>
        </w:rPr>
        <w:t>до 31</w:t>
      </w:r>
      <w:r>
        <w:rPr>
          <w:rFonts w:eastAsia="Calibri" w:cs="Times New Roman" w:ascii="Times New Roman" w:hAnsi="Times New Roman"/>
          <w:b/>
          <w:bCs/>
          <w:sz w:val="24"/>
          <w:szCs w:val="24"/>
        </w:rPr>
        <w:t>.12.2026.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14. Юридические адреса, банковские и отгрузочные реквизиты Сторон на момент подписания Контракта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tbl>
      <w:tblPr>
        <w:tblStyle w:val="a5"/>
        <w:tblW w:w="984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924"/>
        <w:gridCol w:w="4924"/>
      </w:tblGrid>
      <w:tr>
        <w:trPr>
          <w:trHeight w:val="2329" w:hRule="atLeast"/>
        </w:trPr>
        <w:tc>
          <w:tcPr>
            <w:tcW w:w="492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contextualSpacing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Государственный заказчик: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ОФСИН России по Республике Алтай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26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Юридический адрес: 649100, Республика Алтай, с. Майма, ул. Энергетиков, 9 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26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Почтовый адрес: 649100, Республика Алтай, с. Майма, ул. Энергетиков, 9 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26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ИНН 0411112310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26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КПП 041101001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26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Банковские реквизиты: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26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БИК 015004950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26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ОКЦ № 1 Сибирского ГУ Банка России// УФК по Новосибирской области, г. Новосибирск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26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ОКПО 08738627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26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р/с 03211643000000015101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26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к/с 40102810445370000043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26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л/с 03771213150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26"/>
              <w:jc w:val="start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тел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. (38822) 4-77-99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26"/>
              <w:jc w:val="start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e-mail: bunkov.e.g@04.fsin.gov.ru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26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Контактное лицо: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start="426" w:end="-71"/>
              <w:contextualSpacing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Буньков Евгений Геннадьевич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9" w:end="-71"/>
              <w:contextualSpacing/>
              <w:jc w:val="start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9" w:end="-71"/>
              <w:contextualSpacing/>
              <w:jc w:val="start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9" w:end="-71"/>
              <w:contextualSpacing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________________/                      /</w:t>
            </w:r>
          </w:p>
          <w:p>
            <w:pPr>
              <w:pStyle w:val="Normal"/>
              <w:widowControl/>
              <w:shd w:val="clear" w:color="auto" w:fill="FFFFFF"/>
              <w:tabs>
                <w:tab w:val="clear" w:pos="708"/>
                <w:tab w:val="left" w:pos="2880" w:leader="none"/>
              </w:tabs>
              <w:suppressAutoHyphens w:val="true"/>
              <w:spacing w:lineRule="auto" w:line="240" w:before="0" w:after="0"/>
              <w:ind w:firstLine="709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2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Поставщик: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________________/                    /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71" w:hRule="atLeast"/>
        </w:trPr>
        <w:tc>
          <w:tcPr>
            <w:tcW w:w="492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м.п.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92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2"/>
                <w:sz w:val="24"/>
                <w:szCs w:val="24"/>
                <w:lang w:val="ru-RU" w:eastAsia="en-US" w:bidi="ar-SA"/>
              </w:rPr>
              <w:t>м.п.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start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6480" w:leader="none"/>
        </w:tabs>
        <w:spacing w:lineRule="auto" w:line="240" w:before="0" w:after="0"/>
        <w:ind w:firstLine="709" w:end="-74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993" w:right="851" w:gutter="0" w:header="709" w:top="1134" w:footer="0" w:bottom="993"/>
          <w:pgNumType w:fmt="decimal"/>
          <w:formProt w:val="false"/>
          <w:textDirection w:val="lrTb"/>
          <w:docGrid w:type="default" w:linePitch="360" w:charSpace="0"/>
        </w:sect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1275" w:leader="none"/>
        </w:tabs>
        <w:spacing w:lineRule="auto" w:line="240" w:before="0" w:after="0"/>
        <w:ind w:firstLine="709"/>
        <w:jc w:val="end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Приложение № 1</w:t>
      </w:r>
    </w:p>
    <w:p>
      <w:pPr>
        <w:pStyle w:val="Normal"/>
        <w:tabs>
          <w:tab w:val="clear" w:pos="708"/>
          <w:tab w:val="left" w:pos="1275" w:leader="none"/>
        </w:tabs>
        <w:spacing w:lineRule="auto" w:line="240" w:before="0" w:after="0"/>
        <w:ind w:firstLine="709"/>
        <w:jc w:val="end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 государственному контракту</w:t>
      </w:r>
    </w:p>
    <w:p>
      <w:pPr>
        <w:pStyle w:val="Normal"/>
        <w:tabs>
          <w:tab w:val="clear" w:pos="708"/>
          <w:tab w:val="left" w:pos="1275" w:leader="none"/>
        </w:tabs>
        <w:spacing w:lineRule="auto" w:line="240" w:before="0" w:after="0"/>
        <w:ind w:firstLine="709"/>
        <w:jc w:val="end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№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 от «____» ___________ 2026 г.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067" w:leader="none"/>
          <w:tab w:val="center" w:pos="7498" w:leader="none"/>
        </w:tabs>
        <w:spacing w:lineRule="auto" w:line="240" w:before="0" w:after="0"/>
        <w:ind w:firstLine="709" w:start="0"/>
        <w:jc w:val="center"/>
        <w:outlineLvl w:val="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067" w:leader="none"/>
          <w:tab w:val="center" w:pos="7498" w:leader="none"/>
        </w:tabs>
        <w:spacing w:lineRule="auto" w:line="240" w:before="0" w:after="0"/>
        <w:ind w:hanging="0" w:start="0"/>
        <w:jc w:val="center"/>
        <w:outlineLvl w:val="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ВЕДОМОСТЬ ПОСТАВКИ</w:t>
      </w:r>
    </w:p>
    <w:tbl>
      <w:tblPr>
        <w:tblStyle w:val="a5"/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713"/>
        <w:gridCol w:w="7032"/>
        <w:gridCol w:w="1443"/>
        <w:gridCol w:w="1674"/>
        <w:gridCol w:w="1539"/>
        <w:gridCol w:w="2310"/>
      </w:tblGrid>
      <w:tr>
        <w:trPr>
          <w:trHeight w:val="699" w:hRule="atLeast"/>
        </w:trPr>
        <w:tc>
          <w:tcPr>
            <w:tcW w:w="7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PT Astra Serif" w:hAnsi="PT Astra Serif"/>
                <w:b/>
                <w:color w:themeColor="text1" w:val="000000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b/>
                <w:color w:themeColor="text1" w:val="000000"/>
                <w:kern w:val="0"/>
                <w:sz w:val="26"/>
                <w:szCs w:val="26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PT Astra Serif" w:hAnsi="PT Astra Serif"/>
                <w:b/>
                <w:color w:themeColor="text1" w:val="000000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b/>
                <w:color w:themeColor="text1" w:val="000000"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70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PT Astra Serif" w:hAnsi="PT Astra Serif"/>
                <w:b/>
                <w:color w:themeColor="text1" w:val="000000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b/>
                <w:color w:themeColor="text1" w:val="000000"/>
                <w:kern w:val="0"/>
                <w:sz w:val="26"/>
                <w:szCs w:val="26"/>
                <w:lang w:val="ru-RU" w:eastAsia="en-US" w:bidi="ar-SA"/>
              </w:rPr>
              <w:t>Наименование закупаемого товара, характеристики</w:t>
            </w:r>
          </w:p>
        </w:tc>
        <w:tc>
          <w:tcPr>
            <w:tcW w:w="14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PT Astra Serif" w:hAnsi="PT Astra Serif"/>
                <w:b/>
                <w:color w:themeColor="text1" w:val="000000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b/>
                <w:color w:themeColor="text1" w:val="000000"/>
                <w:kern w:val="0"/>
                <w:sz w:val="26"/>
                <w:szCs w:val="26"/>
                <w:lang w:val="ru-RU" w:eastAsia="en-US" w:bidi="ar-SA"/>
              </w:rPr>
              <w:t>Единицы измерения</w:t>
            </w:r>
          </w:p>
        </w:tc>
        <w:tc>
          <w:tcPr>
            <w:tcW w:w="167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PT Astra Serif" w:hAnsi="PT Astra Serif"/>
                <w:b/>
                <w:color w:themeColor="text1" w:val="000000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b/>
                <w:color w:themeColor="text1" w:val="000000"/>
                <w:kern w:val="0"/>
                <w:sz w:val="26"/>
                <w:szCs w:val="26"/>
                <w:lang w:val="ru-RU" w:eastAsia="en-US" w:bidi="ar-SA"/>
              </w:rPr>
              <w:t>Количество закупаемого товара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PT Astra Serif" w:hAnsi="PT Astra Serif"/>
                <w:b/>
                <w:color w:themeColor="text1" w:val="000000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b/>
                <w:color w:themeColor="text1" w:val="000000"/>
                <w:kern w:val="0"/>
                <w:sz w:val="26"/>
                <w:szCs w:val="26"/>
                <w:lang w:val="ru-RU" w:eastAsia="en-US" w:bidi="ar-SA"/>
              </w:rPr>
              <w:t>Цена за единицу (руб.)</w:t>
            </w:r>
          </w:p>
        </w:tc>
        <w:tc>
          <w:tcPr>
            <w:tcW w:w="23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PT Astra Serif" w:hAnsi="PT Astra Serif"/>
                <w:b/>
                <w:color w:themeColor="text1" w:val="000000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b/>
                <w:color w:themeColor="text1" w:val="000000"/>
                <w:kern w:val="0"/>
                <w:sz w:val="26"/>
                <w:szCs w:val="26"/>
                <w:lang w:val="ru-RU" w:eastAsia="en-US" w:bidi="ar-SA"/>
              </w:rPr>
              <w:t>Стоимость закупаемого товара (руб.)</w:t>
            </w:r>
          </w:p>
        </w:tc>
      </w:tr>
      <w:tr>
        <w:trPr>
          <w:trHeight w:val="223" w:hRule="atLeast"/>
        </w:trPr>
        <w:tc>
          <w:tcPr>
            <w:tcW w:w="713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jc w:val="center"/>
              <w:rPr>
                <w:rFonts w:ascii="PT Astra Serif" w:hAnsi="PT Astra Serif"/>
                <w:color w:themeColor="text1" w:val="000000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7032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kern w:val="0"/>
                <w:sz w:val="26"/>
                <w:szCs w:val="26"/>
                <w:lang w:val="ru-RU" w:eastAsia="en-US" w:bidi="ar-SA"/>
              </w:rPr>
              <w:t xml:space="preserve">Мойка высокого давления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Huter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W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240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i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K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7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SMART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PROFESSIONAL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или его эквивалент: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star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kern w:val="0"/>
                <w:sz w:val="26"/>
                <w:szCs w:val="26"/>
                <w:lang w:val="ru-RU" w:eastAsia="en-US" w:bidi="ar-SA"/>
              </w:rPr>
              <w:t xml:space="preserve">Мощность не менее </w:t>
            </w:r>
            <w:hyperlink r:id="rId5">
              <w:r>
                <w:rPr>
                  <w:rStyle w:val="Style8"/>
                  <w:rFonts w:eastAsia="Calibri" w:cs="" w:ascii="PT Astra Serif" w:hAnsi="PT Astra Serif"/>
                  <w:kern w:val="0"/>
                  <w:sz w:val="26"/>
                  <w:szCs w:val="26"/>
                  <w:lang w:val="ru-RU" w:eastAsia="en-US" w:bidi="ar-SA"/>
                </w:rPr>
                <w:t>3</w:t>
              </w:r>
            </w:hyperlink>
            <w:r>
              <w:rPr>
                <w:rFonts w:eastAsia="Calibri" w:cs="" w:ascii="PT Astra Serif" w:hAnsi="PT Astra Serif"/>
                <w:kern w:val="0"/>
                <w:sz w:val="26"/>
                <w:szCs w:val="26"/>
                <w:lang w:val="ru-RU" w:eastAsia="en-US" w:bidi="ar-SA"/>
              </w:rPr>
              <w:t>,3 (кВт);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star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kern w:val="0"/>
                <w:sz w:val="26"/>
                <w:szCs w:val="26"/>
                <w:lang w:val="ru-RU" w:eastAsia="en-US" w:bidi="ar-SA"/>
              </w:rPr>
              <w:t xml:space="preserve">Подогрев воды - </w:t>
            </w:r>
            <w:hyperlink r:id="rId6">
              <w:r>
                <w:rPr>
                  <w:rStyle w:val="Style8"/>
                  <w:rFonts w:eastAsia="Calibri" w:cs="" w:ascii="PT Astra Serif" w:hAnsi="PT Astra Serif"/>
                  <w:kern w:val="0"/>
                  <w:sz w:val="26"/>
                  <w:szCs w:val="26"/>
                  <w:lang w:val="ru-RU" w:eastAsia="en-US" w:bidi="ar-SA"/>
                </w:rPr>
                <w:t>нет</w:t>
              </w:r>
            </w:hyperlink>
            <w:r>
              <w:rPr>
                <w:rFonts w:eastAsia="Calibri" w:cs="" w:ascii="PT Astra Serif" w:hAnsi="PT Astra Serif"/>
                <w:kern w:val="0"/>
                <w:sz w:val="26"/>
                <w:szCs w:val="26"/>
                <w:lang w:val="ru-RU" w:eastAsia="en-US" w:bidi="ar-SA"/>
              </w:rPr>
              <w:t>;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star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kern w:val="0"/>
                <w:sz w:val="26"/>
                <w:szCs w:val="26"/>
                <w:lang w:val="ru-RU" w:eastAsia="en-US" w:bidi="ar-SA"/>
              </w:rPr>
              <w:t>Возможность забора воды из бочки -</w:t>
            </w:r>
            <w:hyperlink r:id="rId7">
              <w:r>
                <w:rPr>
                  <w:rStyle w:val="Style8"/>
                  <w:rFonts w:eastAsia="Calibri" w:cs="" w:ascii="PT Astra Serif" w:hAnsi="PT Astra Serif"/>
                  <w:kern w:val="0"/>
                  <w:sz w:val="26"/>
                  <w:szCs w:val="26"/>
                  <w:lang w:val="ru-RU" w:eastAsia="en-US" w:bidi="ar-SA"/>
                </w:rPr>
                <w:t>да</w:t>
              </w:r>
            </w:hyperlink>
            <w:r>
              <w:rPr>
                <w:rFonts w:eastAsia="Calibri" w:cs="" w:ascii="PT Astra Serif" w:hAnsi="PT Astra Serif"/>
                <w:kern w:val="0"/>
                <w:sz w:val="26"/>
                <w:szCs w:val="26"/>
                <w:lang w:val="ru-RU" w:eastAsia="en-US" w:bidi="ar-SA"/>
              </w:rPr>
              <w:t>;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star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kern w:val="0"/>
                <w:sz w:val="26"/>
                <w:szCs w:val="26"/>
                <w:lang w:val="ru-RU" w:eastAsia="en-US" w:bidi="ar-SA"/>
              </w:rPr>
              <w:t xml:space="preserve">Производительность не менее </w:t>
            </w:r>
            <w:hyperlink r:id="rId8">
              <w:r>
                <w:rPr>
                  <w:rStyle w:val="Style8"/>
                  <w:rFonts w:eastAsia="Calibri" w:cs="" w:ascii="PT Astra Serif" w:hAnsi="PT Astra Serif"/>
                  <w:kern w:val="0"/>
                  <w:sz w:val="26"/>
                  <w:szCs w:val="26"/>
                  <w:lang w:val="ru-RU" w:eastAsia="en-US" w:bidi="ar-SA"/>
                </w:rPr>
                <w:t>600 л/ч</w:t>
              </w:r>
            </w:hyperlink>
            <w:r>
              <w:rPr>
                <w:rFonts w:eastAsia="Calibri" w:cs="" w:ascii="PT Astra Serif" w:hAnsi="PT Astra Serif"/>
                <w:kern w:val="0"/>
                <w:sz w:val="26"/>
                <w:szCs w:val="26"/>
                <w:lang w:val="ru-RU" w:eastAsia="en-US" w:bidi="ar-SA"/>
              </w:rPr>
              <w:t>;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star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kern w:val="0"/>
                <w:sz w:val="26"/>
                <w:szCs w:val="26"/>
                <w:lang w:val="ru-RU" w:eastAsia="en-US" w:bidi="ar-SA"/>
              </w:rPr>
              <w:t xml:space="preserve">Напряжение питания - </w:t>
            </w:r>
            <w:hyperlink r:id="rId9">
              <w:r>
                <w:rPr>
                  <w:rStyle w:val="Style8"/>
                  <w:rFonts w:eastAsia="Calibri" w:cs="" w:ascii="PT Astra Serif" w:hAnsi="PT Astra Serif"/>
                  <w:kern w:val="0"/>
                  <w:sz w:val="26"/>
                  <w:szCs w:val="26"/>
                  <w:lang w:val="ru-RU" w:eastAsia="en-US" w:bidi="ar-SA"/>
                </w:rPr>
                <w:t>220/230 В</w:t>
              </w:r>
            </w:hyperlink>
            <w:r>
              <w:rPr>
                <w:rFonts w:eastAsia="Calibri" w:cs="" w:ascii="PT Astra Serif" w:hAnsi="PT Astra Serif"/>
                <w:kern w:val="0"/>
                <w:sz w:val="26"/>
                <w:szCs w:val="26"/>
                <w:lang w:val="ru-RU" w:eastAsia="en-US" w:bidi="ar-SA"/>
              </w:rPr>
              <w:t>;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star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kern w:val="0"/>
                <w:sz w:val="26"/>
                <w:szCs w:val="26"/>
                <w:lang w:val="ru-RU" w:eastAsia="en-US" w:bidi="ar-SA"/>
              </w:rPr>
              <w:t xml:space="preserve">Мах рабочее давление - </w:t>
            </w:r>
            <w:hyperlink r:id="rId10">
              <w:r>
                <w:rPr>
                  <w:rStyle w:val="Style8"/>
                  <w:rFonts w:eastAsia="Calibri" w:cs="" w:ascii="PT Astra Serif" w:hAnsi="PT Astra Serif"/>
                  <w:kern w:val="0"/>
                  <w:sz w:val="26"/>
                  <w:szCs w:val="26"/>
                  <w:lang w:val="ru-RU" w:eastAsia="en-US" w:bidi="ar-SA"/>
                </w:rPr>
                <w:t>240 бар</w:t>
              </w:r>
            </w:hyperlink>
            <w:r>
              <w:rPr>
                <w:rFonts w:eastAsia="Calibri" w:cs="" w:ascii="PT Astra Serif" w:hAnsi="PT Astra Serif"/>
                <w:kern w:val="0"/>
                <w:sz w:val="26"/>
                <w:szCs w:val="26"/>
                <w:lang w:val="ru-RU" w:eastAsia="en-US" w:bidi="ar-SA"/>
              </w:rPr>
              <w:t>;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star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kern w:val="0"/>
                <w:sz w:val="26"/>
                <w:szCs w:val="26"/>
                <w:lang w:val="ru-RU" w:eastAsia="en-US" w:bidi="ar-SA"/>
              </w:rPr>
              <w:t>Max давление поступающей воды -</w:t>
            </w:r>
            <w:hyperlink r:id="rId11">
              <w:r>
                <w:rPr>
                  <w:rStyle w:val="Style8"/>
                  <w:rFonts w:eastAsia="Calibri" w:cs="" w:ascii="PT Astra Serif" w:hAnsi="PT Astra Serif"/>
                  <w:kern w:val="0"/>
                  <w:sz w:val="26"/>
                  <w:szCs w:val="26"/>
                  <w:lang w:val="ru-RU" w:eastAsia="en-US" w:bidi="ar-SA"/>
                </w:rPr>
                <w:t>4 бар</w:t>
              </w:r>
            </w:hyperlink>
            <w:r>
              <w:rPr>
                <w:rFonts w:eastAsia="Calibri" w:cs="" w:ascii="PT Astra Serif" w:hAnsi="PT Astra Serif"/>
                <w:kern w:val="0"/>
                <w:sz w:val="26"/>
                <w:szCs w:val="26"/>
                <w:lang w:val="ru-RU" w:eastAsia="en-US" w:bidi="ar-SA"/>
              </w:rPr>
              <w:t>;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star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kern w:val="0"/>
                <w:sz w:val="26"/>
                <w:szCs w:val="26"/>
                <w:lang w:val="ru-RU" w:eastAsia="en-US" w:bidi="ar-SA"/>
              </w:rPr>
              <w:t xml:space="preserve">Длина шланга не менее </w:t>
            </w:r>
            <w:hyperlink r:id="rId12">
              <w:r>
                <w:rPr>
                  <w:rStyle w:val="Style8"/>
                  <w:rFonts w:eastAsia="Calibri" w:cs="" w:ascii="PT Astra Serif" w:hAnsi="PT Astra Serif"/>
                  <w:kern w:val="0"/>
                  <w:sz w:val="26"/>
                  <w:szCs w:val="26"/>
                  <w:lang w:val="ru-RU" w:eastAsia="en-US" w:bidi="ar-SA"/>
                </w:rPr>
                <w:t>10 м</w:t>
              </w:r>
            </w:hyperlink>
            <w:r>
              <w:rPr>
                <w:rFonts w:eastAsia="Calibri" w:cs="" w:ascii="PT Astra Serif" w:hAnsi="PT Astra Serif"/>
                <w:kern w:val="0"/>
                <w:sz w:val="26"/>
                <w:szCs w:val="26"/>
                <w:lang w:val="ru-RU" w:eastAsia="en-US" w:bidi="ar-SA"/>
              </w:rPr>
              <w:t>;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star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kern w:val="0"/>
                <w:sz w:val="26"/>
                <w:szCs w:val="26"/>
                <w:lang w:val="ru-RU" w:eastAsia="en-US" w:bidi="ar-SA"/>
              </w:rPr>
              <w:t xml:space="preserve">Материал помпы - </w:t>
            </w:r>
            <w:hyperlink r:id="rId13">
              <w:r>
                <w:rPr>
                  <w:rStyle w:val="Style8"/>
                  <w:rFonts w:eastAsia="Calibri" w:cs="" w:ascii="PT Astra Serif" w:hAnsi="PT Astra Serif"/>
                  <w:kern w:val="0"/>
                  <w:sz w:val="26"/>
                  <w:szCs w:val="26"/>
                  <w:lang w:val="ru-RU" w:eastAsia="en-US" w:bidi="ar-SA"/>
                </w:rPr>
                <w:t>алюминий</w:t>
              </w:r>
            </w:hyperlink>
            <w:r>
              <w:rPr>
                <w:rFonts w:eastAsia="Calibri" w:cs="" w:ascii="PT Astra Serif" w:hAnsi="PT Astra Serif"/>
                <w:kern w:val="0"/>
                <w:sz w:val="26"/>
                <w:szCs w:val="26"/>
                <w:lang w:val="ru-RU" w:eastAsia="en-US" w:bidi="ar-SA"/>
              </w:rPr>
              <w:t>;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star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kern w:val="0"/>
                <w:sz w:val="26"/>
                <w:szCs w:val="26"/>
                <w:lang w:val="ru-RU" w:eastAsia="en-US" w:bidi="ar-SA"/>
              </w:rPr>
              <w:t>Двигатель – электрический;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star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kern w:val="0"/>
                <w:sz w:val="26"/>
                <w:szCs w:val="26"/>
                <w:lang w:val="ru-RU" w:eastAsia="en-US" w:bidi="ar-SA"/>
              </w:rPr>
              <w:t>Водозаборный фильтр- да;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star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kern w:val="0"/>
                <w:sz w:val="26"/>
                <w:szCs w:val="26"/>
                <w:lang w:val="ru-RU" w:eastAsia="en-US" w:bidi="ar-SA"/>
              </w:rPr>
              <w:t>Пеногенератор латунный не менее 1000 мл в комплекте;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star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kern w:val="0"/>
                <w:sz w:val="26"/>
                <w:szCs w:val="26"/>
                <w:lang w:val="ru-RU" w:eastAsia="en-US" w:bidi="ar-SA"/>
              </w:rPr>
              <w:t>Длина кабеля не менее 5 м;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start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kern w:val="0"/>
                <w:sz w:val="26"/>
                <w:szCs w:val="26"/>
                <w:lang w:val="ru-RU" w:eastAsia="en-US" w:bidi="ar-SA"/>
              </w:rPr>
              <w:t>Регулируемая фреза (3 положения) – да.</w:t>
            </w:r>
          </w:p>
        </w:tc>
        <w:tc>
          <w:tcPr>
            <w:tcW w:w="14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PT Astra Serif" w:hAnsi="PT Astra Serif"/>
                <w:color w:themeColor="text1" w:val="000000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6"/>
                <w:szCs w:val="26"/>
                <w:lang w:val="ru-RU" w:eastAsia="en-US" w:bidi="ar-SA"/>
              </w:rPr>
              <w:t>Шт</w:t>
            </w:r>
          </w:p>
        </w:tc>
        <w:tc>
          <w:tcPr>
            <w:tcW w:w="167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PT Astra Serif" w:hAnsi="PT Astra Serif"/>
                <w:color w:themeColor="text1" w:val="000000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PT Astra Serif" w:hAnsi="PT Astra Serif"/>
                <w:color w:themeColor="text1" w:val="000000"/>
                <w:sz w:val="26"/>
                <w:szCs w:val="26"/>
              </w:rPr>
            </w:pPr>
            <w:r>
              <w:rPr>
                <w:rFonts w:ascii="PT Astra Serif" w:hAnsi="PT Astra Serif"/>
                <w:color w:themeColor="text1" w:val="000000"/>
                <w:sz w:val="26"/>
                <w:szCs w:val="26"/>
              </w:rPr>
            </w:r>
          </w:p>
        </w:tc>
        <w:tc>
          <w:tcPr>
            <w:tcW w:w="23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PT Astra Serif" w:hAnsi="PT Astra Serif"/>
                <w:color w:themeColor="text1" w:val="000000"/>
                <w:sz w:val="26"/>
                <w:szCs w:val="26"/>
              </w:rPr>
            </w:pPr>
            <w:r>
              <w:rPr>
                <w:rFonts w:ascii="PT Astra Serif" w:hAnsi="PT Astra Serif"/>
                <w:color w:themeColor="text1" w:val="000000"/>
                <w:sz w:val="26"/>
                <w:szCs w:val="26"/>
              </w:rPr>
            </w:r>
          </w:p>
        </w:tc>
      </w:tr>
      <w:tr>
        <w:trPr>
          <w:trHeight w:val="293" w:hRule="atLeast"/>
        </w:trPr>
        <w:tc>
          <w:tcPr>
            <w:tcW w:w="713" w:type="dxa"/>
            <w:tcBorders/>
            <w:vAlign w:val="center"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start="0"/>
              <w:contextualSpacing/>
              <w:jc w:val="center"/>
              <w:rPr>
                <w:rFonts w:ascii="PT Astra Serif" w:hAnsi="PT Astra Serif"/>
                <w:color w:themeColor="text1" w:val="000000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11688" w:type="dxa"/>
            <w:gridSpan w:val="4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PT Astra Serif" w:hAnsi="PT Astra Serif"/>
                <w:b/>
                <w:color w:themeColor="text1" w:val="000000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b/>
                <w:color w:themeColor="text1" w:val="000000"/>
                <w:kern w:val="0"/>
                <w:sz w:val="26"/>
                <w:szCs w:val="26"/>
                <w:lang w:val="ru-RU" w:eastAsia="en-US" w:bidi="ar-SA"/>
              </w:rPr>
              <w:t>Итого:</w:t>
            </w:r>
          </w:p>
        </w:tc>
        <w:tc>
          <w:tcPr>
            <w:tcW w:w="23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PT Astra Serif" w:hAnsi="PT Astra Serif"/>
                <w:b/>
                <w:color w:themeColor="text1" w:val="00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themeColor="text1" w:val="000000"/>
                <w:sz w:val="26"/>
                <w:szCs w:val="26"/>
              </w:rPr>
            </w:r>
          </w:p>
        </w:tc>
      </w:tr>
      <w:tr>
        <w:trPr>
          <w:trHeight w:val="293" w:hRule="atLeast"/>
        </w:trPr>
        <w:tc>
          <w:tcPr>
            <w:tcW w:w="12401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PT Astra Serif" w:hAnsi="PT Astra Serif"/>
                <w:b/>
                <w:color w:themeColor="text1" w:val="000000"/>
                <w:sz w:val="26"/>
                <w:szCs w:val="26"/>
              </w:rPr>
            </w:pPr>
            <w:r>
              <w:rPr>
                <w:rFonts w:eastAsia="Calibri" w:cs="" w:ascii="PT Astra Serif" w:hAnsi="PT Astra Serif"/>
                <w:b/>
                <w:color w:themeColor="text1" w:val="000000"/>
                <w:kern w:val="0"/>
                <w:sz w:val="26"/>
                <w:szCs w:val="26"/>
                <w:lang w:val="ru-RU" w:eastAsia="en-US" w:bidi="ar-SA"/>
              </w:rPr>
              <w:t>В том числе НДС 20 %:</w:t>
            </w:r>
          </w:p>
        </w:tc>
        <w:tc>
          <w:tcPr>
            <w:tcW w:w="23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PT Astra Serif" w:hAnsi="PT Astra Serif"/>
                <w:b/>
                <w:color w:themeColor="text1" w:val="00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themeColor="text1" w:val="000000"/>
                <w:sz w:val="26"/>
                <w:szCs w:val="26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Срок поставки - </w:t>
      </w:r>
      <w:r>
        <w:rPr>
          <w:rFonts w:eastAsia="Calibri" w:cs="Times New Roman" w:ascii="Times New Roman" w:hAnsi="Times New Roman"/>
          <w:b/>
          <w:sz w:val="24"/>
          <w:szCs w:val="24"/>
        </w:rPr>
        <w:t>до 15.09.2026</w:t>
      </w:r>
      <w:r>
        <w:rPr>
          <w:rFonts w:eastAsia="Calibri" w:cs="Times New Roman" w:ascii="Times New Roman" w:hAnsi="Times New Roman"/>
          <w:sz w:val="24"/>
          <w:szCs w:val="24"/>
        </w:rPr>
        <w:t>.</w:t>
      </w:r>
    </w:p>
    <w:p>
      <w:pPr>
        <w:pStyle w:val="Normal"/>
        <w:ind w:firstLine="709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Место поставки: 649002 Республика Алтай г. Горно-Алтайск переулок Промышленный,6, в рабочии дни с 09.00 до 18.00.</w:t>
      </w:r>
    </w:p>
    <w:tbl>
      <w:tblPr>
        <w:tblStyle w:val="a5"/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7355"/>
        <w:gridCol w:w="7356"/>
      </w:tblGrid>
      <w:tr>
        <w:trPr/>
        <w:tc>
          <w:tcPr>
            <w:tcW w:w="735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Государственный заказчик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________________/                                     /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м.п.</w:t>
            </w:r>
          </w:p>
        </w:tc>
        <w:tc>
          <w:tcPr>
            <w:tcW w:w="735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Поставщик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________________/                                /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п.м.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14"/>
      <w:headerReference w:type="default" r:id="rId15"/>
      <w:headerReference w:type="first" r:id="rId16"/>
      <w:type w:val="nextPage"/>
      <w:pgSz w:orient="landscape" w:w="16838" w:h="11906"/>
      <w:pgMar w:left="993" w:right="1134" w:gutter="0" w:header="709" w:top="766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59772920"/>
    </w:sdtPr>
    <w:sdtContent>
      <w:p>
        <w:pPr>
          <w:pStyle w:val="Header"/>
          <w:jc w:val="center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 xml:space="preserve"> PAGE 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8</w:t>
        </w:r>
        <w:r>
          <w:rPr>
            <w:sz w:val="18"/>
            <w:szCs w:val="18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59772920"/>
    </w:sdtPr>
    <w:sdtContent>
      <w:p>
        <w:pPr>
          <w:pStyle w:val="Header"/>
          <w:jc w:val="center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 xml:space="preserve"> PAGE 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8</w:t>
        </w:r>
        <w:r>
          <w:rPr>
            <w:sz w:val="18"/>
            <w:szCs w:val="18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59772920"/>
    </w:sdtPr>
    <w:sdtContent>
      <w:p>
        <w:pPr>
          <w:pStyle w:val="Header"/>
          <w:jc w:val="center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 xml:space="preserve"> PAGE 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9</w:t>
        </w:r>
        <w:r>
          <w:rPr>
            <w:sz w:val="18"/>
            <w:szCs w:val="18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59772920"/>
    </w:sdtPr>
    <w:sdtContent>
      <w:p>
        <w:pPr>
          <w:pStyle w:val="Header"/>
          <w:jc w:val="center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 xml:space="preserve"> PAGE 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9</w:t>
        </w:r>
        <w:r>
          <w:rPr>
            <w:sz w:val="18"/>
            <w:szCs w:val="18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>
        <w:rFonts w:ascii="Times New Roman" w:hAnsi="Times New Roman" w:eastAsia="Times New Roman" w:cs="Times New Roman"/>
        <w:b/>
        <w:bCs/>
        <w:i w:val="false"/>
        <w:iCs w:val="false"/>
        <w:caps w:val="false"/>
        <w:smallCaps w:val="false"/>
        <w:strike w:val="false"/>
        <w:dstrike w:val="false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3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сноски Знак"/>
    <w:basedOn w:val="DefaultParagraphFont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qFormat/>
    <w:rPr/>
  </w:style>
  <w:style w:type="character" w:styleId="Style16" w:customStyle="1">
    <w:name w:val="Нижний колонтитул Знак"/>
    <w:basedOn w:val="DefaultParagraphFont"/>
    <w:uiPriority w:val="99"/>
    <w:qFormat/>
    <w:rPr/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shd w:fill="FFFFFF" w:val="clear"/>
    </w:rPr>
  </w:style>
  <w:style w:type="character" w:styleId="21" w:customStyle="1">
    <w:name w:val="Основной текст (2) +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shd w:fill="FFFFFF" w:val="clear"/>
      <w:lang w:val="ru-RU" w:eastAsia="ru-RU" w:bidi="ru-RU"/>
    </w:rPr>
  </w:style>
  <w:style w:type="character" w:styleId="4" w:customStyle="1">
    <w:name w:val="Заголовок №4_"/>
    <w:basedOn w:val="DefaultParagraphFont"/>
    <w:link w:val="41"/>
    <w:qFormat/>
    <w:rPr>
      <w:rFonts w:ascii="Times New Roman" w:hAnsi="Times New Roman" w:eastAsia="Times New Roman" w:cs="Times New Roman"/>
      <w:b/>
      <w:bCs/>
      <w:shd w:fill="FFFFFF" w:val="clear"/>
    </w:rPr>
  </w:style>
  <w:style w:type="character" w:styleId="1" w:customStyle="1">
    <w:name w:val="Заголовок 1 Знак"/>
    <w:basedOn w:val="DefaultParagraphFont"/>
    <w:uiPriority w:val="9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7" w:customStyle="1">
    <w:name w:val="Абзац списка Знак"/>
    <w:link w:val="ListParagraph"/>
    <w:uiPriority w:val="34"/>
    <w:qFormat/>
    <w:rsid w:val="006529ac"/>
    <w:rPr/>
  </w:style>
  <w:style w:type="character" w:styleId="Hyperlink">
    <w:name w:val="Hyperlink"/>
    <w:rPr>
      <w:color w:val="0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FootnoteText">
    <w:name w:val="footnote text"/>
    <w:basedOn w:val="Normal"/>
    <w:link w:val="Style13"/>
    <w:semiHidden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user2">
    <w:name w:val="Колонтитулы (user)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22" w:customStyle="1">
    <w:name w:val="Основной текст (2)"/>
    <w:basedOn w:val="Normal"/>
    <w:link w:val="2"/>
    <w:qFormat/>
    <w:pPr>
      <w:widowControl w:val="false"/>
      <w:shd w:val="clear" w:color="auto" w:fill="FFFFFF"/>
      <w:spacing w:lineRule="atLeast" w:line="0" w:before="240" w:after="360"/>
      <w:jc w:val="both"/>
    </w:pPr>
    <w:rPr>
      <w:rFonts w:ascii="Times New Roman" w:hAnsi="Times New Roman" w:eastAsia="Times New Roman" w:cs="Times New Roman"/>
    </w:rPr>
  </w:style>
  <w:style w:type="paragraph" w:styleId="ListParagraph">
    <w:name w:val="List Paragraph"/>
    <w:basedOn w:val="Normal"/>
    <w:link w:val="Style17"/>
    <w:uiPriority w:val="34"/>
    <w:qFormat/>
    <w:pPr>
      <w:spacing w:before="0" w:after="200"/>
      <w:ind w:start="720"/>
      <w:contextualSpacing/>
    </w:pPr>
    <w:rPr/>
  </w:style>
  <w:style w:type="paragraph" w:styleId="41" w:customStyle="1">
    <w:name w:val="Заголовок №4"/>
    <w:basedOn w:val="Normal"/>
    <w:link w:val="4"/>
    <w:qFormat/>
    <w:pPr>
      <w:widowControl w:val="false"/>
      <w:shd w:val="clear" w:color="auto" w:fill="FFFFFF"/>
      <w:spacing w:lineRule="exact" w:line="245" w:before="0" w:after="240"/>
      <w:jc w:val="center"/>
      <w:outlineLvl w:val="3"/>
    </w:pPr>
    <w:rPr>
      <w:rFonts w:ascii="Times New Roman" w:hAnsi="Times New Roman" w:eastAsia="Times New Roman" w:cs="Times New Roman"/>
      <w:b/>
      <w:bCs/>
    </w:rPr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yperlink" Target="https://www.vseinstrumenti.ru/tag-page/mojki-vysokogo-davleniya-3-kvt-8539/" TargetMode="External"/><Relationship Id="rId6" Type="http://schemas.openxmlformats.org/officeDocument/2006/relationships/hyperlink" Target="https://www.vseinstrumenti.ru/tag-page/mojki-vysokogo-davleniya-bez-podogreva-vody-8487/" TargetMode="External"/><Relationship Id="rId7" Type="http://schemas.openxmlformats.org/officeDocument/2006/relationships/hyperlink" Target="https://www.vseinstrumenti.ru/tag-page/samovsasyvayuschie-mojki-vysokogo-davleniya-4241/" TargetMode="External"/><Relationship Id="rId8" Type="http://schemas.openxmlformats.org/officeDocument/2006/relationships/hyperlink" Target="https://www.vseinstrumenti.ru/tag-page/mojki-vysokogo-davleniya-522-l-ch-2475981/" TargetMode="External"/><Relationship Id="rId9" Type="http://schemas.openxmlformats.org/officeDocument/2006/relationships/hyperlink" Target="https://www.vseinstrumenti.ru/tag-page/mojki-vysokogo-davleniya-220-volt-8483/" TargetMode="External"/><Relationship Id="rId10" Type="http://schemas.openxmlformats.org/officeDocument/2006/relationships/hyperlink" Target="https://www.vseinstrumenti.ru/tag-page/elektricheskie-mojki-vysokogo-davleniya-140-bar-2479455/" TargetMode="External"/><Relationship Id="rId11" Type="http://schemas.openxmlformats.org/officeDocument/2006/relationships/hyperlink" Target="https://www.vseinstrumenti.ru/tag-page/mojki-vysokogo-davleniya-180-bar-8527/" TargetMode="External"/><Relationship Id="rId12" Type="http://schemas.openxmlformats.org/officeDocument/2006/relationships/hyperlink" Target="https://www.vseinstrumenti.ru/tag-page/mojki-vysokogo-davleniya-10-m-2475867/" TargetMode="External"/><Relationship Id="rId13" Type="http://schemas.openxmlformats.org/officeDocument/2006/relationships/hyperlink" Target="https://www.vseinstrumenti.ru/tag-page/minimojki-s-alyuminievoj-pompoj-8508/" TargetMode="External"/><Relationship Id="rId14" Type="http://schemas.openxmlformats.org/officeDocument/2006/relationships/header" Target="header4.xml"/><Relationship Id="rId15" Type="http://schemas.openxmlformats.org/officeDocument/2006/relationships/header" Target="header5.xml"/><Relationship Id="rId16" Type="http://schemas.openxmlformats.org/officeDocument/2006/relationships/header" Target="header6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24041-99B9-4D03-9572-9BB56B245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Application>LibreOffice/25.8.4.2$Linux_X86_64 LibreOffice_project/580$Build-2</Application>
  <AppVersion>15.0000</AppVersion>
  <Pages>9</Pages>
  <Words>643</Words>
  <Characters>4329</Characters>
  <CharactersWithSpaces>5000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2024-11-25T10:35:00Z</dcterms:created>
  <dc:creator>Диспетчерская</dc:creator>
  <dc:description/>
  <dc:language>ru-RU</dc:language>
  <cp:lastModifiedBy/>
  <cp:lastPrinted>2026-09-01T09:22:00Z</cp:lastPrinted>
  <dcterms:modified xsi:type="dcterms:W3CDTF">2026-09-02T10:53:26Z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