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Pr="00D77ECE" w:rsidRDefault="00D77ECE" w:rsidP="00D77ECE">
      <w:pPr>
        <w:pStyle w:val="ab"/>
        <w:ind w:left="250" w:right="57"/>
        <w:jc w:val="center"/>
        <w:rPr>
          <w:b/>
          <w:sz w:val="22"/>
          <w:szCs w:val="22"/>
        </w:rPr>
      </w:pPr>
      <w:r w:rsidRPr="00D77ECE">
        <w:rPr>
          <w:b/>
          <w:sz w:val="22"/>
          <w:szCs w:val="22"/>
        </w:rPr>
        <w:t>Строительные материалы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D21FBA">
        <w:rPr>
          <w:b/>
          <w:bCs/>
          <w:color w:val="000000" w:themeColor="text1"/>
          <w:sz w:val="22"/>
          <w:szCs w:val="22"/>
        </w:rPr>
        <w:t>231</w:t>
      </w:r>
      <w:r w:rsidR="00FB5D0B">
        <w:rPr>
          <w:b/>
          <w:bCs/>
          <w:color w:val="000000" w:themeColor="text1"/>
          <w:sz w:val="22"/>
          <w:szCs w:val="22"/>
        </w:rPr>
        <w:t>2361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D77ECE" w:rsidRPr="00D77ECE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709"/>
        <w:gridCol w:w="1984"/>
        <w:gridCol w:w="3119"/>
        <w:gridCol w:w="2977"/>
      </w:tblGrid>
      <w:tr w:rsidR="00FB5D0B" w:rsidRPr="00FB5D0B" w:rsidTr="00FB5D0B">
        <w:tc>
          <w:tcPr>
            <w:tcW w:w="1560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  <w:t>Предмет контракта</w:t>
            </w:r>
          </w:p>
        </w:tc>
        <w:tc>
          <w:tcPr>
            <w:tcW w:w="850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  <w:t>Ед. изм.</w:t>
            </w:r>
          </w:p>
        </w:tc>
        <w:tc>
          <w:tcPr>
            <w:tcW w:w="1984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  <w:t>Наименование характеристик товара</w:t>
            </w: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Cs w:val="0"/>
                <w:sz w:val="20"/>
                <w:szCs w:val="20"/>
              </w:rPr>
              <w:t>Требования к значению показателя</w:t>
            </w:r>
          </w:p>
        </w:tc>
      </w:tr>
      <w:tr w:rsidR="00FB5D0B" w:rsidRPr="00FB5D0B" w:rsidTr="00FB5D0B">
        <w:trPr>
          <w:trHeight w:val="271"/>
        </w:trPr>
        <w:tc>
          <w:tcPr>
            <w:tcW w:w="1560" w:type="dxa"/>
            <w:vMerge w:val="restart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Строительные материалы</w:t>
            </w:r>
          </w:p>
        </w:tc>
        <w:tc>
          <w:tcPr>
            <w:tcW w:w="850" w:type="dxa"/>
            <w:vMerge w:val="restart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шт</w:t>
            </w:r>
            <w:r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Плита железобетонная для покрытий дорог</w:t>
            </w: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ГОСТ Р 56600-2015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9" w:tgtFrame="_blank" w:history="1">
              <w:r w:rsidRPr="00FB5D0B">
                <w:rPr>
                  <w:rStyle w:val="aff2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Соответствие</w:t>
              </w:r>
            </w:hyperlink>
            <w:r w:rsidRPr="00FB5D0B"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ГОСТ</w:t>
            </w:r>
          </w:p>
        </w:tc>
      </w:tr>
      <w:tr w:rsidR="00FB5D0B" w:rsidRPr="00FB5D0B" w:rsidTr="00FB5D0B">
        <w:trPr>
          <w:trHeight w:val="271"/>
        </w:trPr>
        <w:tc>
          <w:tcPr>
            <w:tcW w:w="156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Высота, мм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B5D0B" w:rsidRPr="00FB5D0B" w:rsidTr="00FB5D0B">
        <w:trPr>
          <w:trHeight w:val="271"/>
        </w:trPr>
        <w:tc>
          <w:tcPr>
            <w:tcW w:w="156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Длина, мм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FB5D0B" w:rsidRPr="00FB5D0B" w:rsidTr="00FB5D0B">
        <w:trPr>
          <w:trHeight w:val="271"/>
        </w:trPr>
        <w:tc>
          <w:tcPr>
            <w:tcW w:w="156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Ширина, мм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jc w:val="center"/>
            </w:pPr>
          </w:p>
        </w:tc>
      </w:tr>
      <w:tr w:rsidR="00FB5D0B" w:rsidRPr="00FB5D0B" w:rsidTr="00FB5D0B">
        <w:trPr>
          <w:trHeight w:val="271"/>
        </w:trPr>
        <w:tc>
          <w:tcPr>
            <w:tcW w:w="156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по конфигурации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Прямоугольная (П)</w:t>
            </w:r>
          </w:p>
        </w:tc>
      </w:tr>
      <w:tr w:rsidR="00FB5D0B" w:rsidRPr="00FB5D0B" w:rsidTr="00FB5D0B">
        <w:trPr>
          <w:trHeight w:val="70"/>
        </w:trPr>
        <w:tc>
          <w:tcPr>
            <w:tcW w:w="156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по назначению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B5D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постоянных дорог</w:t>
            </w:r>
          </w:p>
        </w:tc>
      </w:tr>
      <w:tr w:rsidR="00FB5D0B" w:rsidRPr="00FB5D0B" w:rsidTr="00FB5D0B">
        <w:trPr>
          <w:trHeight w:val="271"/>
        </w:trPr>
        <w:tc>
          <w:tcPr>
            <w:tcW w:w="156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B5D0B"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происхождения</w:t>
            </w:r>
          </w:p>
        </w:tc>
        <w:tc>
          <w:tcPr>
            <w:tcW w:w="2977" w:type="dxa"/>
            <w:vAlign w:val="center"/>
          </w:tcPr>
          <w:p w:rsidR="00FB5D0B" w:rsidRPr="00FB5D0B" w:rsidRDefault="00FB5D0B" w:rsidP="00D1026D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10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FB5D0B" w:rsidRDefault="00FB5D0B" w:rsidP="003A1257">
      <w:pPr>
        <w:jc w:val="right"/>
        <w:rPr>
          <w:bCs/>
          <w:sz w:val="22"/>
          <w:szCs w:val="22"/>
        </w:rPr>
      </w:pPr>
    </w:p>
    <w:p w:rsidR="00FB5D0B" w:rsidRDefault="00FB5D0B" w:rsidP="003A1257">
      <w:pPr>
        <w:jc w:val="right"/>
        <w:rPr>
          <w:bCs/>
          <w:sz w:val="22"/>
          <w:szCs w:val="22"/>
        </w:rPr>
      </w:pPr>
    </w:p>
    <w:p w:rsidR="00FB5D0B" w:rsidRDefault="00FB5D0B" w:rsidP="003A1257">
      <w:pPr>
        <w:jc w:val="right"/>
        <w:rPr>
          <w:bCs/>
          <w:sz w:val="22"/>
          <w:szCs w:val="22"/>
        </w:rPr>
      </w:pPr>
    </w:p>
    <w:p w:rsidR="00FB5D0B" w:rsidRDefault="00FB5D0B" w:rsidP="003A1257">
      <w:pPr>
        <w:jc w:val="right"/>
        <w:rPr>
          <w:bCs/>
          <w:sz w:val="22"/>
          <w:szCs w:val="22"/>
        </w:rPr>
      </w:pPr>
    </w:p>
    <w:p w:rsidR="00FB5D0B" w:rsidRDefault="00FB5D0B" w:rsidP="003A1257">
      <w:pPr>
        <w:jc w:val="right"/>
        <w:rPr>
          <w:bCs/>
          <w:sz w:val="22"/>
          <w:szCs w:val="22"/>
        </w:rPr>
      </w:pPr>
    </w:p>
    <w:p w:rsidR="00FB5D0B" w:rsidRDefault="00FB5D0B" w:rsidP="003A1257">
      <w:pPr>
        <w:jc w:val="right"/>
        <w:rPr>
          <w:bCs/>
          <w:sz w:val="22"/>
          <w:szCs w:val="22"/>
        </w:rPr>
      </w:pPr>
    </w:p>
    <w:p w:rsidR="00FB5D0B" w:rsidRDefault="00FB5D0B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5"/>
        <w:gridCol w:w="854"/>
        <w:gridCol w:w="850"/>
        <w:gridCol w:w="2123"/>
        <w:gridCol w:w="2128"/>
      </w:tblGrid>
      <w:tr w:rsidR="00A615D0" w:rsidRPr="00FD7C53" w:rsidTr="00A615D0">
        <w:trPr>
          <w:trHeight w:val="487"/>
        </w:trPr>
        <w:tc>
          <w:tcPr>
            <w:tcW w:w="114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01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07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014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Align w:val="center"/>
          </w:tcPr>
          <w:p w:rsidR="00F27630" w:rsidRPr="00F27630" w:rsidRDefault="00F27630" w:rsidP="00F27630">
            <w:pPr>
              <w:keepNext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1013" w:type="pct"/>
            <w:vAlign w:val="center"/>
          </w:tcPr>
          <w:p w:rsidR="00F27630" w:rsidRDefault="00FB5D0B" w:rsidP="008A5A66">
            <w:pPr>
              <w:jc w:val="center"/>
              <w:rPr>
                <w:bCs/>
                <w:sz w:val="18"/>
                <w:szCs w:val="18"/>
              </w:rPr>
            </w:pPr>
            <w:r w:rsidRPr="00666468">
              <w:rPr>
                <w:shd w:val="clear" w:color="auto" w:fill="FFFFFF"/>
              </w:rPr>
              <w:t>Плита железобетонная для покрытий дорог</w:t>
            </w:r>
          </w:p>
        </w:tc>
        <w:tc>
          <w:tcPr>
            <w:tcW w:w="407" w:type="pct"/>
            <w:vAlign w:val="center"/>
          </w:tcPr>
          <w:p w:rsidR="00F27630" w:rsidRPr="008A5A66" w:rsidRDefault="00FB5D0B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5" w:type="pct"/>
            <w:vAlign w:val="center"/>
          </w:tcPr>
          <w:p w:rsidR="00F27630" w:rsidRDefault="00FB5D0B" w:rsidP="00F9404C">
            <w:pPr>
              <w:jc w:val="center"/>
            </w:pPr>
            <w:r>
              <w:t>шт.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3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6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D21FBA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1FBA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5D0B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18A6B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229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99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87583&amp;backUrl=" TargetMode="Externa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2F4A-A25D-483E-9FAC-1EFEA99A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15</Pages>
  <Words>5200</Words>
  <Characters>42147</Characters>
  <Application>Microsoft Office Word</Application>
  <DocSecurity>0</DocSecurity>
  <Lines>351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185</cp:revision>
  <cp:lastPrinted>2018-10-24T12:25:00Z</cp:lastPrinted>
  <dcterms:created xsi:type="dcterms:W3CDTF">2024-03-06T07:03:00Z</dcterms:created>
  <dcterms:modified xsi:type="dcterms:W3CDTF">2026-06-17T06:40:00Z</dcterms:modified>
</cp:coreProperties>
</file>