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2ACD7">
      <w:pPr>
        <w:spacing w:after="0" w:line="240" w:lineRule="auto"/>
        <w:jc w:val="center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Техническое</w:t>
      </w:r>
      <w:r>
        <w:rPr>
          <w:rFonts w:hint="default" w:ascii="Times New Roman" w:hAnsi="Times New Roman"/>
          <w:lang w:val="ru-RU"/>
        </w:rPr>
        <w:t xml:space="preserve"> задание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714"/>
        <w:gridCol w:w="6203"/>
      </w:tblGrid>
      <w:tr w14:paraId="11373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52F267D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№ пп.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30154BE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Наименование раздела в техническом задании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60038">
            <w:pPr>
              <w:tabs>
                <w:tab w:val="left" w:pos="900"/>
                <w:tab w:val="left" w:pos="1332"/>
                <w:tab w:val="center" w:pos="2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Описание оказываемых услуг</w:t>
            </w:r>
          </w:p>
        </w:tc>
      </w:tr>
      <w:tr w14:paraId="0121E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344823AB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8FB5B8B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Предмет договора (наименование оказываемых услуг)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AB80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Оказание услуг по страхованию объектов недвижимости </w:t>
            </w:r>
          </w:p>
        </w:tc>
      </w:tr>
      <w:tr w14:paraId="32DA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B967E1F">
            <w:pPr>
              <w:tabs>
                <w:tab w:val="left" w:pos="900"/>
              </w:tabs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hint="default" w:ascii="Times New Roman" w:hAnsi="Times New Roman"/>
                <w:lang w:val="ru-RU"/>
              </w:rPr>
              <w:t>2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18BFC127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Срок действия страхового полиса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45F93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12 месяцев с даты подписания Контракта</w:t>
            </w:r>
          </w:p>
        </w:tc>
      </w:tr>
      <w:tr w14:paraId="08B4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71827E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hint="default" w:ascii="Times New Roman" w:hAnsi="Times New Roman"/>
                <w:lang w:val="ru-RU"/>
              </w:rPr>
              <w:t>3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1FF374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Место оказания услуг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01E260">
            <w:pPr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ascii="Times New Roman" w:hAnsi="Times New Roman"/>
                <w:bCs/>
              </w:rPr>
              <w:t xml:space="preserve"> г. </w:t>
            </w:r>
            <w:r>
              <w:rPr>
                <w:rFonts w:ascii="Times New Roman" w:hAnsi="Times New Roman"/>
                <w:bCs/>
                <w:lang w:val="ru-RU"/>
              </w:rPr>
              <w:t>Керчь</w:t>
            </w:r>
            <w:r>
              <w:rPr>
                <w:rFonts w:hint="default" w:ascii="Times New Roman" w:hAnsi="Times New Roman"/>
                <w:bCs/>
                <w:lang w:val="ru-RU"/>
              </w:rPr>
              <w:t>, ул. Свердлова д.2</w:t>
            </w:r>
          </w:p>
        </w:tc>
      </w:tr>
      <w:tr w14:paraId="5C793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63227F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2701E1DA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Цель использования услуг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45BCE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Возмещение вреда организации причиненного застрахованному имуществу, возникшего вследствие его повреждения, гибели или утраты.</w:t>
            </w:r>
          </w:p>
        </w:tc>
      </w:tr>
      <w:tr w14:paraId="5B6CD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0C0AD93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D4DFC9C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Требования к качеству оказания услуг 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16AEB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- предоставляемые услуги должны соответствовать Закону РФ от 27.11.1992 г. № 4015-1 (ред. от 04.08.2023) «Об организации страхового дела в Российской Федерации»</w:t>
            </w:r>
          </w:p>
          <w:p w14:paraId="59342ED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14:paraId="43F89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C146BB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F792617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Перечень страховых рисков, по которым будет осуществляться страхование объектов недвижимости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502EB2">
            <w:pPr>
              <w:autoSpaceDE w:val="0"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- пожар; </w:t>
            </w:r>
          </w:p>
          <w:p w14:paraId="67C41F3C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удар молнии;</w:t>
            </w:r>
          </w:p>
          <w:p w14:paraId="5C8B91D9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взрыв;</w:t>
            </w:r>
          </w:p>
          <w:p w14:paraId="3D0D8E3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падение летательного аппарата, его частей или груза, в том числе столкновение, удар;</w:t>
            </w:r>
          </w:p>
          <w:p w14:paraId="25EFE0B5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стихийные бедствия;</w:t>
            </w:r>
          </w:p>
          <w:p w14:paraId="468D3796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повреждение водой из систем водоснабжения, отопления, канализации и кондиционирования;</w:t>
            </w:r>
          </w:p>
          <w:p w14:paraId="3FC71503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повреждение веществом из систем пожаротушения;</w:t>
            </w:r>
          </w:p>
          <w:p w14:paraId="142C7E7E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противоправные действия третьих лиц;</w:t>
            </w:r>
          </w:p>
          <w:p w14:paraId="19158D0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кража со взломом, грабеж и разбой.</w:t>
            </w:r>
          </w:p>
          <w:p w14:paraId="2FD6EEFE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Перечень страховых рисков, покрываемых страховым полисом может быть увеличен страховой компанией.</w:t>
            </w:r>
          </w:p>
        </w:tc>
      </w:tr>
    </w:tbl>
    <w:p w14:paraId="5D098D9B"/>
    <w:p w14:paraId="2D07BA5C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28214F6C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5CEE8E05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6FB7448D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56476127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4D54F99A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748FCCD7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3FA41257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4268C4BD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119E4F1B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751730BE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38494AF1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</w:p>
    <w:p w14:paraId="173332DD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Перечень имущества, подлежащего страхованию. </w:t>
      </w:r>
    </w:p>
    <w:p w14:paraId="1D0A2C28">
      <w:pPr>
        <w:widowControl w:val="0"/>
        <w:tabs>
          <w:tab w:val="left" w:pos="567"/>
        </w:tabs>
        <w:suppressAutoHyphens/>
        <w:rPr>
          <w:b/>
          <w:lang w:eastAsia="ar-SA"/>
        </w:rPr>
      </w:pPr>
    </w:p>
    <w:tbl>
      <w:tblPr>
        <w:tblStyle w:val="3"/>
        <w:tblW w:w="6113" w:type="pct"/>
        <w:tblInd w:w="-7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48"/>
        <w:gridCol w:w="987"/>
        <w:gridCol w:w="1526"/>
        <w:gridCol w:w="759"/>
        <w:gridCol w:w="758"/>
        <w:gridCol w:w="935"/>
        <w:gridCol w:w="1374"/>
        <w:gridCol w:w="1452"/>
      </w:tblGrid>
      <w:tr w14:paraId="460C6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56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3E44C4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69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565FDA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color w:val="000000"/>
              </w:rPr>
              <w:t>аименование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объекта</w:t>
            </w:r>
          </w:p>
        </w:tc>
        <w:tc>
          <w:tcPr>
            <w:tcW w:w="47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2F438D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Год окончания постройки</w:t>
            </w:r>
          </w:p>
        </w:tc>
        <w:tc>
          <w:tcPr>
            <w:tcW w:w="73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2B022E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описание конструктивных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элементов здания</w:t>
            </w:r>
          </w:p>
        </w:tc>
        <w:tc>
          <w:tcPr>
            <w:tcW w:w="36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6932D0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площадь,м</w:t>
            </w:r>
            <w:r>
              <w:rPr>
                <w:rFonts w:hint="default"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6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386E84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Наличие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пожарной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сигнализации</w:t>
            </w:r>
          </w:p>
        </w:tc>
        <w:tc>
          <w:tcPr>
            <w:tcW w:w="44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FF81B8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Наличие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охранной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</w:rPr>
              <w:t>сигнализации</w:t>
            </w:r>
          </w:p>
        </w:tc>
        <w:tc>
          <w:tcPr>
            <w:tcW w:w="65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88355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Страховая сумма  </w:t>
            </w:r>
          </w:p>
        </w:tc>
        <w:tc>
          <w:tcPr>
            <w:tcW w:w="69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CF8A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Страховая премия</w:t>
            </w:r>
          </w:p>
        </w:tc>
      </w:tr>
      <w:tr w14:paraId="22CB3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3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7E6F9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DA8BB8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Нежилые помещения (кабинеты), расположенные на первом  этаже лабораторно-административного здания  находящегося по адресу: г. Керчь, ул. Свердлова д.2. ( Кадастровый номер 90:19:010109:2591)</w:t>
            </w: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B3BEC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1959</w:t>
            </w:r>
          </w:p>
        </w:tc>
        <w:tc>
          <w:tcPr>
            <w:tcW w:w="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2E0F9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Трехэтажное,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площадью 2475,6</w:t>
            </w:r>
          </w:p>
          <w:p w14:paraId="0258549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Фундамент – ж/б блоки</w:t>
            </w:r>
          </w:p>
          <w:p w14:paraId="72229000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Перекрытия – ж/б плиты</w:t>
            </w:r>
          </w:p>
          <w:p w14:paraId="2E90D9B8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Внутренняя отделка – простая</w:t>
            </w:r>
          </w:p>
          <w:p w14:paraId="0A44CC0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Водопровод, канализация, отопление - 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автономное угольное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51C466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808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8080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25,6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3CDC5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нет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A2516E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нет</w:t>
            </w: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CF2AAF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526643,29</w:t>
            </w:r>
            <w:r>
              <w:rPr>
                <w:rFonts w:hint="default"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820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</w:p>
        </w:tc>
      </w:tr>
    </w:tbl>
    <w:p w14:paraId="0C00D466">
      <w:pPr>
        <w:widowControl w:val="0"/>
        <w:tabs>
          <w:tab w:val="left" w:pos="567"/>
        </w:tabs>
        <w:suppressAutoHyphens/>
        <w:spacing w:line="240" w:lineRule="auto"/>
        <w:rPr>
          <w:rFonts w:hint="default" w:ascii="Times New Roman" w:hAnsi="Times New Roman" w:cs="Times New Roman"/>
          <w:b/>
          <w:lang w:eastAsia="ar-SA"/>
        </w:rPr>
      </w:pPr>
    </w:p>
    <w:p w14:paraId="761504CE">
      <w:r>
        <w:t>*прим.</w:t>
      </w:r>
    </w:p>
    <w:p w14:paraId="26524A46">
      <w:r>
        <w:t>Страховые случаи за период 202</w:t>
      </w:r>
      <w:r>
        <w:rPr>
          <w:rFonts w:hint="default"/>
          <w:lang w:val="ru-RU"/>
        </w:rPr>
        <w:t>1</w:t>
      </w:r>
      <w:r>
        <w:t>-2026 г. – отсутствуют</w:t>
      </w:r>
    </w:p>
    <w:p w14:paraId="31D2D163"/>
    <w:p w14:paraId="10FC9A94">
      <w:pPr>
        <w:spacing w:after="0" w:line="240" w:lineRule="auto"/>
        <w:rPr>
          <w:rFonts w:ascii="Times New Roman" w:hAnsi="Times New Roman"/>
          <w:b/>
        </w:rPr>
      </w:pPr>
    </w:p>
    <w:p w14:paraId="266226D5">
      <w:pPr>
        <w:spacing w:after="0" w:line="240" w:lineRule="auto"/>
        <w:rPr>
          <w:rFonts w:ascii="Times New Roman" w:hAnsi="Times New Roman"/>
          <w:b/>
        </w:rPr>
      </w:pPr>
    </w:p>
    <w:p w14:paraId="394AADF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E4B7B"/>
    <w:rsid w:val="22AE720D"/>
    <w:rsid w:val="33A977E4"/>
    <w:rsid w:val="4386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2026-07-23T06:35:00Z</dcterms:created>
  <dc:creator>v.kolodieva</dc:creator>
  <cp:lastModifiedBy>V.Kolodieva</cp:lastModifiedBy>
  <dcterms:modified xsi:type="dcterms:W3CDTF">2026-08-12T05:02:25Z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9EE83042C5F942E48DF2D976133E6118_13</vt:lpwstr>
  </property>
</Properties>
</file>