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  <w:t>ТЕХНИЧЕСКОЕ ЗАДАНИЕ</w:t>
      </w:r>
    </w:p>
    <w:p>
      <w:pPr>
        <w:pStyle w:val="Normal"/>
        <w:jc w:val="center"/>
        <w:rPr>
          <w:b/>
        </w:rPr>
      </w:pPr>
      <w:r>
        <w:rPr>
          <w:b/>
        </w:rPr>
        <w:t xml:space="preserve">на </w:t>
      </w:r>
      <w:r>
        <w:rPr>
          <w:rFonts w:eastAsia="Calibri"/>
          <w:b/>
          <w:szCs w:val="28"/>
        </w:rPr>
        <w:t>оказание услуг по определению категорий взрывопожарной и пожарной опасности, классов зон производственных помещений.</w:t>
      </w:r>
    </w:p>
    <w:p>
      <w:pPr>
        <w:pStyle w:val="Normal"/>
        <w:ind w:firstLine="720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98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802"/>
        <w:gridCol w:w="2420"/>
        <w:gridCol w:w="6578"/>
      </w:tblGrid>
      <w:tr>
        <w:trPr/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spacing w:lineRule="exact" w:line="274"/>
              <w:ind w:hanging="0" w:right="10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Раздел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ind w:hanging="0" w:left="72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Перечень основных данных и требований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Lines/>
              <w:widowControl w:val="false"/>
              <w:suppressLineNumbers/>
              <w:shd w:val="clear" w:color="auto" w:fill="FFFFFF"/>
              <w:suppressAutoHyphens w:val="true"/>
              <w:ind w:hanging="0" w:left="-10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Основные данные и требования</w:t>
            </w:r>
          </w:p>
        </w:tc>
      </w:tr>
      <w:tr>
        <w:trPr/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>
                <w:sz w:val="12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hanging="0" w:left="1"/>
              <w:jc w:val="center"/>
              <w:rPr>
                <w:sz w:val="12"/>
              </w:rPr>
            </w:pPr>
            <w:r>
              <w:rPr>
                <w:bCs/>
                <w:sz w:val="12"/>
              </w:rPr>
              <w:t>2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Lines/>
              <w:widowControl w:val="false"/>
              <w:suppressLineNumbers/>
              <w:shd w:val="clear" w:color="auto" w:fill="FFFFFF"/>
              <w:suppressAutoHyphens w:val="true"/>
              <w:jc w:val="center"/>
              <w:rPr>
                <w:sz w:val="12"/>
              </w:rPr>
            </w:pPr>
            <w:r>
              <w:rPr>
                <w:sz w:val="12"/>
              </w:rPr>
              <w:t>3</w:t>
            </w:r>
          </w:p>
        </w:tc>
      </w:tr>
      <w:tr>
        <w:trPr>
          <w:trHeight w:val="9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exact" w:line="274"/>
              <w:ind w:hanging="0" w:right="96"/>
              <w:rPr/>
            </w:pPr>
            <w:r>
              <w:rPr/>
              <w:t>Цель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Оказание услуг по определению категорий взрывопожарной и пожарной опасности, классов зон производственных помещений для нужд </w:t>
            </w:r>
            <w:r>
              <w:rPr>
                <w:rFonts w:eastAsia="Times New Roman" w:cs="Times New Roman"/>
                <w:bCs/>
                <w:color w:val="333333"/>
                <w:sz w:val="24"/>
                <w:szCs w:val="24"/>
                <w:shd w:fill="FFFFFF" w:val="clear"/>
              </w:rPr>
              <w:t>ФКУ «ГБ МСЭ по Тюменской области» Минтруда России</w:t>
            </w:r>
          </w:p>
          <w:p>
            <w:pPr>
              <w:pStyle w:val="NoSpacing"/>
              <w:widowControl w:val="false"/>
              <w:rPr>
                <w:rFonts w:eastAsia="Times New Roman" w:cs="Times New Roman"/>
                <w:bCs/>
                <w:color w:val="333333"/>
                <w:sz w:val="22"/>
                <w:szCs w:val="22"/>
                <w:shd w:fill="FFFFFF" w:val="clear"/>
              </w:rPr>
            </w:pPr>
            <w:r>
              <w:rPr>
                <w:rFonts w:eastAsia="Times New Roman" w:cs="Times New Roman"/>
                <w:bCs/>
                <w:color w:val="333333"/>
                <w:sz w:val="22"/>
                <w:szCs w:val="22"/>
                <w:shd w:fill="FFFFFF" w:val="clear"/>
              </w:rPr>
            </w:r>
          </w:p>
        </w:tc>
      </w:tr>
      <w:tr>
        <w:trPr>
          <w:trHeight w:val="9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exact" w:line="274"/>
              <w:ind w:hanging="0" w:right="96"/>
              <w:rPr>
                <w:lang w:eastAsia="ar-SA"/>
              </w:rPr>
            </w:pPr>
            <w:r>
              <w:rPr/>
              <w:t>Местом выполнения работ (оказания услуг)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</w:tabs>
              <w:jc w:val="both"/>
              <w:rPr>
                <w:bCs/>
                <w:color w:val="333333"/>
                <w:szCs w:val="27"/>
                <w:shd w:fill="FFFFFF" w:val="clear"/>
              </w:rPr>
            </w:pPr>
            <w:r>
              <w:rPr>
                <w:bCs/>
                <w:color w:val="333333"/>
                <w:szCs w:val="27"/>
                <w:shd w:fill="FFFFFF" w:val="clear"/>
              </w:rPr>
              <w:t xml:space="preserve">- </w:t>
            </w:r>
            <w:r>
              <w:rPr>
                <w:rFonts w:eastAsia="Calibri" w:cs="Times New Roman"/>
                <w:bCs/>
                <w:color w:val="333333"/>
                <w:sz w:val="24"/>
                <w:szCs w:val="24"/>
                <w:shd w:fill="FFFFFF" w:val="clear"/>
                <w:lang w:eastAsia="en-US"/>
              </w:rPr>
              <w:t>625031</w:t>
            </w:r>
            <w:r>
              <w:rPr>
                <w:rFonts w:eastAsia="Calibri" w:cs="Times New Roman"/>
                <w:bCs/>
                <w:color w:val="000000"/>
                <w:sz w:val="24"/>
                <w:szCs w:val="24"/>
                <w:shd w:fill="FFFFFF" w:val="clear"/>
                <w:lang w:eastAsia="en-US"/>
              </w:rPr>
              <w:t xml:space="preserve">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shd w:fill="FFFFFF" w:val="clear"/>
                <w:lang w:eastAsia="en-US"/>
              </w:rPr>
              <w:t>г. Тюмень, ул. Шишкова,  д.6, стр.1,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</w:tabs>
              <w:jc w:val="both"/>
              <w:rPr>
                <w:bCs/>
                <w:color w:val="333333"/>
                <w:szCs w:val="27"/>
                <w:shd w:fill="FFFFFF" w:val="clear"/>
              </w:rPr>
            </w:pPr>
            <w:r>
              <w:rPr>
                <w:rFonts w:eastAsia="Times New Roman" w:cs="Times New Roman"/>
                <w:bCs/>
                <w:iCs/>
                <w:color w:val="333333"/>
                <w:sz w:val="24"/>
                <w:szCs w:val="27"/>
                <w:shd w:fill="FFFFFF" w:val="clear"/>
                <w:lang w:eastAsia="en-US"/>
              </w:rPr>
              <w:t xml:space="preserve">- </w:t>
            </w:r>
            <w:r>
              <w:rPr>
                <w:rFonts w:eastAsia="Calibri" w:cs="Times New Roman"/>
                <w:bCs/>
                <w:iCs/>
                <w:color w:val="333333"/>
                <w:sz w:val="24"/>
                <w:szCs w:val="24"/>
                <w:shd w:fill="FFFFFF" w:val="clear"/>
                <w:lang w:eastAsia="en-US"/>
              </w:rPr>
              <w:t>625031</w:t>
            </w:r>
            <w:r>
              <w:rPr>
                <w:rFonts w:eastAsia="Calibri" w:cs="Times New Roman"/>
                <w:bCs/>
                <w:iCs/>
                <w:color w:val="000000"/>
                <w:sz w:val="24"/>
                <w:szCs w:val="24"/>
                <w:shd w:fill="FFFFFF" w:val="clear"/>
                <w:lang w:eastAsia="en-US"/>
              </w:rPr>
              <w:t xml:space="preserve">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shd w:fill="FFFFFF" w:val="clear"/>
                <w:lang w:eastAsia="en-US"/>
              </w:rPr>
              <w:t>г. Тюмень, ул. Шишкова,  д.6, стр.2.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</w:tabs>
              <w:jc w:val="both"/>
              <w:rPr>
                <w:bCs/>
                <w:color w:val="333333"/>
                <w:szCs w:val="27"/>
                <w:shd w:fill="FFFFFF" w:val="clear"/>
              </w:rPr>
            </w:pPr>
            <w:r>
              <w:rPr>
                <w:bCs/>
                <w:color w:val="333333"/>
                <w:szCs w:val="27"/>
                <w:shd w:fill="FFFFFF" w:val="clear"/>
              </w:rPr>
            </w:r>
          </w:p>
        </w:tc>
      </w:tr>
      <w:tr>
        <w:trPr>
          <w:trHeight w:val="9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exact" w:line="274"/>
              <w:ind w:hanging="0" w:right="96"/>
              <w:rPr>
                <w:lang w:eastAsia="ar-SA"/>
              </w:rPr>
            </w:pPr>
            <w:r>
              <w:rPr/>
              <w:t>Сроки оказания услуг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</w:tabs>
              <w:jc w:val="both"/>
              <w:rPr>
                <w:bCs/>
                <w:color w:val="333333"/>
                <w:szCs w:val="27"/>
                <w:shd w:fill="FFFFFF" w:val="clear"/>
              </w:rPr>
            </w:pPr>
            <w:r>
              <w:rPr>
                <w:bCs/>
                <w:color w:val="333333"/>
                <w:szCs w:val="27"/>
                <w:shd w:fill="FFFFFF" w:val="clear"/>
              </w:rPr>
              <w:t>В течении 15 рабочих дней с момента подписания контракта</w:t>
            </w:r>
          </w:p>
        </w:tc>
      </w:tr>
      <w:tr>
        <w:trPr>
          <w:trHeight w:val="9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pacing w:lineRule="exact" w:line="274"/>
              <w:ind w:hanging="0" w:right="96"/>
              <w:rPr/>
            </w:pPr>
            <w:r>
              <w:rPr/>
              <w:t>Условия оказание услуг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42" w:leader="none"/>
                <w:tab w:val="left" w:pos="720" w:leader="none"/>
                <w:tab w:val="left" w:pos="1440" w:leader="none"/>
                <w:tab w:val="left" w:pos="2160" w:leader="none"/>
                <w:tab w:val="left" w:pos="2880" w:leader="none"/>
                <w:tab w:val="left" w:pos="3600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  <w:tab w:val="left" w:pos="7200" w:leader="none"/>
                <w:tab w:val="left" w:pos="7920" w:leader="none"/>
                <w:tab w:val="left" w:pos="8640" w:leader="none"/>
                <w:tab w:val="left" w:pos="9360" w:leader="none"/>
                <w:tab w:val="left" w:pos="10080" w:leader="none"/>
                <w:tab w:val="left" w:pos="10800" w:leader="none"/>
              </w:tabs>
              <w:jc w:val="both"/>
              <w:rPr/>
            </w:pPr>
            <w:r>
              <w:rPr/>
              <w:t>Услуги выполняются в условиях действующих учреждений с массовым пребыванием людей, без остановки уставной деятельности, с согласованием времени оказания услуг с представителями и ответственными лицами, задействованных помещений, с соблюдением правил действующего внутреннего распорядка, пропускного режима, внутренних положений и инструкций, в присутствии специалистов учреждения, ответственных за эксплуатацию средств обеспечения пожарной безопасности;</w:t>
            </w:r>
          </w:p>
        </w:tc>
      </w:tr>
      <w:tr>
        <w:trPr>
          <w:trHeight w:val="9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2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exact" w:line="274"/>
              <w:ind w:hanging="0" w:right="96"/>
              <w:rPr/>
            </w:pPr>
            <w:r>
              <w:rPr/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sz w:val="22"/>
              </w:rPr>
            </w:pPr>
            <w:r>
              <w:rPr/>
              <w:t>Расчет категорий складских и производственных помещений по взрывопожарной и пожарной опасности и определение класса зон осуществляются силами Исполнителя. Исполнитель обеспечивает присутствие на объектах Заказчика своего специалиста для проведения обследования помещений, осуществляет доставку технической документации (заключений и знаков) по адресу Заказчика</w:t>
            </w:r>
          </w:p>
        </w:tc>
      </w:tr>
      <w:tr>
        <w:trPr>
          <w:trHeight w:val="3216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/>
            </w:pPr>
            <w:r>
              <w:rPr/>
              <w:t>6</w:t>
            </w:r>
          </w:p>
        </w:tc>
        <w:tc>
          <w:tcPr>
            <w:tcW w:w="24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exact" w:line="274"/>
              <w:ind w:hanging="0" w:right="96"/>
              <w:rPr/>
            </w:pPr>
            <w:r>
              <w:rPr/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sz w:val="22"/>
              </w:rPr>
            </w:pPr>
            <w:r>
              <w:rPr/>
              <w:t>Исполнитель должен обеспечить на объекте наличие необходимого количества квалифицированного инженерно-технического персонала и рабочих требуемых специальностей, достаточного для оказания всех видов, предусмотренных техническим заданием, услуг;</w:t>
              <w:br/>
              <w:t xml:space="preserve"> - Исполнитель должен обеспечить соблюдение правил привлечения и использования иностранных и иногородних рабочих, установленных законодательством РФ</w:t>
            </w:r>
          </w:p>
        </w:tc>
      </w:tr>
      <w:tr>
        <w:trPr>
          <w:trHeight w:val="9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/>
            </w:pPr>
            <w:r>
              <w:rPr/>
              <w:t>7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exact" w:line="274"/>
              <w:ind w:hanging="0" w:right="96"/>
              <w:rPr>
                <w:lang w:eastAsia="ar-SA"/>
              </w:rPr>
            </w:pPr>
            <w:r>
              <w:rPr>
                <w:color w:val="000000"/>
                <w:lang w:eastAsia="ar-SA"/>
              </w:rPr>
              <w:t>Перечень необходимых мероприятий при оказании услуг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1.</w:t>
              <w:tab/>
              <w:t>Выездное обследование объекта защиты и сбор информации для оказания услуг по проведению расчета в соответствии с техническим заданием.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2.</w:t>
              <w:tab/>
              <w:t>Сбор данных, необходимых для проведения расчета включает в себя: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- площадь помещений;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- высота помещений;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- вид, количество и площадь размещения горючих веществ и материалов;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- высота складирования.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3.</w:t>
              <w:tab/>
              <w:t>Анализ пожароопасных свойств веществ и материалов, хранящихся в помещениях.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4.</w:t>
              <w:tab/>
              <w:t>Определение категорий помещений путем последовательной проверки принадлежности помещения к категориям от наиболее опасной (А) к наименее опасной (Д).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5.</w:t>
              <w:tab/>
              <w:t>Выполнение расчетов в соответствии с методикой, установленной СП 12.13130.2009 «Определение категорий помещений, зданий и наружных установок по взрывопожарной и пожарной опасности».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6.</w:t>
              <w:tab/>
              <w:t>Подготовка и предоставление Заказчику технических заключений на каждое помещение по результатам выполненных расчетов.</w:t>
            </w:r>
          </w:p>
          <w:p>
            <w:pPr>
              <w:pStyle w:val="Normal"/>
              <w:widowControl w:val="false"/>
              <w:suppressAutoHyphens w:val="true"/>
              <w:rPr>
                <w:color w:val="000000"/>
                <w:shd w:fill="FFFFFF" w:val="clear"/>
              </w:rPr>
            </w:pPr>
            <w:r>
              <w:rPr>
                <w:lang w:eastAsia="ar-SA"/>
              </w:rPr>
              <w:t>7.</w:t>
              <w:tab/>
              <w:t>Предоставление Заказчику заполненных знаков «Категория Класс помещения» для каждого помещения, выполненных в соответствии с 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 (с Поправкой) и НПБ 160-97 Цвета сигнальные. Знаки пожарной безопасности. Виды, размеры, общие технические требования.</w:t>
            </w:r>
          </w:p>
        </w:tc>
      </w:tr>
      <w:tr>
        <w:trPr>
          <w:trHeight w:val="9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/>
            </w:pPr>
            <w:r>
              <w:rPr/>
              <w:t>8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exact" w:line="274"/>
              <w:ind w:hanging="0" w:right="96"/>
              <w:rPr>
                <w:color w:val="000000"/>
                <w:lang w:eastAsia="ar-SA"/>
              </w:rPr>
            </w:pPr>
            <w:r>
              <w:rPr>
                <w:color w:val="000000"/>
                <w:lang w:eastAsia="ar-SA"/>
              </w:rPr>
              <w:t>Перечень сооружений, зданий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625031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г. Тюмень, ул. Шишкова, д.6, стр.1, </w:t>
            </w:r>
            <w:r>
              <w:rPr>
                <w:b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b/>
                <w:bCs/>
                <w:kern w:val="0"/>
                <w:sz w:val="22"/>
                <w:szCs w:val="22"/>
                <w:lang w:val="ru-RU" w:bidi="ar-SA"/>
              </w:rPr>
              <w:t>4</w:t>
            </w:r>
            <w:r>
              <w:rPr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помещения</w: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: </w:t>
            </w:r>
            <w:r>
              <w:rPr>
                <w:kern w:val="0"/>
                <w:sz w:val="22"/>
                <w:szCs w:val="22"/>
                <w:lang w:val="ru-RU" w:bidi="ar-SA"/>
              </w:rPr>
              <w:t xml:space="preserve">Архив  – 2; Электрощитовая – 1; </w:t>
            </w:r>
            <w:r>
              <w:rPr>
                <w:kern w:val="0"/>
                <w:sz w:val="22"/>
                <w:szCs w:val="22"/>
                <w:lang w:val="ru-RU" w:eastAsia="ar-SA" w:bidi="ar-SA"/>
              </w:rPr>
              <w:t>Серверная – 1;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rPr>
                <w:sz w:val="22"/>
                <w:szCs w:val="22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625031</w:t>
            </w:r>
            <w:r>
              <w:rPr>
                <w:rFonts w:eastAsia="Calibri" w:cs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г. Тюмень, ул. Шишкова, д.6, стр.2, </w:t>
            </w:r>
            <w:r>
              <w:rPr>
                <w:b/>
                <w:kern w:val="0"/>
                <w:sz w:val="22"/>
                <w:szCs w:val="22"/>
                <w:lang w:val="ru-RU" w:eastAsia="ar-SA" w:bidi="ar-SA"/>
              </w:rPr>
              <w:t xml:space="preserve"> </w:t>
            </w:r>
            <w:r>
              <w:rPr>
                <w:b/>
                <w:bCs/>
                <w:kern w:val="0"/>
                <w:sz w:val="22"/>
                <w:szCs w:val="22"/>
                <w:lang w:val="ru-RU" w:eastAsia="ar-SA" w:bidi="ar-SA"/>
              </w:rPr>
              <w:t>3</w:t>
            </w:r>
            <w:r>
              <w:rPr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 помещения:</w:t>
            </w:r>
            <w:r>
              <w:rPr>
                <w:kern w:val="0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2"/>
                <w:szCs w:val="22"/>
                <w:lang w:val="ru-RU" w:eastAsia="ar-SA" w:bidi="ar-SA"/>
              </w:rPr>
              <w:t>Архив  – 2; Серверная – 1;</w:t>
            </w:r>
          </w:p>
        </w:tc>
      </w:tr>
      <w:tr>
        <w:trPr>
          <w:trHeight w:val="9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/>
            </w:pPr>
            <w:r>
              <w:rPr/>
              <w:t>9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Требования к соответствию нормативным документам:</w:t>
            </w:r>
          </w:p>
          <w:p>
            <w:pPr>
              <w:pStyle w:val="Normal"/>
              <w:widowControl w:val="false"/>
              <w:shd w:val="clear" w:color="auto" w:fill="FFFFFF"/>
              <w:spacing w:lineRule="exact" w:line="274"/>
              <w:ind w:hanging="0" w:right="96"/>
              <w:rPr>
                <w:lang w:eastAsia="ar-SA"/>
              </w:rPr>
            </w:pPr>
            <w:r>
              <w:rPr>
                <w:lang w:eastAsia="ar-SA"/>
              </w:rPr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-</w:t>
              <w:tab/>
              <w:t xml:space="preserve">Федеральный закон от 22.07.2008 № 123-ФЗ «Технический регламент о требованиях пожарной безопасности». 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-</w:t>
              <w:tab/>
              <w:t xml:space="preserve">ГОСТ 12.1.004-91. Пожарная безопасность. Общие требования. 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-</w:t>
              <w:tab/>
              <w:t xml:space="preserve">ГОСТ 12.1.044-89. Пожаровзрывоопасность веществ и материалов. Номенклатура показателей и методы их определения. 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-</w:t>
              <w:tab/>
              <w:t xml:space="preserve">ГОСТ 12.4.026-2015 Система стандартов безопасности труда (ССБТ). Цвета сигнальные, знаки безопасности и разметка сигнальная. Назначение и правила применения. Общие технические требования и характеристики. 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-</w:t>
              <w:tab/>
              <w:t xml:space="preserve">СП 12.13130.2009. Определение категорий помещений, зданий и наружных установок по взрывопожарной и пожарной опасности. </w:t>
            </w:r>
          </w:p>
          <w:p>
            <w:pPr>
              <w:pStyle w:val="Normal"/>
              <w:widowControl w:val="false"/>
              <w:suppressAutoHyphens w:val="true"/>
              <w:rPr>
                <w:lang w:eastAsia="ar-SA"/>
              </w:rPr>
            </w:pPr>
            <w:r>
              <w:rPr>
                <w:lang w:eastAsia="ar-SA"/>
              </w:rPr>
              <w:t>-</w:t>
              <w:tab/>
              <w:t>НПБ 23-2001. Пожарная опасность технологических сред. Номенклатура показателей.</w:t>
            </w:r>
          </w:p>
          <w:p>
            <w:pPr>
              <w:pStyle w:val="Normal"/>
              <w:widowControl w:val="false"/>
              <w:suppressAutoHyphens w:val="true"/>
              <w:rPr>
                <w:color w:val="000000"/>
                <w:shd w:fill="FFFFFF" w:val="clear"/>
              </w:rPr>
            </w:pPr>
            <w:r>
              <w:rPr>
                <w:lang w:eastAsia="ar-SA"/>
              </w:rPr>
              <w:t>-</w:t>
              <w:tab/>
              <w:t>НПБ 160-97. Нормы пожарной безопасности. Цвета сигнальные. Знаки пожарной безопасности. Виды, размеры, общие технические требования.</w:t>
            </w:r>
          </w:p>
        </w:tc>
      </w:tr>
      <w:tr>
        <w:trPr>
          <w:trHeight w:val="90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05" w:leader="none"/>
              </w:tabs>
              <w:jc w:val="center"/>
              <w:rPr/>
            </w:pPr>
            <w:r>
              <w:rPr/>
              <w:t>10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exact" w:line="274"/>
              <w:ind w:hanging="0" w:right="96"/>
              <w:rPr>
                <w:lang w:eastAsia="ar-SA"/>
              </w:rPr>
            </w:pPr>
            <w:r>
              <w:rPr>
                <w:bCs/>
                <w:color w:val="000000"/>
                <w:lang w:eastAsia="ar-SA"/>
              </w:rPr>
              <w:t>Требования к безопасности оказываемых услуг:</w:t>
            </w:r>
          </w:p>
        </w:tc>
        <w:tc>
          <w:tcPr>
            <w:tcW w:w="6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ind w:hanging="0"/>
              <w:rPr>
                <w:color w:val="000000"/>
                <w:shd w:fill="FFFFFF" w:val="clear"/>
              </w:rPr>
            </w:pPr>
            <w:r>
              <w:rPr>
                <w:lang w:eastAsia="ar-SA"/>
              </w:rPr>
              <w:t>Исполнитель при оказании услуг должен соблюдать технику безопасности, обеспечивать выполнение противопожарных мероприятий на объекте Заказчика при оказании услуг и обследовании объекта.</w:t>
            </w:r>
          </w:p>
        </w:tc>
      </w:tr>
    </w:tbl>
    <w:p>
      <w:pPr>
        <w:pStyle w:val="Normal"/>
        <w:rPr>
          <w:sz w:val="22"/>
        </w:rPr>
      </w:pPr>
      <w:r>
        <w:rPr>
          <w:sz w:val="22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p>
      <w:pPr>
        <w:pStyle w:val="Normal"/>
        <w:rPr>
          <w:szCs w:val="28"/>
        </w:rPr>
      </w:pPr>
      <w:r>
        <w:rPr>
          <w:szCs w:val="28"/>
        </w:rPr>
      </w:r>
    </w:p>
    <w:sectPr>
      <w:type w:val="nextPage"/>
      <w:pgSz w:w="11906" w:h="16838"/>
      <w:pgMar w:left="1701" w:right="850" w:gutter="0" w:header="0" w:top="851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Consolas">
    <w:charset w:val="01"/>
    <w:family w:val="roman"/>
    <w:pitch w:val="default"/>
  </w:font>
  <w:font w:name="PT Astra Serif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b684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72b82"/>
    <w:rPr>
      <w:rFonts w:ascii="Segoe UI" w:hAnsi="Segoe UI" w:eastAsia="Times New Roman" w:cs="Segoe UI"/>
      <w:sz w:val="18"/>
      <w:szCs w:val="18"/>
      <w:lang w:eastAsia="ru-RU"/>
    </w:rPr>
  </w:style>
  <w:style w:type="character" w:styleId="apple-converted-space" w:customStyle="1">
    <w:name w:val="apple-converted-space"/>
    <w:basedOn w:val="DefaultParagraphFont"/>
    <w:qFormat/>
    <w:rsid w:val="00f66dff"/>
    <w:rPr/>
  </w:style>
  <w:style w:type="character" w:styleId="Strong">
    <w:name w:val="Strong"/>
    <w:basedOn w:val="DefaultParagraphFont"/>
    <w:uiPriority w:val="22"/>
    <w:qFormat/>
    <w:rsid w:val="00f66dff"/>
    <w:rPr>
      <w:b/>
      <w:bCs/>
    </w:rPr>
  </w:style>
  <w:style w:type="character" w:styleId="Style15" w:customStyle="1">
    <w:name w:val="Текст Знак"/>
    <w:basedOn w:val="DefaultParagraphFont"/>
    <w:link w:val="PlainText"/>
    <w:uiPriority w:val="99"/>
    <w:qFormat/>
    <w:rsid w:val="00f66dff"/>
    <w:rPr>
      <w:rFonts w:ascii="Consolas" w:hAnsi="Consolas"/>
      <w:sz w:val="21"/>
      <w:szCs w:val="21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0c1c86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FreeSans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72b82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99"/>
    <w:qFormat/>
    <w:rsid w:val="00f66dff"/>
    <w:pPr>
      <w:spacing w:before="0" w:after="0"/>
      <w:ind w:hanging="0" w:left="720"/>
      <w:contextualSpacing/>
    </w:pPr>
    <w:rPr/>
  </w:style>
  <w:style w:type="paragraph" w:styleId="PlainText">
    <w:name w:val="Plain Text"/>
    <w:basedOn w:val="Normal"/>
    <w:link w:val="Style15"/>
    <w:uiPriority w:val="99"/>
    <w:unhideWhenUsed/>
    <w:qFormat/>
    <w:rsid w:val="00f66dff"/>
    <w:pPr/>
    <w:rPr>
      <w:rFonts w:ascii="Consolas" w:hAnsi="Consolas" w:eastAsia="Calibri" w:cs="" w:cstheme="minorBidi" w:eastAsiaTheme="minorHAnsi"/>
      <w:sz w:val="21"/>
      <w:szCs w:val="21"/>
      <w:lang w:eastAsia="en-US"/>
    </w:rPr>
  </w:style>
  <w:style w:type="paragraph" w:styleId="2" w:customStyle="1">
    <w:name w:val="Абзац списка2"/>
    <w:basedOn w:val="Normal"/>
    <w:qFormat/>
    <w:rsid w:val="000c1c86"/>
    <w:pPr>
      <w:widowControl w:val="false"/>
      <w:suppressAutoHyphens w:val="true"/>
      <w:ind w:hanging="0" w:left="720"/>
    </w:pPr>
    <w:rPr>
      <w:rFonts w:ascii="Arial" w:hAnsi="Arial" w:cs="Arial"/>
      <w:color w:val="000000"/>
      <w:sz w:val="20"/>
      <w:szCs w:val="20"/>
      <w:lang w:eastAsia="ar-SA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Footer">
    <w:name w:val="footer"/>
    <w:basedOn w:val="Normal"/>
    <w:link w:val="Style16"/>
    <w:uiPriority w:val="99"/>
    <w:semiHidden/>
    <w:unhideWhenUsed/>
    <w:rsid w:val="000c1c86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111" w:customStyle="1">
    <w:name w:val="Style11"/>
    <w:basedOn w:val="Normal"/>
    <w:qFormat/>
    <w:rsid w:val="001856cb"/>
    <w:pPr>
      <w:widowControl w:val="false"/>
      <w:jc w:val="both"/>
    </w:pPr>
    <w:rPr>
      <w:color w:val="000000"/>
    </w:rPr>
  </w:style>
  <w:style w:type="paragraph" w:styleId="NoSpacing">
    <w:name w:val="No Spacing"/>
    <w:uiPriority w:val="1"/>
    <w:qFormat/>
    <w:rsid w:val="004b5145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Application>LibreOffice/25.2.6.2$Linux_X86_64 LibreOffice_project/520$Build-2</Application>
  <AppVersion>15.0000</AppVersion>
  <Pages>2</Pages>
  <Words>561</Words>
  <Characters>4009</Characters>
  <CharactersWithSpaces>4533</CharactersWithSpaces>
  <Paragraphs>54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2022-01-14T06:35:00Z</dcterms:created>
  <dc:creator>Андрей Волков</dc:creator>
  <dc:description/>
  <dc:language>ru-RU</dc:language>
  <cp:lastModifiedBy/>
  <cp:lastPrinted>2026-08-26T08:53:17Z</cp:lastPrinted>
  <dcterms:modified xsi:type="dcterms:W3CDTF">2026-08-26T08:51:36Z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