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FD0" w:rsidRPr="00207D8F" w:rsidRDefault="00CC4FD0" w:rsidP="00CC4FD0">
      <w:pPr>
        <w:ind w:firstLine="0"/>
        <w:jc w:val="center"/>
        <w:rPr>
          <w:szCs w:val="28"/>
        </w:rPr>
      </w:pPr>
      <w:r w:rsidRPr="00207D8F">
        <w:rPr>
          <w:b/>
          <w:bCs/>
          <w:szCs w:val="28"/>
        </w:rPr>
        <w:t>ОБОСНОВАНИЕ</w:t>
      </w:r>
    </w:p>
    <w:p w:rsidR="00CC4FD0" w:rsidRPr="00207D8F" w:rsidRDefault="00CC4FD0" w:rsidP="00CC4FD0">
      <w:pPr>
        <w:ind w:firstLine="0"/>
        <w:jc w:val="center"/>
        <w:rPr>
          <w:szCs w:val="28"/>
        </w:rPr>
      </w:pPr>
      <w:r w:rsidRPr="00207D8F">
        <w:rPr>
          <w:szCs w:val="28"/>
        </w:rPr>
        <w:t xml:space="preserve">цены контракта при закупке у единственного поставщика </w:t>
      </w:r>
    </w:p>
    <w:p w:rsidR="00CC4FD0" w:rsidRPr="00207D8F" w:rsidRDefault="00CC4FD0" w:rsidP="00CC4FD0">
      <w:pPr>
        <w:ind w:firstLine="0"/>
        <w:jc w:val="center"/>
        <w:rPr>
          <w:szCs w:val="28"/>
        </w:rPr>
      </w:pPr>
      <w:r w:rsidRPr="00207D8F">
        <w:rPr>
          <w:szCs w:val="28"/>
        </w:rPr>
        <w:t>(подрядчика, исполнителя)</w:t>
      </w:r>
    </w:p>
    <w:p w:rsidR="00CC4FD0" w:rsidRPr="00207D8F" w:rsidRDefault="00CC4FD0" w:rsidP="00CC4FD0">
      <w:pPr>
        <w:rPr>
          <w:b/>
          <w:bCs/>
          <w:szCs w:val="28"/>
        </w:rPr>
      </w:pPr>
    </w:p>
    <w:tbl>
      <w:tblPr>
        <w:tblW w:w="1484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7"/>
        <w:gridCol w:w="11078"/>
        <w:gridCol w:w="1182"/>
        <w:gridCol w:w="2057"/>
      </w:tblGrid>
      <w:tr w:rsidR="00CC4FD0" w:rsidRPr="00207D8F" w:rsidTr="00A51192">
        <w:trPr>
          <w:trHeight w:val="142"/>
          <w:jc w:val="center"/>
        </w:trPr>
        <w:tc>
          <w:tcPr>
            <w:tcW w:w="527" w:type="dxa"/>
          </w:tcPr>
          <w:p w:rsidR="00CC4FD0" w:rsidRPr="00207D8F" w:rsidRDefault="00CC4FD0" w:rsidP="00A123CB">
            <w:pPr>
              <w:rPr>
                <w:szCs w:val="28"/>
              </w:rPr>
            </w:pPr>
          </w:p>
        </w:tc>
        <w:tc>
          <w:tcPr>
            <w:tcW w:w="11078" w:type="dxa"/>
            <w:vAlign w:val="center"/>
          </w:tcPr>
          <w:p w:rsidR="00CC4FD0" w:rsidRPr="00207D8F" w:rsidRDefault="00CC4FD0" w:rsidP="00207D8F">
            <w:pPr>
              <w:jc w:val="center"/>
              <w:rPr>
                <w:b/>
                <w:bCs/>
                <w:szCs w:val="28"/>
              </w:rPr>
            </w:pPr>
            <w:r w:rsidRPr="00207D8F">
              <w:rPr>
                <w:b/>
                <w:bCs/>
                <w:szCs w:val="28"/>
              </w:rPr>
              <w:t xml:space="preserve">Наименование </w:t>
            </w:r>
            <w:r w:rsidR="00207D8F">
              <w:rPr>
                <w:b/>
                <w:bCs/>
                <w:szCs w:val="28"/>
              </w:rPr>
              <w:t xml:space="preserve">и характеристики </w:t>
            </w:r>
            <w:r w:rsidRPr="00207D8F">
              <w:rPr>
                <w:b/>
                <w:bCs/>
                <w:szCs w:val="28"/>
              </w:rPr>
              <w:t>предмета контракта</w:t>
            </w:r>
          </w:p>
        </w:tc>
        <w:tc>
          <w:tcPr>
            <w:tcW w:w="1182" w:type="dxa"/>
            <w:vAlign w:val="center"/>
          </w:tcPr>
          <w:p w:rsidR="00CC4FD0" w:rsidRPr="00207D8F" w:rsidRDefault="00CC4FD0" w:rsidP="0045317A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207D8F">
              <w:rPr>
                <w:b/>
                <w:bCs/>
                <w:szCs w:val="28"/>
              </w:rPr>
              <w:t xml:space="preserve">Ед. </w:t>
            </w:r>
            <w:proofErr w:type="spellStart"/>
            <w:r w:rsidRPr="00207D8F">
              <w:rPr>
                <w:b/>
                <w:bCs/>
                <w:szCs w:val="28"/>
              </w:rPr>
              <w:t>изм</w:t>
            </w:r>
            <w:proofErr w:type="spellEnd"/>
          </w:p>
        </w:tc>
        <w:tc>
          <w:tcPr>
            <w:tcW w:w="2057" w:type="dxa"/>
            <w:vAlign w:val="center"/>
          </w:tcPr>
          <w:p w:rsidR="00CC4FD0" w:rsidRPr="00207D8F" w:rsidRDefault="00CC4FD0" w:rsidP="0045317A">
            <w:pPr>
              <w:ind w:firstLine="0"/>
              <w:jc w:val="center"/>
              <w:rPr>
                <w:b/>
                <w:bCs/>
                <w:szCs w:val="28"/>
              </w:rPr>
            </w:pPr>
            <w:r w:rsidRPr="00207D8F">
              <w:rPr>
                <w:b/>
                <w:bCs/>
                <w:szCs w:val="28"/>
              </w:rPr>
              <w:t>кол-во</w:t>
            </w:r>
          </w:p>
        </w:tc>
      </w:tr>
      <w:tr w:rsidR="000A7169" w:rsidRPr="00207D8F" w:rsidTr="00B4572D">
        <w:trPr>
          <w:jc w:val="center"/>
        </w:trPr>
        <w:tc>
          <w:tcPr>
            <w:tcW w:w="527" w:type="dxa"/>
            <w:vAlign w:val="center"/>
          </w:tcPr>
          <w:p w:rsidR="000A7169" w:rsidRPr="00207D8F" w:rsidRDefault="000A7169" w:rsidP="000A7169">
            <w:pPr>
              <w:numPr>
                <w:ilvl w:val="0"/>
                <w:numId w:val="2"/>
              </w:numPr>
              <w:ind w:hanging="720"/>
              <w:rPr>
                <w:szCs w:val="28"/>
              </w:rPr>
            </w:pPr>
          </w:p>
        </w:tc>
        <w:tc>
          <w:tcPr>
            <w:tcW w:w="11078" w:type="dxa"/>
          </w:tcPr>
          <w:p w:rsidR="000A7169" w:rsidRPr="00B4572D" w:rsidRDefault="00B4572D" w:rsidP="000A7169">
            <w:pPr>
              <w:spacing w:line="276" w:lineRule="auto"/>
              <w:ind w:firstLine="0"/>
              <w:jc w:val="left"/>
              <w:rPr>
                <w:rFonts w:ascii="PT Astra Serif" w:hAnsi="PT Astra Serif"/>
                <w:spacing w:val="-8"/>
                <w:szCs w:val="28"/>
              </w:rPr>
            </w:pPr>
            <w:r w:rsidRPr="00B4572D">
              <w:rPr>
                <w:rFonts w:ascii="PT Astra Serif" w:hAnsi="PT Astra Serif"/>
                <w:spacing w:val="-8"/>
                <w:szCs w:val="28"/>
              </w:rPr>
              <w:t>Конвертер для обработки видеосигнала</w:t>
            </w:r>
            <w:r>
              <w:rPr>
                <w:rFonts w:ascii="PT Astra Serif" w:hAnsi="PT Astra Serif"/>
                <w:spacing w:val="-8"/>
                <w:szCs w:val="28"/>
              </w:rPr>
              <w:t>.</w:t>
            </w:r>
          </w:p>
          <w:tbl>
            <w:tblPr>
              <w:tblW w:w="975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38"/>
              <w:gridCol w:w="12"/>
            </w:tblGrid>
            <w:tr w:rsidR="00B4572D" w:rsidRPr="00B4572D" w:rsidTr="00B4572D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4572D" w:rsidRPr="00B4572D" w:rsidRDefault="00B4572D" w:rsidP="00B4572D">
                  <w:pPr>
                    <w:ind w:firstLine="0"/>
                    <w:jc w:val="left"/>
                    <w:rPr>
                      <w:rFonts w:ascii="PT Astra Serif" w:eastAsia="Times New Roman" w:hAnsi="PT Astra Serif" w:cs="Arial"/>
                      <w:bCs/>
                      <w:color w:val="0F0F10"/>
                      <w:szCs w:val="28"/>
                      <w:bdr w:val="none" w:sz="0" w:space="0" w:color="auto" w:frame="1"/>
                      <w:lang w:eastAsia="ru-RU"/>
                    </w:rPr>
                  </w:pPr>
                  <w:r w:rsidRPr="00B4572D">
                    <w:rPr>
                      <w:rFonts w:ascii="PT Astra Serif" w:eastAsia="Times New Roman" w:hAnsi="PT Astra Serif" w:cs="Arial"/>
                      <w:bCs/>
                      <w:color w:val="0F0F10"/>
                      <w:szCs w:val="28"/>
                      <w:bdr w:val="none" w:sz="0" w:space="0" w:color="auto" w:frame="1"/>
                      <w:lang w:eastAsia="ru-RU"/>
                    </w:rPr>
                    <w:t>Скорость линейного порта: 1000 Мбит/</w:t>
                  </w:r>
                  <w:proofErr w:type="gramStart"/>
                  <w:r w:rsidRPr="00B4572D">
                    <w:rPr>
                      <w:rFonts w:ascii="PT Astra Serif" w:eastAsia="Times New Roman" w:hAnsi="PT Astra Serif" w:cs="Arial"/>
                      <w:bCs/>
                      <w:color w:val="0F0F10"/>
                      <w:szCs w:val="28"/>
                      <w:bdr w:val="none" w:sz="0" w:space="0" w:color="auto" w:frame="1"/>
                      <w:lang w:eastAsia="ru-RU"/>
                    </w:rPr>
                    <w:t>с</w:t>
                  </w:r>
                  <w:proofErr w:type="gramEnd"/>
                </w:p>
                <w:p w:rsidR="00B4572D" w:rsidRPr="00B4572D" w:rsidRDefault="00B4572D" w:rsidP="00B4572D">
                  <w:pPr>
                    <w:ind w:firstLine="0"/>
                    <w:jc w:val="left"/>
                    <w:rPr>
                      <w:rFonts w:ascii="PT Astra Serif" w:hAnsi="PT Astra Serif" w:cs="Arial"/>
                      <w:bCs/>
                      <w:color w:val="0F0F10"/>
                      <w:szCs w:val="28"/>
                      <w:shd w:val="clear" w:color="auto" w:fill="FFFFFF"/>
                      <w:lang w:val="en-US"/>
                    </w:rPr>
                  </w:pPr>
                  <w:r w:rsidRPr="00B4572D">
                    <w:rPr>
                      <w:rFonts w:ascii="PT Astra Serif" w:hAnsi="PT Astra Serif" w:cs="Arial"/>
                      <w:bCs/>
                      <w:color w:val="0F0F10"/>
                      <w:szCs w:val="28"/>
                      <w:shd w:val="clear" w:color="auto" w:fill="FFFFFF"/>
                    </w:rPr>
                    <w:t xml:space="preserve">Тип линейного порта: </w:t>
                  </w:r>
                  <w:r w:rsidRPr="00B4572D">
                    <w:rPr>
                      <w:rFonts w:ascii="PT Astra Serif" w:hAnsi="PT Astra Serif" w:cs="Arial"/>
                      <w:bCs/>
                      <w:color w:val="0F0F10"/>
                      <w:szCs w:val="28"/>
                      <w:shd w:val="clear" w:color="auto" w:fill="FFFFFF"/>
                      <w:lang w:val="en-US"/>
                    </w:rPr>
                    <w:t>SFP</w:t>
                  </w:r>
                </w:p>
                <w:p w:rsidR="00B4572D" w:rsidRPr="00B4572D" w:rsidRDefault="00B4572D" w:rsidP="00B4572D">
                  <w:pPr>
                    <w:ind w:firstLine="0"/>
                    <w:jc w:val="left"/>
                    <w:rPr>
                      <w:rFonts w:ascii="PT Astra Serif" w:hAnsi="PT Astra Serif" w:cs="Arial"/>
                      <w:color w:val="0F0F10"/>
                      <w:szCs w:val="28"/>
                      <w:shd w:val="clear" w:color="auto" w:fill="FFFFFF"/>
                    </w:rPr>
                  </w:pPr>
                  <w:r w:rsidRPr="00B4572D">
                    <w:rPr>
                      <w:rFonts w:ascii="PT Astra Serif" w:hAnsi="PT Astra Serif" w:cs="Arial"/>
                      <w:bCs/>
                      <w:color w:val="0F0F10"/>
                      <w:szCs w:val="28"/>
                      <w:shd w:val="clear" w:color="auto" w:fill="FFFFFF"/>
                    </w:rPr>
                    <w:t xml:space="preserve">Тип клиентского порта: </w:t>
                  </w:r>
                  <w:r w:rsidRPr="00B4572D">
                    <w:rPr>
                      <w:rFonts w:ascii="PT Astra Serif" w:hAnsi="PT Astra Serif" w:cs="Arial"/>
                      <w:color w:val="0F0F10"/>
                      <w:szCs w:val="28"/>
                      <w:shd w:val="clear" w:color="auto" w:fill="FFFFFF"/>
                    </w:rPr>
                    <w:t>RJ-45 (8P8C)</w:t>
                  </w:r>
                </w:p>
                <w:p w:rsidR="00B4572D" w:rsidRDefault="00B4572D" w:rsidP="00B4572D">
                  <w:pPr>
                    <w:ind w:firstLine="0"/>
                    <w:jc w:val="left"/>
                    <w:rPr>
                      <w:rFonts w:ascii="PT Astra Serif" w:hAnsi="PT Astra Serif" w:cs="Arial"/>
                      <w:color w:val="0F0F10"/>
                      <w:szCs w:val="28"/>
                      <w:shd w:val="clear" w:color="auto" w:fill="FFFFFF"/>
                    </w:rPr>
                  </w:pPr>
                  <w:r w:rsidRPr="00B4572D">
                    <w:rPr>
                      <w:rFonts w:ascii="PT Astra Serif" w:hAnsi="PT Astra Serif" w:cs="Arial"/>
                      <w:bCs/>
                      <w:color w:val="0F0F10"/>
                      <w:szCs w:val="28"/>
                      <w:shd w:val="clear" w:color="auto" w:fill="FFFFFF"/>
                    </w:rPr>
                    <w:t>Максимальный размер пакета:</w:t>
                  </w:r>
                  <w:r w:rsidRPr="00B4572D">
                    <w:rPr>
                      <w:rFonts w:ascii="PT Astra Serif" w:hAnsi="PT Astra Serif" w:cs="Arial"/>
                      <w:color w:val="0F0F10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Pr="00B4572D">
                    <w:rPr>
                      <w:rFonts w:ascii="PT Astra Serif" w:hAnsi="PT Astra Serif" w:cs="Arial"/>
                      <w:color w:val="0F0F10"/>
                      <w:szCs w:val="28"/>
                      <w:shd w:val="clear" w:color="auto" w:fill="FFFFFF"/>
                    </w:rPr>
                    <w:t>9000 байт</w:t>
                  </w:r>
                </w:p>
                <w:p w:rsidR="00B4572D" w:rsidRPr="00CD6DA0" w:rsidRDefault="00B4572D" w:rsidP="00CD6DA0">
                  <w:pPr>
                    <w:pStyle w:val="af"/>
                    <w:spacing w:before="0" w:beforeAutospacing="0" w:after="0" w:afterAutospacing="0"/>
                    <w:textAlignment w:val="baseline"/>
                    <w:rPr>
                      <w:rFonts w:ascii="PT Astra Serif" w:hAnsi="PT Astra Serif"/>
                      <w:sz w:val="28"/>
                      <w:szCs w:val="28"/>
                    </w:rPr>
                  </w:pPr>
                  <w:r w:rsidRPr="00CD6DA0">
                    <w:rPr>
                      <w:rFonts w:ascii="PT Astra Serif" w:hAnsi="PT Astra Serif" w:cs="Arial"/>
                      <w:bCs/>
                      <w:color w:val="0F0F10"/>
                      <w:sz w:val="28"/>
                      <w:szCs w:val="28"/>
                      <w:shd w:val="clear" w:color="auto" w:fill="FFFFFF"/>
                    </w:rPr>
                    <w:t>Блок питания:</w:t>
                  </w:r>
                  <w:r w:rsidRPr="00CD6DA0">
                    <w:rPr>
                      <w:rFonts w:ascii="PT Astra Serif" w:hAnsi="PT Astra Serif" w:cs="Arial"/>
                      <w:color w:val="0F0F1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 xml:space="preserve"> DC 5V/1A</w:t>
                  </w:r>
                  <w:r w:rsidR="00CD6DA0" w:rsidRPr="00CD6DA0">
                    <w:rPr>
                      <w:rFonts w:ascii="PT Astra Serif" w:hAnsi="PT Astra Serif" w:cs="Arial"/>
                      <w:color w:val="0F0F10"/>
                      <w:sz w:val="28"/>
                      <w:szCs w:val="28"/>
                      <w:bdr w:val="none" w:sz="0" w:space="0" w:color="auto" w:frame="1"/>
                      <w:shd w:val="clear" w:color="auto" w:fill="FFFFFF"/>
                    </w:rPr>
                    <w:t>, Внешний БП</w:t>
                  </w:r>
                  <w:r w:rsidRPr="00CD6DA0">
                    <w:rPr>
                      <w:rFonts w:ascii="PT Astra Serif" w:hAnsi="PT Astra Serif" w:cs="Arial"/>
                      <w:color w:val="0F0F10"/>
                      <w:sz w:val="28"/>
                      <w:szCs w:val="28"/>
                      <w:shd w:val="clear" w:color="auto" w:fill="FFFFFF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vAlign w:val="center"/>
                  <w:hideMark/>
                </w:tcPr>
                <w:p w:rsidR="00B4572D" w:rsidRPr="00B4572D" w:rsidRDefault="00B4572D" w:rsidP="00B4572D">
                  <w:pPr>
                    <w:ind w:firstLine="0"/>
                    <w:jc w:val="left"/>
                    <w:textAlignment w:val="baseline"/>
                    <w:rPr>
                      <w:rFonts w:ascii="PT Astra Serif" w:eastAsia="Times New Roman" w:hAnsi="PT Astra Serif" w:cs="Arial"/>
                      <w:color w:val="0F0F10"/>
                      <w:szCs w:val="28"/>
                      <w:bdr w:val="none" w:sz="0" w:space="0" w:color="auto" w:frame="1"/>
                      <w:lang w:eastAsia="ru-RU"/>
                    </w:rPr>
                  </w:pPr>
                </w:p>
              </w:tc>
            </w:tr>
          </w:tbl>
          <w:p w:rsidR="00B4572D" w:rsidRPr="000A7169" w:rsidRDefault="00B4572D" w:rsidP="000A7169">
            <w:pPr>
              <w:spacing w:line="276" w:lineRule="auto"/>
              <w:ind w:firstLine="0"/>
              <w:jc w:val="left"/>
              <w:rPr>
                <w:spacing w:val="-8"/>
                <w:szCs w:val="28"/>
              </w:rPr>
            </w:pPr>
          </w:p>
        </w:tc>
        <w:tc>
          <w:tcPr>
            <w:tcW w:w="1182" w:type="dxa"/>
          </w:tcPr>
          <w:p w:rsidR="00CD6DA0" w:rsidRDefault="00CD6DA0" w:rsidP="00CD6DA0">
            <w:pPr>
              <w:ind w:firstLine="0"/>
              <w:jc w:val="center"/>
              <w:rPr>
                <w:color w:val="000000"/>
                <w:szCs w:val="28"/>
              </w:rPr>
            </w:pPr>
          </w:p>
          <w:p w:rsidR="00CD6DA0" w:rsidRDefault="00CD6DA0" w:rsidP="00CD6DA0">
            <w:pPr>
              <w:ind w:firstLine="0"/>
              <w:jc w:val="center"/>
              <w:rPr>
                <w:color w:val="000000"/>
                <w:szCs w:val="28"/>
              </w:rPr>
            </w:pPr>
          </w:p>
          <w:p w:rsidR="000A7169" w:rsidRPr="000A7169" w:rsidRDefault="00B4572D" w:rsidP="00CD6DA0">
            <w:pPr>
              <w:ind w:firstLine="0"/>
              <w:jc w:val="center"/>
              <w:rPr>
                <w:color w:val="000000"/>
                <w:szCs w:val="28"/>
              </w:rPr>
            </w:pPr>
            <w:proofErr w:type="spellStart"/>
            <w:proofErr w:type="gramStart"/>
            <w:r>
              <w:rPr>
                <w:color w:val="000000"/>
                <w:szCs w:val="28"/>
              </w:rPr>
              <w:t>шт</w:t>
            </w:r>
            <w:proofErr w:type="spellEnd"/>
            <w:proofErr w:type="gramEnd"/>
          </w:p>
        </w:tc>
        <w:tc>
          <w:tcPr>
            <w:tcW w:w="2057" w:type="dxa"/>
            <w:vAlign w:val="center"/>
          </w:tcPr>
          <w:p w:rsidR="000A7169" w:rsidRPr="000A7169" w:rsidRDefault="00B4572D" w:rsidP="00CD6DA0">
            <w:pPr>
              <w:ind w:firstLine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</w:t>
            </w:r>
          </w:p>
        </w:tc>
      </w:tr>
    </w:tbl>
    <w:p w:rsidR="00207D8F" w:rsidRDefault="00207D8F" w:rsidP="00CC4FD0">
      <w:pPr>
        <w:rPr>
          <w:b/>
          <w:szCs w:val="28"/>
        </w:rPr>
      </w:pPr>
    </w:p>
    <w:p w:rsidR="00CC4FD0" w:rsidRPr="00207D8F" w:rsidRDefault="00CC4FD0" w:rsidP="00CC4FD0">
      <w:pPr>
        <w:rPr>
          <w:szCs w:val="28"/>
        </w:rPr>
      </w:pPr>
      <w:r w:rsidRPr="00207D8F">
        <w:rPr>
          <w:b/>
          <w:szCs w:val="28"/>
        </w:rPr>
        <w:t>Обоснование иных существенных условий контракта:</w:t>
      </w:r>
    </w:p>
    <w:p w:rsidR="00CC4FD0" w:rsidRPr="00207D8F" w:rsidRDefault="00CC4FD0" w:rsidP="00CC4FD0">
      <w:pPr>
        <w:rPr>
          <w:szCs w:val="28"/>
        </w:rPr>
      </w:pPr>
      <w:r w:rsidRPr="00207D8F">
        <w:rPr>
          <w:szCs w:val="28"/>
        </w:rPr>
        <w:t>иные существенные условия контракта определены в соответствии с законодательством РФ.</w:t>
      </w:r>
    </w:p>
    <w:p w:rsidR="00CC4FD0" w:rsidRPr="00207D8F" w:rsidRDefault="00CC4FD0" w:rsidP="00CC4FD0">
      <w:pPr>
        <w:rPr>
          <w:b/>
          <w:szCs w:val="28"/>
        </w:rPr>
      </w:pPr>
      <w:r w:rsidRPr="00207D8F">
        <w:rPr>
          <w:b/>
          <w:szCs w:val="28"/>
        </w:rPr>
        <w:t>Основание осуществления закупки у единственного поставщика (подрядчика, исполнителя):</w:t>
      </w:r>
    </w:p>
    <w:p w:rsidR="00CC4FD0" w:rsidRPr="00207D8F" w:rsidRDefault="00CC4FD0" w:rsidP="00CC4FD0">
      <w:pPr>
        <w:rPr>
          <w:szCs w:val="28"/>
        </w:rPr>
      </w:pPr>
      <w:r w:rsidRPr="00207D8F">
        <w:rPr>
          <w:szCs w:val="28"/>
        </w:rPr>
        <w:t xml:space="preserve">Возможность осуществления закупки товаров, работ или услуг на </w:t>
      </w:r>
      <w:proofErr w:type="gramStart"/>
      <w:r w:rsidRPr="00207D8F">
        <w:rPr>
          <w:szCs w:val="28"/>
        </w:rPr>
        <w:t xml:space="preserve">сумму, не превышающую </w:t>
      </w:r>
      <w:r w:rsidR="00B54F2D" w:rsidRPr="00207D8F">
        <w:rPr>
          <w:szCs w:val="28"/>
        </w:rPr>
        <w:t>6</w:t>
      </w:r>
      <w:r w:rsidRPr="00207D8F">
        <w:rPr>
          <w:szCs w:val="28"/>
        </w:rPr>
        <w:t>00 000,00 рублей прямо</w:t>
      </w:r>
      <w:r w:rsidR="00207D8F">
        <w:rPr>
          <w:szCs w:val="28"/>
        </w:rPr>
        <w:t xml:space="preserve"> </w:t>
      </w:r>
      <w:r w:rsidRPr="00207D8F">
        <w:rPr>
          <w:szCs w:val="28"/>
        </w:rPr>
        <w:t>предусмотрена</w:t>
      </w:r>
      <w:proofErr w:type="gramEnd"/>
      <w:r w:rsidRPr="00207D8F">
        <w:rPr>
          <w:szCs w:val="28"/>
        </w:rPr>
        <w:t xml:space="preserve"> пунктом 4 части 1 статьи 93 </w:t>
      </w:r>
      <w:r w:rsidRPr="00207D8F">
        <w:rPr>
          <w:bCs/>
          <w:szCs w:val="28"/>
        </w:rPr>
        <w:t>Федерального закона от 05.04.2013 № 44-ФЗ «О контрактной системе в сфере закупок товаров, работ, услуг для государственных и муниципальных нужд» (далее – Закон № 44-ФЗ)</w:t>
      </w:r>
      <w:r w:rsidRPr="00207D8F">
        <w:rPr>
          <w:szCs w:val="28"/>
        </w:rPr>
        <w:t>.</w:t>
      </w:r>
    </w:p>
    <w:p w:rsidR="00CC4FD0" w:rsidRPr="00207D8F" w:rsidRDefault="00CC4FD0" w:rsidP="00CC4FD0">
      <w:pPr>
        <w:rPr>
          <w:szCs w:val="28"/>
        </w:rPr>
      </w:pPr>
      <w:r w:rsidRPr="00207D8F">
        <w:rPr>
          <w:szCs w:val="28"/>
        </w:rPr>
        <w:t>Нецелесообразность использования конкурентных способов определения вызвана следующими причинами:</w:t>
      </w:r>
    </w:p>
    <w:p w:rsidR="00CC4FD0" w:rsidRPr="00207D8F" w:rsidRDefault="00CC4FD0" w:rsidP="00CC4FD0">
      <w:pPr>
        <w:numPr>
          <w:ilvl w:val="0"/>
          <w:numId w:val="1"/>
        </w:numPr>
        <w:tabs>
          <w:tab w:val="num" w:pos="0"/>
        </w:tabs>
        <w:ind w:left="0" w:firstLine="360"/>
        <w:rPr>
          <w:szCs w:val="28"/>
        </w:rPr>
      </w:pPr>
      <w:r w:rsidRPr="00207D8F">
        <w:rPr>
          <w:szCs w:val="28"/>
        </w:rPr>
        <w:t xml:space="preserve">сумма закупки составляет </w:t>
      </w:r>
      <w:r w:rsidR="005109F5" w:rsidRPr="005109F5">
        <w:rPr>
          <w:color w:val="000000"/>
          <w:szCs w:val="28"/>
        </w:rPr>
        <w:t>1311,83</w:t>
      </w:r>
      <w:r w:rsidR="005109F5">
        <w:rPr>
          <w:szCs w:val="28"/>
        </w:rPr>
        <w:t xml:space="preserve"> </w:t>
      </w:r>
      <w:r w:rsidRPr="00207D8F">
        <w:rPr>
          <w:szCs w:val="28"/>
        </w:rPr>
        <w:t xml:space="preserve">рублей, что не превышает предельное значение </w:t>
      </w:r>
      <w:r w:rsidR="00B54F2D" w:rsidRPr="00207D8F">
        <w:rPr>
          <w:szCs w:val="28"/>
        </w:rPr>
        <w:t>6</w:t>
      </w:r>
      <w:r w:rsidRPr="00207D8F">
        <w:rPr>
          <w:szCs w:val="28"/>
        </w:rPr>
        <w:t>00 000,00 рублей, установленное пунктом 4 части 1 статьи 93 Закона № 44-ФЗ;</w:t>
      </w:r>
    </w:p>
    <w:p w:rsidR="00CC4FD0" w:rsidRPr="00207D8F" w:rsidRDefault="00CC4FD0" w:rsidP="00CC4FD0">
      <w:pPr>
        <w:numPr>
          <w:ilvl w:val="0"/>
          <w:numId w:val="1"/>
        </w:numPr>
        <w:tabs>
          <w:tab w:val="num" w:pos="0"/>
        </w:tabs>
        <w:ind w:left="0" w:firstLine="360"/>
        <w:rPr>
          <w:szCs w:val="28"/>
        </w:rPr>
      </w:pPr>
      <w:r w:rsidRPr="00207D8F">
        <w:rPr>
          <w:szCs w:val="28"/>
        </w:rPr>
        <w:t>сумма закупки входит в совокупный годовой объем закупок, который Государственный заказчик вправе осуществлять на основании пункта 4 части 1 статьи 93 Закона № 44-ФЗ;</w:t>
      </w:r>
    </w:p>
    <w:p w:rsidR="00CC4FD0" w:rsidRPr="00207D8F" w:rsidRDefault="00CC4FD0" w:rsidP="00CC4FD0">
      <w:pPr>
        <w:numPr>
          <w:ilvl w:val="0"/>
          <w:numId w:val="1"/>
        </w:numPr>
        <w:tabs>
          <w:tab w:val="num" w:pos="0"/>
        </w:tabs>
        <w:ind w:left="0" w:firstLine="360"/>
        <w:rPr>
          <w:szCs w:val="28"/>
        </w:rPr>
      </w:pPr>
      <w:r w:rsidRPr="00207D8F">
        <w:rPr>
          <w:szCs w:val="28"/>
        </w:rPr>
        <w:t xml:space="preserve">цена контракта незначительна, в </w:t>
      </w:r>
      <w:r w:rsidR="00207D8F" w:rsidRPr="00207D8F">
        <w:rPr>
          <w:szCs w:val="28"/>
        </w:rPr>
        <w:t>связи,</w:t>
      </w:r>
      <w:r w:rsidRPr="00207D8F">
        <w:rPr>
          <w:szCs w:val="28"/>
        </w:rPr>
        <w:t xml:space="preserve"> с чем возникает риск отсутствия заинтересованности у потенциальных исполнителей контракта в подаче заявки на участие в закупке и, соответственно, риск отсутствия заявок;</w:t>
      </w:r>
    </w:p>
    <w:p w:rsidR="00CC4FD0" w:rsidRPr="00207D8F" w:rsidRDefault="00CC4FD0" w:rsidP="00CC4FD0">
      <w:pPr>
        <w:numPr>
          <w:ilvl w:val="0"/>
          <w:numId w:val="1"/>
        </w:numPr>
        <w:tabs>
          <w:tab w:val="num" w:pos="0"/>
        </w:tabs>
        <w:ind w:left="0" w:firstLine="360"/>
        <w:rPr>
          <w:szCs w:val="28"/>
        </w:rPr>
      </w:pPr>
      <w:r w:rsidRPr="00207D8F">
        <w:rPr>
          <w:szCs w:val="28"/>
        </w:rPr>
        <w:t>длительность сроков проведения конкурентных способов закупки.</w:t>
      </w:r>
    </w:p>
    <w:p w:rsidR="00CC4FD0" w:rsidRDefault="00CC4FD0" w:rsidP="00CC4FD0">
      <w:pPr>
        <w:ind w:firstLine="0"/>
        <w:jc w:val="left"/>
        <w:rPr>
          <w:szCs w:val="28"/>
        </w:rPr>
      </w:pPr>
    </w:p>
    <w:p w:rsidR="00B4572D" w:rsidRDefault="00B4572D" w:rsidP="00CC4FD0">
      <w:pPr>
        <w:ind w:firstLine="0"/>
        <w:jc w:val="left"/>
        <w:rPr>
          <w:szCs w:val="28"/>
        </w:rPr>
      </w:pPr>
    </w:p>
    <w:p w:rsidR="00B4572D" w:rsidRDefault="00B4572D" w:rsidP="00CC4FD0">
      <w:pPr>
        <w:ind w:firstLine="0"/>
        <w:jc w:val="left"/>
        <w:rPr>
          <w:szCs w:val="28"/>
        </w:rPr>
      </w:pPr>
    </w:p>
    <w:p w:rsidR="00B4572D" w:rsidRDefault="00B4572D" w:rsidP="00CC4FD0">
      <w:pPr>
        <w:ind w:firstLine="0"/>
        <w:jc w:val="left"/>
        <w:rPr>
          <w:szCs w:val="28"/>
        </w:rPr>
      </w:pPr>
    </w:p>
    <w:p w:rsidR="00B4572D" w:rsidRDefault="00B4572D" w:rsidP="00CC4FD0">
      <w:pPr>
        <w:ind w:firstLine="0"/>
        <w:jc w:val="left"/>
        <w:rPr>
          <w:szCs w:val="28"/>
        </w:rPr>
      </w:pPr>
    </w:p>
    <w:p w:rsidR="00CC4FD0" w:rsidRPr="00207D8F" w:rsidRDefault="00CC4FD0" w:rsidP="00CC4FD0">
      <w:pPr>
        <w:spacing w:before="25"/>
        <w:rPr>
          <w:szCs w:val="28"/>
        </w:rPr>
      </w:pPr>
      <w:r w:rsidRPr="00207D8F">
        <w:rPr>
          <w:b/>
          <w:szCs w:val="28"/>
        </w:rPr>
        <w:lastRenderedPageBreak/>
        <w:t>Обоснование цены контракта</w:t>
      </w:r>
      <w:r w:rsidRPr="00207D8F">
        <w:rPr>
          <w:szCs w:val="28"/>
        </w:rPr>
        <w:t>:</w:t>
      </w:r>
    </w:p>
    <w:p w:rsidR="00CC4FD0" w:rsidRPr="00207D8F" w:rsidRDefault="00CC4FD0" w:rsidP="00CC4FD0">
      <w:pPr>
        <w:contextualSpacing/>
        <w:rPr>
          <w:rFonts w:eastAsia="Times New Roman"/>
          <w:bCs/>
          <w:szCs w:val="28"/>
          <w:lang w:eastAsia="ru-RU"/>
        </w:rPr>
      </w:pPr>
      <w:r w:rsidRPr="00207D8F">
        <w:rPr>
          <w:rFonts w:eastAsia="Times New Roman"/>
          <w:szCs w:val="28"/>
          <w:lang w:eastAsia="ru-RU"/>
        </w:rPr>
        <w:t xml:space="preserve">Цена Контракта </w:t>
      </w:r>
      <w:r w:rsidRPr="00207D8F">
        <w:rPr>
          <w:rFonts w:eastAsia="Times New Roman"/>
          <w:bCs/>
          <w:szCs w:val="28"/>
          <w:lang w:eastAsia="ru-RU"/>
        </w:rPr>
        <w:t>определялась в соответствии с п.2 ст.22 Федерального закона от 05.04.2013 № 44-ФЗ «О контрактной системе в сфере закупок товаров, работ, услуг для государственных и муниципальных нужд» методом сопоставимых рыночных цен (анализ рынка),</w:t>
      </w:r>
    </w:p>
    <w:p w:rsidR="00CC4FD0" w:rsidRPr="00207D8F" w:rsidRDefault="00CC4FD0" w:rsidP="00CC4FD0">
      <w:pPr>
        <w:shd w:val="clear" w:color="auto" w:fill="FFFFFF"/>
        <w:autoSpaceDE w:val="0"/>
        <w:autoSpaceDN w:val="0"/>
        <w:contextualSpacing/>
        <w:rPr>
          <w:rFonts w:eastAsia="Times New Roman"/>
          <w:bCs/>
          <w:szCs w:val="28"/>
          <w:lang w:eastAsia="ru-RU"/>
        </w:rPr>
      </w:pPr>
      <w:r w:rsidRPr="00207D8F">
        <w:rPr>
          <w:rFonts w:eastAsia="Times New Roman"/>
          <w:bCs/>
          <w:szCs w:val="28"/>
          <w:lang w:eastAsia="ru-RU"/>
        </w:rPr>
        <w:t>В целях изучения рынка было направлено 5 запросов на предоставление ценовой информации, получено</w:t>
      </w:r>
      <w:r w:rsidR="00BD6AF1" w:rsidRPr="00207D8F">
        <w:rPr>
          <w:rFonts w:eastAsia="Times New Roman"/>
          <w:bCs/>
          <w:szCs w:val="28"/>
          <w:lang w:eastAsia="ru-RU"/>
        </w:rPr>
        <w:t xml:space="preserve"> </w:t>
      </w:r>
      <w:r w:rsidR="00E836E3" w:rsidRPr="00207D8F">
        <w:rPr>
          <w:rFonts w:eastAsia="Times New Roman"/>
          <w:bCs/>
          <w:szCs w:val="28"/>
          <w:lang w:eastAsia="ru-RU"/>
        </w:rPr>
        <w:t>3</w:t>
      </w:r>
      <w:r w:rsidR="00BD6AF1" w:rsidRPr="00207D8F">
        <w:rPr>
          <w:rFonts w:eastAsia="Times New Roman"/>
          <w:bCs/>
          <w:szCs w:val="28"/>
          <w:lang w:eastAsia="ru-RU"/>
        </w:rPr>
        <w:t xml:space="preserve"> </w:t>
      </w:r>
      <w:r w:rsidRPr="00207D8F">
        <w:rPr>
          <w:rFonts w:eastAsia="Times New Roman"/>
          <w:bCs/>
          <w:szCs w:val="28"/>
          <w:lang w:eastAsia="ru-RU"/>
        </w:rPr>
        <w:t xml:space="preserve">ответа. </w:t>
      </w:r>
    </w:p>
    <w:tbl>
      <w:tblPr>
        <w:tblW w:w="1474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08"/>
        <w:gridCol w:w="1134"/>
        <w:gridCol w:w="1418"/>
        <w:gridCol w:w="1276"/>
        <w:gridCol w:w="1418"/>
        <w:gridCol w:w="1275"/>
        <w:gridCol w:w="1277"/>
        <w:gridCol w:w="1416"/>
        <w:gridCol w:w="1418"/>
        <w:gridCol w:w="1136"/>
      </w:tblGrid>
      <w:tr w:rsidR="000A7169" w:rsidRPr="000A7169" w:rsidTr="000A7169">
        <w:trPr>
          <w:trHeight w:val="193"/>
        </w:trPr>
        <w:tc>
          <w:tcPr>
            <w:tcW w:w="2268" w:type="dxa"/>
            <w:vMerge w:val="restart"/>
            <w:shd w:val="clear" w:color="auto" w:fill="E7E6E6"/>
            <w:vAlign w:val="center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A7169">
              <w:rPr>
                <w:rFonts w:eastAsia="Times New Roman"/>
                <w:bCs/>
                <w:sz w:val="24"/>
                <w:szCs w:val="24"/>
              </w:rPr>
              <w:t>Наименование товара</w:t>
            </w:r>
          </w:p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bCs/>
                <w:sz w:val="24"/>
                <w:szCs w:val="24"/>
              </w:rPr>
              <w:t xml:space="preserve"> (услуги, работы)</w:t>
            </w:r>
          </w:p>
        </w:tc>
        <w:tc>
          <w:tcPr>
            <w:tcW w:w="708" w:type="dxa"/>
            <w:vMerge w:val="restart"/>
            <w:shd w:val="clear" w:color="auto" w:fill="E7E6E6"/>
            <w:vAlign w:val="center"/>
          </w:tcPr>
          <w:p w:rsidR="000A7169" w:rsidRPr="000A7169" w:rsidRDefault="000A7169" w:rsidP="000A7169">
            <w:pPr>
              <w:suppressAutoHyphens/>
              <w:autoSpaceDE w:val="0"/>
              <w:autoSpaceDN w:val="0"/>
              <w:adjustRightInd w:val="0"/>
              <w:ind w:left="-108" w:firstLine="0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0A7169">
              <w:rPr>
                <w:rFonts w:eastAsia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1768" w:type="dxa"/>
            <w:gridSpan w:val="9"/>
            <w:shd w:val="clear" w:color="auto" w:fill="E7E6E6"/>
          </w:tcPr>
          <w:p w:rsidR="000A7169" w:rsidRPr="000A7169" w:rsidRDefault="000A7169" w:rsidP="00B52B9C">
            <w:pPr>
              <w:suppressAutoHyphens/>
              <w:autoSpaceDE w:val="0"/>
              <w:autoSpaceDN w:val="0"/>
              <w:adjustRightInd w:val="0"/>
              <w:ind w:left="-108" w:firstLine="0"/>
              <w:jc w:val="center"/>
              <w:rPr>
                <w:rFonts w:eastAsia="Times New Roman"/>
                <w:b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b/>
                <w:bCs/>
                <w:sz w:val="24"/>
                <w:szCs w:val="24"/>
              </w:rPr>
              <w:t xml:space="preserve">Предложения о цене и количестве поставляемого товара </w:t>
            </w:r>
            <w:r w:rsidRPr="000A7169">
              <w:rPr>
                <w:rFonts w:eastAsia="Times New Roman"/>
                <w:b/>
                <w:bCs/>
                <w:sz w:val="24"/>
                <w:szCs w:val="24"/>
              </w:rPr>
              <w:br/>
              <w:t>(оказываемых услуг, выполнения работ)</w:t>
            </w:r>
          </w:p>
        </w:tc>
      </w:tr>
      <w:tr w:rsidR="000A7169" w:rsidRPr="000A7169" w:rsidTr="00C02771">
        <w:trPr>
          <w:trHeight w:val="402"/>
        </w:trPr>
        <w:tc>
          <w:tcPr>
            <w:tcW w:w="2268" w:type="dxa"/>
            <w:vMerge/>
            <w:shd w:val="clear" w:color="auto" w:fill="E7E6E6"/>
            <w:vAlign w:val="center"/>
          </w:tcPr>
          <w:p w:rsidR="000A7169" w:rsidRPr="000A7169" w:rsidRDefault="000A7169" w:rsidP="00AE0D97">
            <w:pPr>
              <w:suppressAutoHyphens/>
              <w:autoSpaceDE w:val="0"/>
              <w:autoSpaceDN w:val="0"/>
              <w:adjustRightInd w:val="0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E7E6E6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7798" w:type="dxa"/>
            <w:gridSpan w:val="6"/>
            <w:shd w:val="clear" w:color="auto" w:fill="E7E6E6"/>
          </w:tcPr>
          <w:p w:rsidR="000A7169" w:rsidRPr="000A7169" w:rsidRDefault="000A7169" w:rsidP="00E836E3">
            <w:pPr>
              <w:ind w:left="-77" w:right="-108" w:hanging="31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п. 3.7.1</w:t>
            </w:r>
          </w:p>
        </w:tc>
        <w:tc>
          <w:tcPr>
            <w:tcW w:w="1416" w:type="dxa"/>
            <w:shd w:val="clear" w:color="auto" w:fill="E7E6E6"/>
            <w:vAlign w:val="center"/>
          </w:tcPr>
          <w:p w:rsidR="000A7169" w:rsidRPr="000A7169" w:rsidRDefault="000A7169" w:rsidP="00E836E3">
            <w:pPr>
              <w:ind w:left="-77" w:right="-108" w:hanging="31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7169">
              <w:rPr>
                <w:rFonts w:eastAsia="Times New Roman"/>
                <w:color w:val="000000"/>
                <w:sz w:val="24"/>
                <w:szCs w:val="24"/>
              </w:rPr>
              <w:t xml:space="preserve">п. 3.7.2. </w:t>
            </w:r>
          </w:p>
          <w:p w:rsidR="000A7169" w:rsidRPr="000A7169" w:rsidRDefault="000A7169" w:rsidP="00E836E3">
            <w:pPr>
              <w:ind w:left="-77" w:right="-108" w:hanging="31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7169">
              <w:rPr>
                <w:rFonts w:eastAsia="Times New Roman"/>
                <w:color w:val="000000"/>
                <w:sz w:val="24"/>
                <w:szCs w:val="24"/>
              </w:rPr>
              <w:t>(реестр контрактов)</w:t>
            </w:r>
          </w:p>
        </w:tc>
        <w:tc>
          <w:tcPr>
            <w:tcW w:w="1418" w:type="dxa"/>
            <w:shd w:val="clear" w:color="auto" w:fill="E7E6E6"/>
            <w:vAlign w:val="center"/>
          </w:tcPr>
          <w:p w:rsidR="000A7169" w:rsidRPr="000A7169" w:rsidRDefault="000A7169" w:rsidP="00207D8F">
            <w:pPr>
              <w:ind w:left="-91" w:right="-94" w:hanging="1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7169">
              <w:rPr>
                <w:rFonts w:eastAsia="Times New Roman"/>
                <w:color w:val="000000"/>
                <w:sz w:val="24"/>
                <w:szCs w:val="24"/>
              </w:rPr>
              <w:t>п. 3.7.3.</w:t>
            </w:r>
          </w:p>
          <w:p w:rsidR="000A7169" w:rsidRPr="000A7169" w:rsidRDefault="000A7169" w:rsidP="00207D8F">
            <w:pPr>
              <w:ind w:left="-91" w:right="-94" w:hanging="1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7169">
              <w:rPr>
                <w:rFonts w:eastAsia="Times New Roman"/>
                <w:color w:val="000000"/>
                <w:sz w:val="24"/>
                <w:szCs w:val="24"/>
              </w:rPr>
              <w:t xml:space="preserve"> (инф-</w:t>
            </w:r>
            <w:proofErr w:type="spellStart"/>
            <w:r w:rsidRPr="000A7169">
              <w:rPr>
                <w:rFonts w:eastAsia="Times New Roman"/>
                <w:color w:val="000000"/>
                <w:sz w:val="24"/>
                <w:szCs w:val="24"/>
              </w:rPr>
              <w:t>ция</w:t>
            </w:r>
            <w:proofErr w:type="spellEnd"/>
            <w:r w:rsidRPr="000A7169">
              <w:rPr>
                <w:rFonts w:eastAsia="Times New Roman"/>
                <w:color w:val="000000"/>
                <w:sz w:val="24"/>
                <w:szCs w:val="24"/>
              </w:rPr>
              <w:t xml:space="preserve"> с сети Интернет)</w:t>
            </w:r>
          </w:p>
        </w:tc>
        <w:tc>
          <w:tcPr>
            <w:tcW w:w="1136" w:type="dxa"/>
            <w:vMerge w:val="restart"/>
            <w:shd w:val="clear" w:color="auto" w:fill="E7E6E6"/>
            <w:vAlign w:val="center"/>
          </w:tcPr>
          <w:p w:rsidR="000A7169" w:rsidRPr="000A7169" w:rsidRDefault="000A7169" w:rsidP="00EC7569">
            <w:pPr>
              <w:ind w:left="-91" w:right="-94" w:hanging="17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0A7169">
              <w:rPr>
                <w:rFonts w:eastAsia="Times New Roman"/>
                <w:color w:val="000000"/>
                <w:sz w:val="24"/>
                <w:szCs w:val="24"/>
              </w:rPr>
              <w:t>Коэффициент вариации</w:t>
            </w:r>
          </w:p>
        </w:tc>
      </w:tr>
      <w:tr w:rsidR="000A7169" w:rsidRPr="000A7169" w:rsidTr="00C02771">
        <w:trPr>
          <w:trHeight w:val="581"/>
        </w:trPr>
        <w:tc>
          <w:tcPr>
            <w:tcW w:w="2268" w:type="dxa"/>
            <w:vMerge/>
            <w:shd w:val="clear" w:color="auto" w:fill="E7E6E6"/>
            <w:vAlign w:val="center"/>
          </w:tcPr>
          <w:p w:rsidR="000A7169" w:rsidRPr="000A7169" w:rsidRDefault="000A7169" w:rsidP="00A123C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E7E6E6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E7E6E6"/>
            <w:vAlign w:val="center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Поставщик №1</w:t>
            </w:r>
          </w:p>
        </w:tc>
        <w:tc>
          <w:tcPr>
            <w:tcW w:w="2694" w:type="dxa"/>
            <w:gridSpan w:val="2"/>
            <w:shd w:val="clear" w:color="auto" w:fill="E7E6E6"/>
            <w:vAlign w:val="center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Поставщик №2</w:t>
            </w:r>
          </w:p>
        </w:tc>
        <w:tc>
          <w:tcPr>
            <w:tcW w:w="2552" w:type="dxa"/>
            <w:gridSpan w:val="2"/>
            <w:shd w:val="clear" w:color="auto" w:fill="E7E6E6"/>
            <w:vAlign w:val="center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Поставщик №3</w:t>
            </w:r>
          </w:p>
        </w:tc>
        <w:tc>
          <w:tcPr>
            <w:tcW w:w="1416" w:type="dxa"/>
            <w:shd w:val="clear" w:color="auto" w:fill="E7E6E6"/>
            <w:vAlign w:val="center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E7E6E6"/>
            <w:vAlign w:val="center"/>
          </w:tcPr>
          <w:p w:rsidR="000A7169" w:rsidRPr="000A7169" w:rsidRDefault="000A7169" w:rsidP="00EC7569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136" w:type="dxa"/>
            <w:vMerge/>
            <w:shd w:val="clear" w:color="auto" w:fill="E7E6E6"/>
            <w:vAlign w:val="center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0A7169" w:rsidRPr="000A7169" w:rsidTr="00BF5EFE">
        <w:trPr>
          <w:trHeight w:val="581"/>
        </w:trPr>
        <w:tc>
          <w:tcPr>
            <w:tcW w:w="2268" w:type="dxa"/>
            <w:vMerge/>
            <w:shd w:val="clear" w:color="auto" w:fill="E7E6E6"/>
            <w:vAlign w:val="center"/>
          </w:tcPr>
          <w:p w:rsidR="000A7169" w:rsidRPr="000A7169" w:rsidRDefault="000A7169" w:rsidP="00A123CB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shd w:val="clear" w:color="auto" w:fill="E7E6E6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/>
            <w:vAlign w:val="center"/>
          </w:tcPr>
          <w:p w:rsidR="000A7169" w:rsidRPr="000A7169" w:rsidRDefault="000A7169" w:rsidP="00BF5EF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цена, руб.</w:t>
            </w:r>
          </w:p>
        </w:tc>
        <w:tc>
          <w:tcPr>
            <w:tcW w:w="1418" w:type="dxa"/>
            <w:shd w:val="clear" w:color="auto" w:fill="E7E6E6"/>
          </w:tcPr>
          <w:p w:rsidR="000A7169" w:rsidRPr="000A7169" w:rsidRDefault="000A7169" w:rsidP="00BF5EF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сумма, руб.</w:t>
            </w:r>
          </w:p>
        </w:tc>
        <w:tc>
          <w:tcPr>
            <w:tcW w:w="1276" w:type="dxa"/>
            <w:shd w:val="clear" w:color="auto" w:fill="E7E6E6"/>
            <w:vAlign w:val="center"/>
          </w:tcPr>
          <w:p w:rsidR="000A7169" w:rsidRPr="000A7169" w:rsidRDefault="000A7169" w:rsidP="00BF5EF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цена, руб.</w:t>
            </w:r>
          </w:p>
        </w:tc>
        <w:tc>
          <w:tcPr>
            <w:tcW w:w="1418" w:type="dxa"/>
            <w:shd w:val="clear" w:color="auto" w:fill="E7E6E6"/>
          </w:tcPr>
          <w:p w:rsidR="000A7169" w:rsidRPr="000A7169" w:rsidRDefault="000A7169" w:rsidP="00BF5EF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сумма, руб.</w:t>
            </w:r>
          </w:p>
        </w:tc>
        <w:tc>
          <w:tcPr>
            <w:tcW w:w="1275" w:type="dxa"/>
            <w:shd w:val="clear" w:color="auto" w:fill="E7E6E6"/>
            <w:vAlign w:val="center"/>
          </w:tcPr>
          <w:p w:rsidR="000A7169" w:rsidRPr="000A7169" w:rsidRDefault="000A7169" w:rsidP="00BF5EF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цена, руб.</w:t>
            </w:r>
          </w:p>
        </w:tc>
        <w:tc>
          <w:tcPr>
            <w:tcW w:w="1277" w:type="dxa"/>
            <w:shd w:val="clear" w:color="auto" w:fill="E7E6E6"/>
          </w:tcPr>
          <w:p w:rsidR="000A7169" w:rsidRPr="000A7169" w:rsidRDefault="000A7169" w:rsidP="00BF5EFE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сумма, руб.</w:t>
            </w:r>
          </w:p>
        </w:tc>
        <w:tc>
          <w:tcPr>
            <w:tcW w:w="1416" w:type="dxa"/>
            <w:shd w:val="clear" w:color="auto" w:fill="E7E6E6"/>
            <w:vAlign w:val="center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цена, руб.</w:t>
            </w:r>
          </w:p>
        </w:tc>
        <w:tc>
          <w:tcPr>
            <w:tcW w:w="1418" w:type="dxa"/>
            <w:shd w:val="clear" w:color="auto" w:fill="E7E6E6"/>
            <w:vAlign w:val="center"/>
          </w:tcPr>
          <w:p w:rsidR="000A7169" w:rsidRPr="000A7169" w:rsidRDefault="000A7169" w:rsidP="00EC7569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  <w:r w:rsidRPr="000A7169">
              <w:rPr>
                <w:rFonts w:eastAsia="Times New Roman"/>
                <w:noProof/>
                <w:sz w:val="24"/>
                <w:szCs w:val="24"/>
              </w:rPr>
              <w:t>цена, руб.</w:t>
            </w:r>
          </w:p>
        </w:tc>
        <w:tc>
          <w:tcPr>
            <w:tcW w:w="1136" w:type="dxa"/>
            <w:vMerge/>
            <w:shd w:val="clear" w:color="auto" w:fill="E7E6E6"/>
            <w:vAlign w:val="center"/>
          </w:tcPr>
          <w:p w:rsidR="000A7169" w:rsidRPr="000A7169" w:rsidRDefault="000A7169" w:rsidP="00E836E3">
            <w:pPr>
              <w:suppressAutoHyphens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/>
                <w:noProof/>
                <w:sz w:val="24"/>
                <w:szCs w:val="24"/>
              </w:rPr>
            </w:pPr>
          </w:p>
        </w:tc>
      </w:tr>
      <w:tr w:rsidR="000A7169" w:rsidRPr="000A7169" w:rsidTr="00BF5EFE">
        <w:trPr>
          <w:trHeight w:val="447"/>
        </w:trPr>
        <w:tc>
          <w:tcPr>
            <w:tcW w:w="2268" w:type="dxa"/>
            <w:shd w:val="clear" w:color="auto" w:fill="auto"/>
          </w:tcPr>
          <w:p w:rsidR="000A7169" w:rsidRPr="000A7169" w:rsidRDefault="00B4572D" w:rsidP="000A7169">
            <w:pPr>
              <w:spacing w:line="276" w:lineRule="auto"/>
              <w:ind w:firstLine="0"/>
              <w:jc w:val="left"/>
              <w:rPr>
                <w:spacing w:val="-8"/>
                <w:sz w:val="24"/>
                <w:szCs w:val="24"/>
              </w:rPr>
            </w:pPr>
            <w:r>
              <w:rPr>
                <w:spacing w:val="-8"/>
                <w:szCs w:val="28"/>
              </w:rPr>
              <w:t>Конвертер для обработки видеосигнала</w:t>
            </w:r>
          </w:p>
        </w:tc>
        <w:tc>
          <w:tcPr>
            <w:tcW w:w="708" w:type="dxa"/>
          </w:tcPr>
          <w:p w:rsidR="00B4572D" w:rsidRDefault="00B4572D" w:rsidP="000A71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</w:p>
          <w:p w:rsidR="000A7169" w:rsidRPr="000A7169" w:rsidRDefault="00B4572D" w:rsidP="00CD6DA0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7169" w:rsidRPr="000A7169" w:rsidRDefault="00BF5EFE" w:rsidP="000A716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1311,83</w:t>
            </w:r>
          </w:p>
        </w:tc>
        <w:tc>
          <w:tcPr>
            <w:tcW w:w="1418" w:type="dxa"/>
            <w:vAlign w:val="center"/>
          </w:tcPr>
          <w:p w:rsidR="000A7169" w:rsidRPr="000A7169" w:rsidRDefault="005109F5" w:rsidP="000A7169">
            <w:pPr>
              <w:ind w:firstLine="3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1311,83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A7169" w:rsidRPr="000A7169" w:rsidRDefault="00BF5EFE" w:rsidP="000A7169">
            <w:pPr>
              <w:pStyle w:val="a3"/>
              <w:ind w:firstLine="3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1309,92</w:t>
            </w:r>
          </w:p>
        </w:tc>
        <w:tc>
          <w:tcPr>
            <w:tcW w:w="1418" w:type="dxa"/>
            <w:vAlign w:val="center"/>
          </w:tcPr>
          <w:p w:rsidR="000A7169" w:rsidRPr="000A7169" w:rsidRDefault="005109F5" w:rsidP="000A7169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1309,92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A7169" w:rsidRPr="000A7169" w:rsidRDefault="00BF5EFE" w:rsidP="000A7169">
            <w:pPr>
              <w:pStyle w:val="a3"/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1353,79</w:t>
            </w:r>
          </w:p>
        </w:tc>
        <w:tc>
          <w:tcPr>
            <w:tcW w:w="1277" w:type="dxa"/>
            <w:vAlign w:val="center"/>
          </w:tcPr>
          <w:p w:rsidR="000A7169" w:rsidRPr="000A7169" w:rsidRDefault="005109F5" w:rsidP="000A7169">
            <w:pPr>
              <w:ind w:firstLine="3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1353,79</w:t>
            </w:r>
          </w:p>
        </w:tc>
        <w:tc>
          <w:tcPr>
            <w:tcW w:w="1416" w:type="dxa"/>
            <w:shd w:val="clear" w:color="auto" w:fill="auto"/>
            <w:vAlign w:val="center"/>
          </w:tcPr>
          <w:p w:rsidR="000A7169" w:rsidRPr="000A7169" w:rsidRDefault="004A387F" w:rsidP="000A716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A7169" w:rsidRPr="000A7169" w:rsidRDefault="00C02771" w:rsidP="000A7169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1046</w:t>
            </w:r>
          </w:p>
        </w:tc>
        <w:tc>
          <w:tcPr>
            <w:tcW w:w="1136" w:type="dxa"/>
            <w:shd w:val="clear" w:color="auto" w:fill="auto"/>
            <w:vAlign w:val="center"/>
          </w:tcPr>
          <w:p w:rsidR="000A7169" w:rsidRPr="00C02771" w:rsidRDefault="00C02771" w:rsidP="00C02771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C02771">
              <w:rPr>
                <w:color w:val="333333"/>
                <w:sz w:val="24"/>
                <w:szCs w:val="24"/>
                <w:shd w:val="clear" w:color="auto" w:fill="F4F7FA"/>
              </w:rPr>
              <w:t xml:space="preserve">11.24% </w:t>
            </w:r>
          </w:p>
        </w:tc>
      </w:tr>
    </w:tbl>
    <w:p w:rsidR="00A123CB" w:rsidRPr="00207D8F" w:rsidRDefault="00A123CB" w:rsidP="00A123CB">
      <w:pPr>
        <w:rPr>
          <w:b/>
          <w:szCs w:val="28"/>
        </w:rPr>
      </w:pPr>
    </w:p>
    <w:p w:rsidR="00A123CB" w:rsidRPr="00207D8F" w:rsidRDefault="00A123CB" w:rsidP="00A123CB">
      <w:pPr>
        <w:rPr>
          <w:szCs w:val="28"/>
        </w:rPr>
      </w:pPr>
      <w:r w:rsidRPr="00207D8F">
        <w:rPr>
          <w:b/>
          <w:szCs w:val="28"/>
        </w:rPr>
        <w:t>Обоснование иных существенных условий контракта:</w:t>
      </w:r>
      <w:r w:rsidRPr="00207D8F">
        <w:rPr>
          <w:szCs w:val="28"/>
        </w:rPr>
        <w:t xml:space="preserve"> </w:t>
      </w:r>
    </w:p>
    <w:p w:rsidR="00CC4FD0" w:rsidRDefault="00A123CB" w:rsidP="00A123CB">
      <w:pPr>
        <w:suppressAutoHyphens/>
        <w:autoSpaceDE w:val="0"/>
        <w:autoSpaceDN w:val="0"/>
        <w:adjustRightInd w:val="0"/>
        <w:ind w:firstLine="0"/>
        <w:rPr>
          <w:rFonts w:eastAsia="Times New Roman" w:cs="Arial"/>
          <w:szCs w:val="28"/>
          <w:lang w:eastAsia="ru-RU"/>
        </w:rPr>
      </w:pPr>
      <w:r w:rsidRPr="00207D8F">
        <w:rPr>
          <w:rFonts w:eastAsia="Times New Roman"/>
          <w:noProof/>
          <w:szCs w:val="28"/>
          <w:lang w:eastAsia="ru-RU"/>
        </w:rPr>
        <w:tab/>
      </w:r>
      <w:r w:rsidR="00CC4FD0" w:rsidRPr="00207D8F">
        <w:rPr>
          <w:rFonts w:eastAsia="Times New Roman"/>
          <w:noProof/>
          <w:szCs w:val="28"/>
          <w:lang w:eastAsia="ru-RU"/>
        </w:rPr>
        <w:t xml:space="preserve">На основании вышеизложенного, считаю целесообразным </w:t>
      </w:r>
      <w:r w:rsidR="00207D8F" w:rsidRPr="00207D8F">
        <w:rPr>
          <w:rFonts w:eastAsia="Times New Roman"/>
          <w:noProof/>
          <w:szCs w:val="28"/>
          <w:lang w:eastAsia="ru-RU"/>
        </w:rPr>
        <w:t>разместить закупку на едином агрегаторе торговли «Березка»</w:t>
      </w:r>
      <w:r w:rsidR="00CC4FD0" w:rsidRPr="00207D8F">
        <w:rPr>
          <w:rFonts w:eastAsia="Times New Roman"/>
          <w:noProof/>
          <w:szCs w:val="28"/>
          <w:lang w:eastAsia="ru-RU"/>
        </w:rPr>
        <w:t xml:space="preserve"> </w:t>
      </w:r>
      <w:r w:rsidR="00207D8F" w:rsidRPr="00207D8F">
        <w:rPr>
          <w:rFonts w:eastAsia="Times New Roman"/>
          <w:noProof/>
          <w:szCs w:val="28"/>
          <w:lang w:eastAsia="ru-RU"/>
        </w:rPr>
        <w:t xml:space="preserve">с </w:t>
      </w:r>
      <w:r w:rsidR="000A7169">
        <w:rPr>
          <w:szCs w:val="28"/>
        </w:rPr>
        <w:t>Поставщиком №1</w:t>
      </w:r>
      <w:r w:rsidR="00CC4FD0" w:rsidRPr="00207D8F">
        <w:rPr>
          <w:rFonts w:eastAsia="Times New Roman"/>
          <w:noProof/>
          <w:szCs w:val="28"/>
          <w:lang w:eastAsia="ru-RU"/>
        </w:rPr>
        <w:t xml:space="preserve">, предложившим наименьшую цену Контракта в размере </w:t>
      </w:r>
      <w:r w:rsidR="005109F5" w:rsidRPr="005109F5">
        <w:rPr>
          <w:color w:val="000000"/>
          <w:szCs w:val="28"/>
        </w:rPr>
        <w:t>1311,83</w:t>
      </w:r>
      <w:r w:rsidR="005109F5">
        <w:rPr>
          <w:color w:val="000000"/>
          <w:sz w:val="24"/>
          <w:szCs w:val="24"/>
        </w:rPr>
        <w:t xml:space="preserve"> </w:t>
      </w:r>
      <w:r w:rsidR="00CC4FD0" w:rsidRPr="00207D8F">
        <w:rPr>
          <w:rFonts w:eastAsia="Times New Roman"/>
          <w:noProof/>
          <w:szCs w:val="28"/>
          <w:lang w:eastAsia="ru-RU"/>
        </w:rPr>
        <w:t>рублей</w:t>
      </w:r>
      <w:r w:rsidR="00CC4FD0" w:rsidRPr="00207D8F">
        <w:rPr>
          <w:rFonts w:eastAsia="Times New Roman" w:cs="Arial"/>
          <w:szCs w:val="28"/>
          <w:lang w:eastAsia="ru-RU"/>
        </w:rPr>
        <w:t>.</w:t>
      </w:r>
    </w:p>
    <w:p w:rsidR="00997719" w:rsidRPr="00997719" w:rsidRDefault="00997719" w:rsidP="0099771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719">
        <w:rPr>
          <w:rFonts w:ascii="Times New Roman" w:hAnsi="Times New Roman" w:cs="Times New Roman"/>
          <w:sz w:val="28"/>
          <w:szCs w:val="28"/>
        </w:rPr>
        <w:t>Оплата производится за счет средств федерального бюджета в пределах ЛБО на 202</w:t>
      </w:r>
      <w:r w:rsidR="005109F5">
        <w:rPr>
          <w:rFonts w:ascii="Times New Roman" w:hAnsi="Times New Roman" w:cs="Times New Roman"/>
          <w:sz w:val="28"/>
          <w:szCs w:val="28"/>
        </w:rPr>
        <w:t>6</w:t>
      </w:r>
      <w:r w:rsidRPr="0099771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997719" w:rsidRPr="00207D8F" w:rsidRDefault="00997719" w:rsidP="00A123CB">
      <w:pPr>
        <w:suppressAutoHyphens/>
        <w:autoSpaceDE w:val="0"/>
        <w:autoSpaceDN w:val="0"/>
        <w:adjustRightInd w:val="0"/>
        <w:ind w:firstLine="0"/>
        <w:rPr>
          <w:rFonts w:eastAsia="Times New Roman" w:cs="Arial"/>
          <w:szCs w:val="28"/>
          <w:lang w:eastAsia="ru-RU"/>
        </w:rPr>
      </w:pPr>
    </w:p>
    <w:p w:rsidR="00207D8F" w:rsidRPr="00207D8F" w:rsidRDefault="00207D8F" w:rsidP="00A123CB">
      <w:pPr>
        <w:suppressAutoHyphens/>
        <w:autoSpaceDE w:val="0"/>
        <w:autoSpaceDN w:val="0"/>
        <w:adjustRightInd w:val="0"/>
        <w:ind w:firstLine="0"/>
        <w:rPr>
          <w:rFonts w:eastAsia="Times New Roman"/>
          <w:noProof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0349"/>
      </w:tblGrid>
      <w:tr w:rsidR="00A82C5D" w:rsidRPr="00207D8F" w:rsidTr="00207D8F">
        <w:tc>
          <w:tcPr>
            <w:tcW w:w="4785" w:type="dxa"/>
            <w:shd w:val="clear" w:color="auto" w:fill="auto"/>
          </w:tcPr>
          <w:p w:rsidR="00A82C5D" w:rsidRPr="00207D8F" w:rsidRDefault="00207D8F" w:rsidP="00EC7569">
            <w:pPr>
              <w:spacing w:before="25"/>
              <w:ind w:firstLine="0"/>
              <w:jc w:val="left"/>
              <w:rPr>
                <w:szCs w:val="28"/>
              </w:rPr>
            </w:pPr>
            <w:r w:rsidRPr="00207D8F">
              <w:rPr>
                <w:szCs w:val="28"/>
              </w:rPr>
              <w:t>Инициатор закупки:</w:t>
            </w:r>
          </w:p>
        </w:tc>
        <w:tc>
          <w:tcPr>
            <w:tcW w:w="10349" w:type="dxa"/>
            <w:shd w:val="clear" w:color="auto" w:fill="auto"/>
          </w:tcPr>
          <w:p w:rsidR="00A82C5D" w:rsidRPr="00207D8F" w:rsidRDefault="00A82C5D" w:rsidP="00EC7569">
            <w:pPr>
              <w:spacing w:before="25"/>
              <w:ind w:firstLine="0"/>
              <w:jc w:val="left"/>
              <w:rPr>
                <w:szCs w:val="28"/>
              </w:rPr>
            </w:pPr>
          </w:p>
        </w:tc>
      </w:tr>
      <w:tr w:rsidR="00A82C5D" w:rsidRPr="00207D8F" w:rsidTr="00207D8F">
        <w:tc>
          <w:tcPr>
            <w:tcW w:w="4785" w:type="dxa"/>
            <w:shd w:val="clear" w:color="auto" w:fill="auto"/>
          </w:tcPr>
          <w:p w:rsidR="00A82C5D" w:rsidRPr="00207D8F" w:rsidRDefault="00B4572D" w:rsidP="00EC7569">
            <w:pPr>
              <w:spacing w:before="25"/>
              <w:ind w:firstLine="0"/>
              <w:jc w:val="left"/>
              <w:rPr>
                <w:szCs w:val="28"/>
              </w:rPr>
            </w:pPr>
            <w:r>
              <w:rPr>
                <w:szCs w:val="28"/>
              </w:rPr>
              <w:t>Начальник отряда ОВРО</w:t>
            </w:r>
          </w:p>
        </w:tc>
        <w:tc>
          <w:tcPr>
            <w:tcW w:w="10349" w:type="dxa"/>
            <w:shd w:val="clear" w:color="auto" w:fill="auto"/>
          </w:tcPr>
          <w:p w:rsidR="00A82C5D" w:rsidRPr="00207D8F" w:rsidRDefault="00B4572D" w:rsidP="00E53FDB">
            <w:pPr>
              <w:spacing w:before="25"/>
              <w:ind w:firstLine="0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А.С. </w:t>
            </w:r>
            <w:proofErr w:type="spellStart"/>
            <w:r>
              <w:rPr>
                <w:szCs w:val="28"/>
              </w:rPr>
              <w:t>Цыденжапов</w:t>
            </w:r>
            <w:proofErr w:type="spellEnd"/>
            <w:r w:rsidR="00E72D4E">
              <w:rPr>
                <w:szCs w:val="28"/>
              </w:rPr>
              <w:t xml:space="preserve"> </w:t>
            </w:r>
          </w:p>
        </w:tc>
      </w:tr>
      <w:tr w:rsidR="00E53FDB" w:rsidRPr="00207D8F" w:rsidTr="00207D8F">
        <w:tc>
          <w:tcPr>
            <w:tcW w:w="4785" w:type="dxa"/>
            <w:shd w:val="clear" w:color="auto" w:fill="auto"/>
          </w:tcPr>
          <w:p w:rsidR="00E53FDB" w:rsidRPr="00207D8F" w:rsidRDefault="00E53FDB" w:rsidP="00EC7569">
            <w:pPr>
              <w:spacing w:before="25"/>
              <w:ind w:firstLine="0"/>
              <w:jc w:val="left"/>
              <w:rPr>
                <w:szCs w:val="28"/>
              </w:rPr>
            </w:pPr>
          </w:p>
          <w:p w:rsidR="00E53FDB" w:rsidRPr="00207D8F" w:rsidRDefault="00207D8F" w:rsidP="00EC7569">
            <w:pPr>
              <w:spacing w:before="25"/>
              <w:ind w:firstLine="0"/>
              <w:jc w:val="left"/>
              <w:rPr>
                <w:szCs w:val="28"/>
              </w:rPr>
            </w:pPr>
            <w:r w:rsidRPr="00207D8F">
              <w:rPr>
                <w:szCs w:val="28"/>
              </w:rPr>
              <w:t>Согласовано:</w:t>
            </w:r>
          </w:p>
        </w:tc>
        <w:tc>
          <w:tcPr>
            <w:tcW w:w="10349" w:type="dxa"/>
            <w:shd w:val="clear" w:color="auto" w:fill="auto"/>
          </w:tcPr>
          <w:p w:rsidR="00E53FDB" w:rsidRPr="00207D8F" w:rsidRDefault="00E53FDB" w:rsidP="00E53FDB">
            <w:pPr>
              <w:spacing w:before="25"/>
              <w:ind w:firstLine="0"/>
              <w:jc w:val="right"/>
              <w:rPr>
                <w:szCs w:val="28"/>
              </w:rPr>
            </w:pPr>
          </w:p>
          <w:p w:rsidR="00E53FDB" w:rsidRPr="00207D8F" w:rsidRDefault="00E53FDB" w:rsidP="00E53FDB">
            <w:pPr>
              <w:spacing w:before="25"/>
              <w:ind w:firstLine="0"/>
              <w:jc w:val="right"/>
              <w:rPr>
                <w:szCs w:val="28"/>
              </w:rPr>
            </w:pPr>
          </w:p>
        </w:tc>
      </w:tr>
      <w:tr w:rsidR="00207D8F" w:rsidRPr="00207D8F" w:rsidTr="00207D8F">
        <w:tc>
          <w:tcPr>
            <w:tcW w:w="4785" w:type="dxa"/>
            <w:shd w:val="clear" w:color="auto" w:fill="auto"/>
          </w:tcPr>
          <w:p w:rsidR="00207D8F" w:rsidRPr="00207D8F" w:rsidRDefault="00207D8F" w:rsidP="00EC7569">
            <w:pPr>
              <w:spacing w:before="25"/>
              <w:ind w:firstLine="0"/>
              <w:jc w:val="left"/>
              <w:rPr>
                <w:szCs w:val="28"/>
              </w:rPr>
            </w:pPr>
            <w:r w:rsidRPr="00207D8F">
              <w:rPr>
                <w:szCs w:val="28"/>
              </w:rPr>
              <w:t>Главный экономист</w:t>
            </w:r>
            <w:r w:rsidR="000A7169">
              <w:rPr>
                <w:szCs w:val="28"/>
              </w:rPr>
              <w:t xml:space="preserve"> ЦТАО</w:t>
            </w:r>
          </w:p>
        </w:tc>
        <w:tc>
          <w:tcPr>
            <w:tcW w:w="10349" w:type="dxa"/>
            <w:shd w:val="clear" w:color="auto" w:fill="auto"/>
          </w:tcPr>
          <w:p w:rsidR="00207D8F" w:rsidRPr="00207D8F" w:rsidRDefault="00207D8F" w:rsidP="00E53FDB">
            <w:pPr>
              <w:spacing w:before="25"/>
              <w:ind w:firstLine="0"/>
              <w:jc w:val="right"/>
              <w:rPr>
                <w:szCs w:val="28"/>
              </w:rPr>
            </w:pPr>
            <w:r w:rsidRPr="00207D8F">
              <w:rPr>
                <w:szCs w:val="28"/>
              </w:rPr>
              <w:t>А.И. Карпушкеева</w:t>
            </w:r>
          </w:p>
        </w:tc>
      </w:tr>
    </w:tbl>
    <w:p w:rsidR="00A82C5D" w:rsidRDefault="00A82C5D" w:rsidP="00207D8F">
      <w:pPr>
        <w:ind w:firstLine="0"/>
        <w:rPr>
          <w:b/>
          <w:bCs/>
          <w:szCs w:val="28"/>
        </w:rPr>
      </w:pPr>
    </w:p>
    <w:sectPr w:rsidR="00A82C5D" w:rsidSect="00207D8F">
      <w:pgSz w:w="16838" w:h="11906" w:orient="landscape"/>
      <w:pgMar w:top="993" w:right="709" w:bottom="850" w:left="56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72D" w:rsidRDefault="00B4572D" w:rsidP="00A51192">
      <w:r>
        <w:separator/>
      </w:r>
    </w:p>
  </w:endnote>
  <w:endnote w:type="continuationSeparator" w:id="0">
    <w:p w:rsidR="00B4572D" w:rsidRDefault="00B4572D" w:rsidP="00A5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72D" w:rsidRDefault="00B4572D" w:rsidP="00A51192">
      <w:r>
        <w:separator/>
      </w:r>
    </w:p>
  </w:footnote>
  <w:footnote w:type="continuationSeparator" w:id="0">
    <w:p w:rsidR="00B4572D" w:rsidRDefault="00B4572D" w:rsidP="00A511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8F5330"/>
    <w:multiLevelType w:val="multilevel"/>
    <w:tmpl w:val="58B6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DD2BAE"/>
    <w:multiLevelType w:val="hybridMultilevel"/>
    <w:tmpl w:val="1EAE5930"/>
    <w:lvl w:ilvl="0" w:tplc="36A2503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5B58D9"/>
    <w:multiLevelType w:val="hybridMultilevel"/>
    <w:tmpl w:val="6C568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FD0"/>
    <w:rsid w:val="000027E1"/>
    <w:rsid w:val="00032DFE"/>
    <w:rsid w:val="00073841"/>
    <w:rsid w:val="00093A1A"/>
    <w:rsid w:val="000A7169"/>
    <w:rsid w:val="000E14C7"/>
    <w:rsid w:val="001321A1"/>
    <w:rsid w:val="001509E0"/>
    <w:rsid w:val="00151B5C"/>
    <w:rsid w:val="001C2FBC"/>
    <w:rsid w:val="001C64F6"/>
    <w:rsid w:val="001E11EA"/>
    <w:rsid w:val="001F796B"/>
    <w:rsid w:val="00200224"/>
    <w:rsid w:val="002058F7"/>
    <w:rsid w:val="00207D8F"/>
    <w:rsid w:val="00253ACD"/>
    <w:rsid w:val="0025513B"/>
    <w:rsid w:val="00271B87"/>
    <w:rsid w:val="002E15DE"/>
    <w:rsid w:val="002E1A3E"/>
    <w:rsid w:val="002E411C"/>
    <w:rsid w:val="002E4709"/>
    <w:rsid w:val="002E4AB4"/>
    <w:rsid w:val="003145F4"/>
    <w:rsid w:val="00320EA6"/>
    <w:rsid w:val="003320A4"/>
    <w:rsid w:val="003B79FE"/>
    <w:rsid w:val="0045317A"/>
    <w:rsid w:val="0046466A"/>
    <w:rsid w:val="00467E2B"/>
    <w:rsid w:val="00473AA1"/>
    <w:rsid w:val="00495EDD"/>
    <w:rsid w:val="004A387F"/>
    <w:rsid w:val="004C13E5"/>
    <w:rsid w:val="004C230A"/>
    <w:rsid w:val="004F4085"/>
    <w:rsid w:val="005109F5"/>
    <w:rsid w:val="005B1078"/>
    <w:rsid w:val="005B5856"/>
    <w:rsid w:val="005D2A3D"/>
    <w:rsid w:val="005E57AE"/>
    <w:rsid w:val="005E7A89"/>
    <w:rsid w:val="00607710"/>
    <w:rsid w:val="00634B22"/>
    <w:rsid w:val="00682D72"/>
    <w:rsid w:val="006A01C2"/>
    <w:rsid w:val="006B2C59"/>
    <w:rsid w:val="006D358C"/>
    <w:rsid w:val="00704D72"/>
    <w:rsid w:val="00720C47"/>
    <w:rsid w:val="0073197F"/>
    <w:rsid w:val="00733001"/>
    <w:rsid w:val="00756299"/>
    <w:rsid w:val="00780C56"/>
    <w:rsid w:val="007A1A78"/>
    <w:rsid w:val="007F2940"/>
    <w:rsid w:val="007F38C1"/>
    <w:rsid w:val="0080197F"/>
    <w:rsid w:val="008021BA"/>
    <w:rsid w:val="00806B76"/>
    <w:rsid w:val="00815AC2"/>
    <w:rsid w:val="008513A3"/>
    <w:rsid w:val="008647EF"/>
    <w:rsid w:val="008D52DD"/>
    <w:rsid w:val="008E1260"/>
    <w:rsid w:val="00926ECE"/>
    <w:rsid w:val="009510E7"/>
    <w:rsid w:val="00960DCC"/>
    <w:rsid w:val="00963F95"/>
    <w:rsid w:val="00981229"/>
    <w:rsid w:val="0099540F"/>
    <w:rsid w:val="00997719"/>
    <w:rsid w:val="009A2AA8"/>
    <w:rsid w:val="009D0450"/>
    <w:rsid w:val="009E173B"/>
    <w:rsid w:val="00A123CB"/>
    <w:rsid w:val="00A51192"/>
    <w:rsid w:val="00A66E82"/>
    <w:rsid w:val="00A73F71"/>
    <w:rsid w:val="00A82C5D"/>
    <w:rsid w:val="00AA2D7A"/>
    <w:rsid w:val="00AB4A4B"/>
    <w:rsid w:val="00AE0D97"/>
    <w:rsid w:val="00AE12C9"/>
    <w:rsid w:val="00B01AE4"/>
    <w:rsid w:val="00B15FB6"/>
    <w:rsid w:val="00B4572D"/>
    <w:rsid w:val="00B52B9C"/>
    <w:rsid w:val="00B54F2D"/>
    <w:rsid w:val="00BA7BFD"/>
    <w:rsid w:val="00BD6AF1"/>
    <w:rsid w:val="00BF0FD5"/>
    <w:rsid w:val="00BF2A26"/>
    <w:rsid w:val="00BF5EFE"/>
    <w:rsid w:val="00C02771"/>
    <w:rsid w:val="00C33E93"/>
    <w:rsid w:val="00C4185E"/>
    <w:rsid w:val="00C77652"/>
    <w:rsid w:val="00C90CB0"/>
    <w:rsid w:val="00CB188D"/>
    <w:rsid w:val="00CB7D8E"/>
    <w:rsid w:val="00CC4FD0"/>
    <w:rsid w:val="00CD6DA0"/>
    <w:rsid w:val="00CF0060"/>
    <w:rsid w:val="00D346D0"/>
    <w:rsid w:val="00D400F4"/>
    <w:rsid w:val="00DA0693"/>
    <w:rsid w:val="00DA0E8C"/>
    <w:rsid w:val="00DD3E25"/>
    <w:rsid w:val="00E23596"/>
    <w:rsid w:val="00E24554"/>
    <w:rsid w:val="00E53FDB"/>
    <w:rsid w:val="00E72D4E"/>
    <w:rsid w:val="00E836E3"/>
    <w:rsid w:val="00E965BB"/>
    <w:rsid w:val="00EB04F6"/>
    <w:rsid w:val="00EB4233"/>
    <w:rsid w:val="00EB57E3"/>
    <w:rsid w:val="00EC7569"/>
    <w:rsid w:val="00EE73F2"/>
    <w:rsid w:val="00EE7C68"/>
    <w:rsid w:val="00F461A6"/>
    <w:rsid w:val="00F74579"/>
    <w:rsid w:val="00FC568A"/>
    <w:rsid w:val="00FE2E00"/>
    <w:rsid w:val="00FE6C4B"/>
    <w:rsid w:val="00FF2C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8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E53F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53FD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53FDB"/>
    <w:rPr>
      <w:rFonts w:ascii="Times New Roman" w:eastAsia="Calibri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3F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53FDB"/>
    <w:rPr>
      <w:rFonts w:ascii="Times New Roman" w:eastAsia="Calibri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3F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3FDB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11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1192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A511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1192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link w:val="ConsPlusNormal0"/>
    <w:rsid w:val="00997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771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d-attr-name-label">
    <w:name w:val="wd-attr-name-label"/>
    <w:basedOn w:val="a0"/>
    <w:rsid w:val="00B4572D"/>
  </w:style>
  <w:style w:type="paragraph" w:styleId="af">
    <w:name w:val="Normal (Web)"/>
    <w:basedOn w:val="a"/>
    <w:uiPriority w:val="99"/>
    <w:unhideWhenUsed/>
    <w:rsid w:val="00B4572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wd-attr-term">
    <w:name w:val="wd-attr-term"/>
    <w:basedOn w:val="a0"/>
    <w:rsid w:val="00B457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FD0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384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annotation reference"/>
    <w:basedOn w:val="a0"/>
    <w:uiPriority w:val="99"/>
    <w:semiHidden/>
    <w:unhideWhenUsed/>
    <w:rsid w:val="00E53FD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53FDB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53FDB"/>
    <w:rPr>
      <w:rFonts w:ascii="Times New Roman" w:eastAsia="Calibri" w:hAnsi="Times New Roman" w:cs="Times New Roman"/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53FD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53FDB"/>
    <w:rPr>
      <w:rFonts w:ascii="Times New Roman" w:eastAsia="Calibri" w:hAnsi="Times New Roman" w:cs="Times New Roman"/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53FD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53FDB"/>
    <w:rPr>
      <w:rFonts w:ascii="Segoe UI" w:eastAsia="Calibr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A5119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51192"/>
    <w:rPr>
      <w:rFonts w:ascii="Times New Roman" w:eastAsia="Calibri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A5119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51192"/>
    <w:rPr>
      <w:rFonts w:ascii="Times New Roman" w:eastAsia="Calibri" w:hAnsi="Times New Roman" w:cs="Times New Roman"/>
      <w:sz w:val="28"/>
    </w:rPr>
  </w:style>
  <w:style w:type="paragraph" w:customStyle="1" w:styleId="ConsPlusNormal">
    <w:name w:val="ConsPlusNormal"/>
    <w:link w:val="ConsPlusNormal0"/>
    <w:rsid w:val="009977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9771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d-attr-name-label">
    <w:name w:val="wd-attr-name-label"/>
    <w:basedOn w:val="a0"/>
    <w:rsid w:val="00B4572D"/>
  </w:style>
  <w:style w:type="paragraph" w:styleId="af">
    <w:name w:val="Normal (Web)"/>
    <w:basedOn w:val="a"/>
    <w:uiPriority w:val="99"/>
    <w:unhideWhenUsed/>
    <w:rsid w:val="00B4572D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wd-attr-term">
    <w:name w:val="wd-attr-term"/>
    <w:basedOn w:val="a0"/>
    <w:rsid w:val="00B45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ОИХО</dc:creator>
  <cp:lastModifiedBy>Буханаев</cp:lastModifiedBy>
  <cp:revision>15</cp:revision>
  <cp:lastPrinted>2026-05-20T01:03:00Z</cp:lastPrinted>
  <dcterms:created xsi:type="dcterms:W3CDTF">2023-05-10T06:43:00Z</dcterms:created>
  <dcterms:modified xsi:type="dcterms:W3CDTF">2026-05-20T01:03:00Z</dcterms:modified>
</cp:coreProperties>
</file>