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uppressAutoHyphens w:val="false"/>
        <w:jc w:val="center"/>
        <w:rPr>
          <w:rFonts w:eastAsia="Calibri"/>
          <w:b/>
          <w:sz w:val="22"/>
          <w:szCs w:val="22"/>
          <w:lang w:eastAsia="en-US"/>
        </w:rPr>
      </w:pPr>
      <w:r>
        <w:rPr>
          <w:rFonts w:eastAsia="Calibri"/>
          <w:b/>
          <w:sz w:val="22"/>
          <w:szCs w:val="22"/>
          <w:lang w:eastAsia="en-US"/>
        </w:rPr>
        <w:t>ПРОЕКТ ДОГОВОР № ___</w:t>
      </w:r>
    </w:p>
    <w:p>
      <w:pPr>
        <w:pStyle w:val="Normal"/>
        <w:suppressAutoHyphens w:val="false"/>
        <w:ind w:firstLine="708" w:end="0"/>
        <w:jc w:val="center"/>
        <w:rPr/>
      </w:pPr>
      <w:r>
        <w:rPr>
          <w:rFonts w:eastAsia="Calibri"/>
          <w:b/>
          <w:sz w:val="22"/>
          <w:szCs w:val="22"/>
          <w:lang w:eastAsia="en-US"/>
        </w:rPr>
        <w:t xml:space="preserve">на оказание услуги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и их текущему ремонту, </w:t>
      </w:r>
      <w:r>
        <w:rPr>
          <w:rFonts w:eastAsia="Calibri"/>
          <w:b/>
          <w:sz w:val="22"/>
          <w:szCs w:val="22"/>
        </w:rPr>
        <w:t>об эксплуатационно-техническом обслуживании объектового оборудования системы Стрелец-Мониторинг, мониторингу пожарной обстановки и контролю за работоспособностью средств пожарной автоматики (АПС, СОУЭ, оборудования системы Стрелец-Мониторинг)</w:t>
      </w:r>
    </w:p>
    <w:p>
      <w:pPr>
        <w:pStyle w:val="Normal"/>
        <w:suppressAutoHyphens w:val="false"/>
        <w:ind w:firstLine="708" w:end="0"/>
        <w:jc w:val="center"/>
        <w:rPr/>
      </w:pPr>
      <w:r>
        <w:rPr/>
      </w:r>
    </w:p>
    <w:p>
      <w:pPr>
        <w:pStyle w:val="Normal"/>
        <w:suppressAutoHyphens w:val="false"/>
        <w:jc w:val="both"/>
        <w:rPr>
          <w:rFonts w:eastAsia="Calibri"/>
          <w:b/>
          <w:sz w:val="22"/>
          <w:szCs w:val="22"/>
          <w:lang w:eastAsia="en-US"/>
        </w:rPr>
      </w:pPr>
      <w:r>
        <w:rPr>
          <w:rFonts w:eastAsia="Calibri"/>
          <w:b/>
          <w:sz w:val="22"/>
          <w:szCs w:val="22"/>
          <w:lang w:eastAsia="en-US"/>
        </w:rPr>
      </w:r>
    </w:p>
    <w:p>
      <w:pPr>
        <w:pStyle w:val="Normal"/>
        <w:suppressAutoHyphens w:val="false"/>
        <w:ind w:end="0"/>
        <w:jc w:val="both"/>
        <w:rPr>
          <w:rFonts w:eastAsia="Calibri"/>
          <w:sz w:val="22"/>
          <w:szCs w:val="22"/>
          <w:lang w:eastAsia="en-US"/>
        </w:rPr>
      </w:pPr>
      <w:r>
        <w:rPr>
          <w:rFonts w:eastAsia="Calibri"/>
          <w:b w:val="false"/>
          <w:bCs w:val="false"/>
          <w:sz w:val="22"/>
          <w:szCs w:val="22"/>
          <w:lang w:eastAsia="ar-SA"/>
        </w:rPr>
        <w:t xml:space="preserve">г. Красноармейск </w:t>
      </w:r>
      <w:r>
        <w:rPr>
          <w:rFonts w:eastAsia="Calibri"/>
          <w:sz w:val="22"/>
          <w:szCs w:val="22"/>
          <w:lang w:eastAsia="en-US"/>
        </w:rPr>
        <w:t xml:space="preserve">                                                                       </w:t>
        <w:tab/>
        <w:tab/>
        <w:t xml:space="preserve">                             «     »  августа 2026 г</w:t>
      </w:r>
    </w:p>
    <w:p>
      <w:pPr>
        <w:pStyle w:val="Normal"/>
        <w:suppressAutoHyphens w:val="false"/>
        <w:ind w:firstLine="709" w:end="0"/>
        <w:jc w:val="both"/>
        <w:rPr>
          <w:rFonts w:eastAsia="Calibri"/>
          <w:sz w:val="22"/>
          <w:szCs w:val="22"/>
          <w:lang w:eastAsia="en-US"/>
        </w:rPr>
      </w:pPr>
      <w:r>
        <w:rPr>
          <w:rFonts w:eastAsia="Calibri"/>
          <w:sz w:val="22"/>
          <w:szCs w:val="22"/>
          <w:lang w:eastAsia="en-US"/>
        </w:rPr>
      </w:r>
    </w:p>
    <w:p>
      <w:pPr>
        <w:pStyle w:val="Normal"/>
        <w:jc w:val="start"/>
        <w:rPr/>
      </w:pPr>
      <w:r>
        <w:rPr>
          <w:b/>
          <w:sz w:val="22"/>
          <w:szCs w:val="22"/>
          <w:shd w:fill="FFFFFF" w:val="clear"/>
          <w:lang w:eastAsia="ru-RU"/>
        </w:rPr>
        <w:t>Муниципальное бюджетное дошкольное образовательное учреждение "Детский сад села Высокое Красноармейского района Саратовской области",</w:t>
      </w:r>
      <w:r>
        <w:rPr>
          <w:b/>
          <w:sz w:val="22"/>
          <w:szCs w:val="22"/>
          <w:shd w:fill="FFFFFF" w:val="clear"/>
        </w:rPr>
        <w:t xml:space="preserve"> </w:t>
      </w:r>
      <w:r>
        <w:rPr>
          <w:sz w:val="22"/>
          <w:szCs w:val="22"/>
        </w:rPr>
        <w:t>в лице заведующего Калиевой Раисы Игоревны,</w:t>
      </w:r>
      <w:r>
        <w:rPr>
          <w:b/>
          <w:sz w:val="22"/>
          <w:szCs w:val="22"/>
        </w:rPr>
        <w:t xml:space="preserve"> </w:t>
      </w:r>
      <w:r>
        <w:rPr>
          <w:sz w:val="22"/>
          <w:szCs w:val="22"/>
          <w:lang w:eastAsia="ru-RU"/>
        </w:rPr>
        <w:t>действующего на основании Устава</w:t>
      </w:r>
      <w:r>
        <w:rPr>
          <w:sz w:val="22"/>
          <w:szCs w:val="22"/>
        </w:rPr>
        <w:t>,</w:t>
      </w:r>
      <w:r>
        <w:rPr>
          <w:rFonts w:eastAsia="Calibri"/>
          <w:bCs/>
          <w:sz w:val="22"/>
          <w:szCs w:val="22"/>
          <w:lang w:eastAsia="en-US"/>
        </w:rPr>
        <w:t xml:space="preserve"> именуемое в дальнейшем «Заказчик», с одной стороны, и _______________________________________________________________________________</w:t>
      </w:r>
      <w:r>
        <w:rPr>
          <w:rFonts w:eastAsia="Calibri"/>
          <w:bCs/>
          <w:sz w:val="22"/>
          <w:szCs w:val="22"/>
        </w:rPr>
        <w:t>именуемое в дальнейшем «Исполнитель», в лице _____________________________________________, действующего на основании Устава</w:t>
      </w:r>
      <w:r>
        <w:rPr>
          <w:rFonts w:eastAsia="Calibri"/>
          <w:bCs/>
          <w:sz w:val="22"/>
          <w:szCs w:val="22"/>
          <w:lang w:eastAsia="en-US"/>
        </w:rPr>
        <w:t xml:space="preserve">, с другой стороны, вместе именуемые Стороны, в соответствии с </w:t>
      </w:r>
      <w:r>
        <w:rPr>
          <w:rFonts w:eastAsia="Calibri"/>
          <w:b w:val="false"/>
          <w:bCs w:val="false"/>
          <w:color w:val="000000"/>
          <w:sz w:val="22"/>
          <w:szCs w:val="22"/>
          <w:lang w:eastAsia="en-US"/>
        </w:rPr>
        <w:t xml:space="preserve">ч.1 п. 4 ст. 93 </w:t>
      </w:r>
      <w:hyperlink r:id="rId2">
        <w:r>
          <w:rPr>
            <w:rStyle w:val="Hyperlink"/>
            <w:rFonts w:eastAsia="Calibri"/>
            <w:b w:val="false"/>
            <w:bCs w:val="false"/>
            <w:color w:val="000000"/>
            <w:sz w:val="22"/>
            <w:szCs w:val="22"/>
            <w:lang w:eastAsia="en-US"/>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Pr>
          <w:rFonts w:eastAsia="Calibri"/>
          <w:b w:val="false"/>
          <w:bCs w:val="false"/>
          <w:color w:val="000000"/>
          <w:sz w:val="22"/>
          <w:szCs w:val="22"/>
          <w:lang w:eastAsia="en-US"/>
        </w:rPr>
        <w:t xml:space="preserve"> (далее - Закон N 44-ФЗ), заключили настоящий Договор о нижеследующем.</w:t>
      </w:r>
    </w:p>
    <w:p>
      <w:pPr>
        <w:pStyle w:val="Normal"/>
        <w:jc w:val="start"/>
        <w:rPr/>
      </w:pPr>
      <w:r>
        <w:rPr/>
      </w:r>
    </w:p>
    <w:p>
      <w:pPr>
        <w:pStyle w:val="Normal"/>
        <w:numPr>
          <w:ilvl w:val="0"/>
          <w:numId w:val="3"/>
        </w:numPr>
        <w:suppressAutoHyphens w:val="false"/>
        <w:ind w:firstLine="2257" w:start="720" w:end="0"/>
        <w:jc w:val="both"/>
        <w:rPr>
          <w:rFonts w:eastAsia="Calibri"/>
          <w:b/>
          <w:i/>
          <w:i/>
          <w:sz w:val="22"/>
          <w:szCs w:val="22"/>
          <w:lang w:eastAsia="en-US"/>
        </w:rPr>
      </w:pPr>
      <w:r>
        <w:rPr>
          <w:rFonts w:eastAsia="Calibri"/>
          <w:b/>
          <w:sz w:val="22"/>
          <w:szCs w:val="22"/>
          <w:lang w:eastAsia="en-US"/>
        </w:rPr>
        <w:t>Термины и определения</w:t>
      </w:r>
    </w:p>
    <w:p>
      <w:pPr>
        <w:pStyle w:val="Normal"/>
        <w:widowControl w:val="false"/>
        <w:suppressAutoHyphens w:val="false"/>
        <w:autoSpaceDE w:val="false"/>
        <w:ind w:firstLine="709" w:end="0"/>
        <w:jc w:val="both"/>
        <w:rPr>
          <w:rFonts w:eastAsia="Times New Roman"/>
          <w:b/>
          <w:i/>
          <w:i/>
          <w:sz w:val="22"/>
          <w:szCs w:val="22"/>
          <w:lang w:eastAsia="en-US"/>
        </w:rPr>
      </w:pPr>
      <w:r>
        <w:rPr>
          <w:rFonts w:eastAsia="Calibri"/>
          <w:b/>
          <w:i/>
          <w:sz w:val="22"/>
          <w:szCs w:val="22"/>
          <w:lang w:eastAsia="en-US"/>
        </w:rPr>
        <w:t>Организация</w:t>
      </w:r>
      <w:r>
        <w:rPr>
          <w:rFonts w:eastAsia="Calibri"/>
          <w:sz w:val="22"/>
          <w:szCs w:val="22"/>
          <w:lang w:eastAsia="en-US"/>
        </w:rPr>
        <w:t xml:space="preserve"> – собственник объекта защиты, юридическое лицо, уполномоченное владеть, пользоваться или распоряжаться объектом защиты;</w:t>
      </w:r>
    </w:p>
    <w:p>
      <w:pPr>
        <w:pStyle w:val="Normal"/>
        <w:widowControl w:val="false"/>
        <w:tabs>
          <w:tab w:val="clear" w:pos="708"/>
          <w:tab w:val="left" w:pos="567" w:leader="none"/>
        </w:tabs>
        <w:suppressAutoHyphens w:val="false"/>
        <w:spacing w:lineRule="exact" w:line="264"/>
        <w:jc w:val="both"/>
        <w:rPr>
          <w:rFonts w:eastAsia="Times New Roman"/>
          <w:sz w:val="22"/>
          <w:szCs w:val="22"/>
          <w:lang w:eastAsia="en-US"/>
        </w:rPr>
      </w:pPr>
      <w:r>
        <w:rPr>
          <w:rFonts w:eastAsia="Times New Roman"/>
          <w:b/>
          <w:i/>
          <w:sz w:val="22"/>
          <w:szCs w:val="22"/>
          <w:lang w:eastAsia="en-US"/>
        </w:rPr>
        <w:t xml:space="preserve">          </w:t>
      </w:r>
      <w:r>
        <w:rPr>
          <w:rFonts w:eastAsia="Calibri"/>
          <w:b/>
          <w:i/>
          <w:sz w:val="22"/>
          <w:szCs w:val="22"/>
          <w:lang w:eastAsia="en-US"/>
        </w:rPr>
        <w:t>Объект защиты</w:t>
      </w:r>
      <w:r>
        <w:rPr>
          <w:rFonts w:eastAsia="Calibri"/>
          <w:sz w:val="22"/>
          <w:szCs w:val="22"/>
          <w:lang w:eastAsia="en-US"/>
        </w:rPr>
        <w:t xml:space="preserve"> – </w:t>
      </w:r>
      <w:r>
        <w:rPr>
          <w:rFonts w:eastAsia="Calibri"/>
          <w:b w:val="false"/>
          <w:bCs w:val="false"/>
          <w:i/>
          <w:sz w:val="22"/>
          <w:szCs w:val="22"/>
          <w:shd w:fill="FFFFFF" w:val="clear"/>
          <w:lang w:eastAsia="en-US"/>
        </w:rPr>
        <w:t>здание МБДОУ "Детский сад с. Высокое Красноармейского района Саратовской области " по адресу: Саратовская область, Красноармейский район, село Высокое, улица Кооперативная 1</w:t>
      </w:r>
      <w:r>
        <w:rPr>
          <w:rFonts w:eastAsia="Calibri" w:cs="Arial" w:ascii="Arial" w:hAnsi="Arial"/>
          <w:b w:val="false"/>
          <w:bCs w:val="false"/>
          <w:sz w:val="22"/>
          <w:szCs w:val="22"/>
          <w:shd w:fill="FFFFFF" w:val="clear"/>
          <w:lang w:eastAsia="en-US"/>
        </w:rPr>
        <w:t xml:space="preserve">, </w:t>
      </w:r>
      <w:r>
        <w:rPr>
          <w:rFonts w:eastAsia="Calibri"/>
          <w:b w:val="false"/>
          <w:bCs w:val="false"/>
          <w:sz w:val="22"/>
          <w:szCs w:val="22"/>
          <w:shd w:fill="FFFFFF" w:val="clear"/>
          <w:lang w:eastAsia="en-US"/>
        </w:rPr>
        <w:t>оборудо</w:t>
      </w:r>
      <w:r>
        <w:rPr>
          <w:rFonts w:eastAsia="Calibri"/>
          <w:sz w:val="22"/>
          <w:szCs w:val="22"/>
          <w:lang w:eastAsia="en-US"/>
        </w:rPr>
        <w:t xml:space="preserve">ванное системой автоматической пожарной сигнализации и системой оповещения и управления эвакуацией людей при пожаре, объектовым оборудованием передачи сигнала тревоги в пожарную часть; </w:t>
      </w:r>
    </w:p>
    <w:p>
      <w:pPr>
        <w:pStyle w:val="Normal"/>
        <w:jc w:val="both"/>
        <w:rPr>
          <w:rFonts w:eastAsia="Calibri"/>
          <w:b/>
          <w:i/>
          <w:i/>
          <w:sz w:val="22"/>
          <w:szCs w:val="22"/>
          <w:lang w:eastAsia="en-US"/>
        </w:rPr>
      </w:pPr>
      <w:r>
        <w:rPr>
          <w:rFonts w:eastAsia="Times New Roman"/>
          <w:sz w:val="22"/>
          <w:szCs w:val="22"/>
          <w:lang w:eastAsia="en-US"/>
        </w:rPr>
        <w:t xml:space="preserve">          </w:t>
      </w:r>
      <w:r>
        <w:rPr>
          <w:rFonts w:eastAsia="Calibri"/>
          <w:b/>
          <w:i/>
          <w:sz w:val="22"/>
          <w:szCs w:val="22"/>
          <w:lang w:eastAsia="en-US"/>
        </w:rPr>
        <w:t xml:space="preserve">Система пожарной автоматики (Оборудование) </w:t>
      </w:r>
      <w:r>
        <w:rPr>
          <w:rFonts w:eastAsia="Calibri"/>
          <w:sz w:val="22"/>
          <w:szCs w:val="22"/>
          <w:lang w:eastAsia="en-US"/>
        </w:rPr>
        <w:t xml:space="preserve">– совокупность исправных и работоспособных установок системы автоматической пожарной сигнализации и оповещения и управления эвакуацией людей </w:t>
      </w:r>
      <w:r>
        <w:rPr>
          <w:color w:val="333333"/>
          <w:sz w:val="22"/>
          <w:szCs w:val="22"/>
        </w:rPr>
        <w:t>и объектовая станция Стрелец-Мониторинг;</w:t>
      </w:r>
    </w:p>
    <w:p>
      <w:pPr>
        <w:pStyle w:val="Normal"/>
        <w:widowControl w:val="false"/>
        <w:suppressAutoHyphens w:val="false"/>
        <w:autoSpaceDE w:val="false"/>
        <w:ind w:firstLine="709" w:end="0"/>
        <w:jc w:val="both"/>
        <w:rPr>
          <w:rFonts w:eastAsia="Calibri"/>
          <w:b/>
          <w:i/>
          <w:i/>
          <w:sz w:val="22"/>
          <w:szCs w:val="22"/>
          <w:lang w:eastAsia="en-US"/>
        </w:rPr>
      </w:pPr>
      <w:r>
        <w:rPr>
          <w:rFonts w:eastAsia="Calibri"/>
          <w:b/>
          <w:i/>
          <w:sz w:val="22"/>
          <w:szCs w:val="22"/>
          <w:lang w:eastAsia="en-US"/>
        </w:rPr>
        <w:t>Система автоматической пожарной сигнализации (АПС)</w:t>
      </w:r>
      <w:r>
        <w:rPr>
          <w:rFonts w:eastAsia="Calibri"/>
          <w:sz w:val="22"/>
          <w:szCs w:val="22"/>
          <w:lang w:eastAsia="en-US"/>
        </w:rPr>
        <w:t xml:space="preserve"> - совокупность технических средств для обнаружения пожара, обработки, представления в заданном виде извещения о пожаре, специальной информации и (или) выдачи команд на включение автоматических установок пожаротушения и технические устройства;</w:t>
      </w:r>
    </w:p>
    <w:p>
      <w:pPr>
        <w:pStyle w:val="Normal"/>
        <w:widowControl w:val="false"/>
        <w:suppressAutoHyphens w:val="false"/>
        <w:autoSpaceDE w:val="false"/>
        <w:ind w:firstLine="709" w:end="0"/>
        <w:jc w:val="both"/>
        <w:rPr>
          <w:rFonts w:eastAsia="Calibri"/>
          <w:b/>
          <w:sz w:val="22"/>
          <w:szCs w:val="22"/>
        </w:rPr>
      </w:pPr>
      <w:r>
        <w:rPr>
          <w:rFonts w:eastAsia="Calibri"/>
          <w:b/>
          <w:i/>
          <w:sz w:val="22"/>
          <w:szCs w:val="22"/>
          <w:lang w:eastAsia="en-US"/>
        </w:rPr>
        <w:t xml:space="preserve">Система оповещения и управления эвакуацией людей (СОУЭ) - </w:t>
      </w:r>
      <w:r>
        <w:rPr>
          <w:rFonts w:eastAsia="Calibri"/>
          <w:sz w:val="22"/>
          <w:szCs w:val="22"/>
          <w:lang w:eastAsia="en-US"/>
        </w:rPr>
        <w:t>к</w:t>
      </w:r>
      <w:r>
        <w:rPr>
          <w:sz w:val="22"/>
          <w:szCs w:val="22"/>
        </w:rPr>
        <w:t>омплекс организационных мероприятий и технических средств, предназначенный для своевременного сообщения людям информации о возникновении пожара, необходимости эвакуироваться, путях и очередности эвакуации.</w:t>
      </w:r>
    </w:p>
    <w:p>
      <w:pPr>
        <w:pStyle w:val="Normal"/>
        <w:tabs>
          <w:tab w:val="clear" w:pos="708"/>
          <w:tab w:val="left" w:pos="3544" w:leader="none"/>
        </w:tabs>
        <w:spacing w:before="0" w:after="0"/>
        <w:ind w:firstLine="680" w:end="0"/>
        <w:contextualSpacing/>
        <w:jc w:val="both"/>
        <w:rPr>
          <w:rFonts w:eastAsia="Calibri"/>
          <w:b/>
          <w:sz w:val="22"/>
          <w:szCs w:val="22"/>
        </w:rPr>
      </w:pPr>
      <w:r>
        <w:rPr>
          <w:rFonts w:eastAsia="Calibri"/>
          <w:b/>
          <w:sz w:val="22"/>
          <w:szCs w:val="22"/>
        </w:rPr>
        <w:t xml:space="preserve">Объектовое оборудование системы Стрелец-Мониторинг </w:t>
      </w:r>
      <w:r>
        <w:rPr>
          <w:rFonts w:eastAsia="Calibri"/>
          <w:sz w:val="22"/>
          <w:szCs w:val="22"/>
        </w:rPr>
        <w:t xml:space="preserve">– оборудование, </w:t>
      </w:r>
      <w:r>
        <w:rPr>
          <w:rFonts w:eastAsia="Calibri"/>
          <w:color w:val="000000"/>
          <w:sz w:val="22"/>
          <w:szCs w:val="22"/>
          <w:lang w:eastAsia="en-US"/>
        </w:rPr>
        <w:t>предназначенное для обработки и передачи данных о параметрах возгорания без участия сотрудников объекта на пультовую станцию пожарных подразделений по выделенному радиоканалу МЧС.</w:t>
      </w:r>
    </w:p>
    <w:p>
      <w:pPr>
        <w:pStyle w:val="Normal"/>
        <w:widowControl w:val="false"/>
        <w:suppressAutoHyphens w:val="false"/>
        <w:autoSpaceDE w:val="false"/>
        <w:ind w:firstLine="709" w:end="0"/>
        <w:jc w:val="both"/>
        <w:rPr>
          <w:rFonts w:eastAsia="Calibri"/>
          <w:b/>
          <w:sz w:val="22"/>
          <w:szCs w:val="22"/>
        </w:rPr>
      </w:pPr>
      <w:r>
        <w:rPr>
          <w:rFonts w:eastAsia="Calibri"/>
          <w:b/>
          <w:sz w:val="22"/>
          <w:szCs w:val="22"/>
        </w:rPr>
        <w:t>Мониторинг пожарной обстановки и контроль за работоспособностью средств пожарной автоматики</w:t>
      </w:r>
      <w:r>
        <w:rPr>
          <w:rFonts w:eastAsia="Calibri"/>
          <w:sz w:val="22"/>
          <w:szCs w:val="22"/>
        </w:rPr>
        <w:t xml:space="preserve"> - </w:t>
      </w:r>
      <w:r>
        <w:rPr>
          <w:sz w:val="22"/>
          <w:szCs w:val="22"/>
        </w:rPr>
        <w:t>процесс непрерывного, автоматизированного сбора информации, поступающей от систем пожарной автоматики, установленной на объекте защиты. Целью мониторинга систем пожарной автоматики является своевременное доведение поступивших сигналов «Тревога», технологических сигналов всем заинтересованным лицам для осуществления необходимых действий и плановых мероприятий по защите, как жизни и здоровья работников (клиентов), так и сохранности имущества, находящегося на объекте защиты.</w:t>
      </w:r>
    </w:p>
    <w:p>
      <w:pPr>
        <w:pStyle w:val="Normal"/>
        <w:suppressAutoHyphens w:val="false"/>
        <w:ind w:firstLine="709" w:end="0"/>
        <w:jc w:val="both"/>
        <w:rPr>
          <w:rFonts w:eastAsia="Calibri"/>
          <w:b/>
          <w:i/>
          <w:i/>
          <w:sz w:val="22"/>
          <w:szCs w:val="22"/>
          <w:lang w:eastAsia="en-US"/>
        </w:rPr>
      </w:pPr>
      <w:r>
        <w:rPr>
          <w:rFonts w:eastAsia="Calibri"/>
          <w:b/>
          <w:sz w:val="22"/>
          <w:szCs w:val="22"/>
        </w:rPr>
        <w:t>Центр технического мониторинга (ЦТМ)</w:t>
      </w:r>
      <w:r>
        <w:rPr>
          <w:rFonts w:eastAsia="Calibri"/>
          <w:sz w:val="22"/>
          <w:szCs w:val="22"/>
        </w:rPr>
        <w:t xml:space="preserve"> – специализированная организация, осуществляющая мониторинг приема, обработки и регистрации сигналов, поступающих от объектов защиты на Оборудование, а также осуществляющая контроль за работоспособностью объектовых станций и Оборудования в круглосуточном режиме;</w:t>
      </w:r>
    </w:p>
    <w:p>
      <w:pPr>
        <w:pStyle w:val="Normal"/>
        <w:widowControl w:val="false"/>
        <w:suppressAutoHyphens w:val="false"/>
        <w:autoSpaceDE w:val="false"/>
        <w:ind w:firstLine="709" w:end="0"/>
        <w:jc w:val="both"/>
        <w:rPr>
          <w:b/>
          <w:i/>
          <w:i/>
          <w:sz w:val="22"/>
          <w:szCs w:val="22"/>
        </w:rPr>
      </w:pPr>
      <w:r>
        <w:rPr>
          <w:rFonts w:eastAsia="Calibri"/>
          <w:b/>
          <w:i/>
          <w:sz w:val="22"/>
          <w:szCs w:val="22"/>
          <w:lang w:eastAsia="en-US"/>
        </w:rPr>
        <w:t xml:space="preserve">Эксплуатационно- техническое обслуживание - </w:t>
      </w:r>
      <w:r>
        <w:rPr>
          <w:rFonts w:eastAsia="Calibri"/>
          <w:sz w:val="22"/>
          <w:szCs w:val="22"/>
          <w:lang w:eastAsia="en-US"/>
        </w:rPr>
        <w:t>Техническое обслуживание системы, выполняемое через установленные в эксплуатационной документации интервалы времени.</w:t>
      </w:r>
    </w:p>
    <w:p>
      <w:pPr>
        <w:pStyle w:val="Normal"/>
        <w:widowControl w:val="false"/>
        <w:suppressAutoHyphens w:val="false"/>
        <w:autoSpaceDE w:val="false"/>
        <w:ind w:firstLine="709" w:end="0"/>
        <w:jc w:val="both"/>
        <w:rPr>
          <w:rFonts w:eastAsia="Times New Roman"/>
          <w:b/>
          <w:i/>
          <w:i/>
          <w:sz w:val="22"/>
          <w:szCs w:val="22"/>
          <w:lang w:eastAsia="en-US"/>
        </w:rPr>
      </w:pPr>
      <w:r>
        <w:rPr>
          <w:b/>
          <w:i/>
          <w:sz w:val="22"/>
          <w:szCs w:val="22"/>
        </w:rPr>
        <w:t>Текущий ремонт (ТР)</w:t>
      </w:r>
      <w:r>
        <w:rPr>
          <w:sz w:val="22"/>
          <w:szCs w:val="22"/>
        </w:rPr>
        <w:t xml:space="preserve"> – ремонт, выполняемый для обеспечения или восстановления работоспособности системы и состоящий в замене и (или) восстановлении ее отдельных частей.</w:t>
      </w:r>
    </w:p>
    <w:p>
      <w:pPr>
        <w:pStyle w:val="Normal"/>
        <w:suppressAutoHyphens w:val="false"/>
        <w:jc w:val="both"/>
        <w:rPr>
          <w:rFonts w:eastAsia="Times New Roman"/>
          <w:sz w:val="22"/>
          <w:szCs w:val="22"/>
        </w:rPr>
      </w:pPr>
      <w:r>
        <w:rPr>
          <w:rFonts w:eastAsia="Times New Roman"/>
          <w:b/>
          <w:i/>
          <w:sz w:val="22"/>
          <w:szCs w:val="22"/>
          <w:lang w:eastAsia="en-US"/>
        </w:rPr>
        <w:t xml:space="preserve">           </w:t>
      </w:r>
      <w:r>
        <w:rPr>
          <w:rFonts w:eastAsia="Calibri"/>
          <w:b/>
          <w:i/>
          <w:sz w:val="22"/>
          <w:szCs w:val="22"/>
          <w:lang w:eastAsia="en-US"/>
        </w:rPr>
        <w:t>Договор</w:t>
      </w:r>
      <w:r>
        <w:rPr>
          <w:rFonts w:eastAsia="Calibri"/>
          <w:sz w:val="22"/>
          <w:szCs w:val="22"/>
          <w:lang w:eastAsia="en-US"/>
        </w:rPr>
        <w:t xml:space="preserve"> – настоящий договор об эксплуатационно-техническом обслуживании исправных и работоспособных установок системы автоматической пожарной сигнализации и оповещения и управления эвакуацией людей и их текущему ремонту, </w:t>
      </w:r>
      <w:r>
        <w:rPr>
          <w:rFonts w:eastAsia="Calibri"/>
          <w:sz w:val="22"/>
          <w:szCs w:val="22"/>
        </w:rPr>
        <w:t>об эксплуатационно-техническом обслуживании объектового оборудования,</w:t>
      </w:r>
    </w:p>
    <w:p>
      <w:pPr>
        <w:pStyle w:val="Normal"/>
        <w:suppressAutoHyphens w:val="false"/>
        <w:jc w:val="both"/>
        <w:rPr>
          <w:rFonts w:eastAsia="Calibri"/>
          <w:b/>
          <w:sz w:val="22"/>
          <w:szCs w:val="22"/>
          <w:lang w:eastAsia="en-US"/>
        </w:rPr>
      </w:pPr>
      <w:r>
        <w:rPr>
          <w:rFonts w:eastAsia="Times New Roman"/>
          <w:sz w:val="22"/>
          <w:szCs w:val="22"/>
        </w:rPr>
        <w:t xml:space="preserve"> </w:t>
      </w:r>
      <w:r>
        <w:rPr>
          <w:rFonts w:eastAsia="Calibri"/>
          <w:sz w:val="22"/>
          <w:szCs w:val="22"/>
        </w:rPr>
        <w:t>мониторингу пожарной обстановки и контролю за работоспособностью средств пожарной автоматики.</w:t>
      </w:r>
    </w:p>
    <w:p>
      <w:pPr>
        <w:pStyle w:val="Normal"/>
        <w:numPr>
          <w:ilvl w:val="0"/>
          <w:numId w:val="3"/>
        </w:numPr>
        <w:suppressAutoHyphens w:val="false"/>
        <w:ind w:hanging="709" w:start="3686" w:end="0"/>
        <w:jc w:val="both"/>
        <w:rPr>
          <w:rFonts w:eastAsia="Calibri"/>
          <w:sz w:val="22"/>
          <w:szCs w:val="22"/>
          <w:lang w:eastAsia="en-US"/>
        </w:rPr>
      </w:pPr>
      <w:r>
        <w:rPr>
          <w:rFonts w:eastAsia="Calibri"/>
          <w:b/>
          <w:sz w:val="22"/>
          <w:szCs w:val="22"/>
          <w:lang w:eastAsia="en-US"/>
        </w:rPr>
        <w:t>Предмет договора</w:t>
      </w:r>
    </w:p>
    <w:p>
      <w:pPr>
        <w:pStyle w:val="Normal"/>
        <w:numPr>
          <w:ilvl w:val="1"/>
          <w:numId w:val="3"/>
        </w:numPr>
        <w:ind w:firstLine="360" w:start="0" w:end="0"/>
        <w:jc w:val="both"/>
        <w:rPr>
          <w:rFonts w:eastAsia="Calibri"/>
          <w:sz w:val="22"/>
          <w:szCs w:val="22"/>
          <w:lang w:eastAsia="en-US"/>
        </w:rPr>
      </w:pPr>
      <w:r>
        <w:rPr>
          <w:rFonts w:eastAsia="Calibri"/>
          <w:sz w:val="22"/>
          <w:szCs w:val="22"/>
          <w:lang w:eastAsia="en-US"/>
        </w:rPr>
        <w:t xml:space="preserve">«Заказчик» поручает, а «Исполнитель» принимает на себя обязательства по выполнению следующих работ: </w:t>
      </w:r>
    </w:p>
    <w:p>
      <w:pPr>
        <w:pStyle w:val="Normal"/>
        <w:ind w:firstLine="426" w:end="0"/>
        <w:jc w:val="both"/>
        <w:rPr>
          <w:rFonts w:eastAsia="Times New Roman"/>
          <w:sz w:val="22"/>
          <w:szCs w:val="22"/>
          <w:lang w:eastAsia="en-US"/>
        </w:rPr>
      </w:pPr>
      <w:r>
        <w:rPr>
          <w:rFonts w:eastAsia="Calibri"/>
          <w:sz w:val="22"/>
          <w:szCs w:val="22"/>
          <w:lang w:eastAsia="en-US"/>
        </w:rPr>
        <w:t>- 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 объеме, предусмотренном п.2.2. настоящего Договора.</w:t>
      </w:r>
    </w:p>
    <w:p>
      <w:pPr>
        <w:pStyle w:val="Normal"/>
        <w:suppressAutoHyphens w:val="false"/>
        <w:jc w:val="both"/>
        <w:rPr>
          <w:rFonts w:eastAsia="Times New Roman"/>
          <w:sz w:val="22"/>
          <w:szCs w:val="22"/>
        </w:rPr>
      </w:pPr>
      <w:r>
        <w:rPr>
          <w:rFonts w:eastAsia="Times New Roman"/>
          <w:sz w:val="22"/>
          <w:szCs w:val="22"/>
          <w:lang w:eastAsia="en-US"/>
        </w:rPr>
        <w:t xml:space="preserve">        </w:t>
      </w:r>
      <w:r>
        <w:rPr>
          <w:rFonts w:eastAsia="Calibri"/>
          <w:sz w:val="22"/>
          <w:szCs w:val="22"/>
          <w:lang w:eastAsia="en-US"/>
        </w:rPr>
        <w:t xml:space="preserve">- </w:t>
      </w:r>
      <w:r>
        <w:rPr>
          <w:rFonts w:eastAsia="Calibri"/>
          <w:sz w:val="22"/>
          <w:szCs w:val="22"/>
        </w:rPr>
        <w:t>эксплуатационно-технического обслуживания объектового оборудования системы Стрелец-Мониторинг;</w:t>
      </w:r>
    </w:p>
    <w:p>
      <w:pPr>
        <w:pStyle w:val="Normal"/>
        <w:suppressAutoHyphens w:val="false"/>
        <w:jc w:val="both"/>
        <w:rPr>
          <w:rFonts w:eastAsia="Times New Roman"/>
          <w:sz w:val="22"/>
          <w:szCs w:val="22"/>
          <w:lang w:eastAsia="en-US"/>
        </w:rPr>
      </w:pPr>
      <w:r>
        <w:rPr>
          <w:rFonts w:eastAsia="Times New Roman"/>
          <w:sz w:val="22"/>
          <w:szCs w:val="22"/>
        </w:rPr>
        <w:t xml:space="preserve">        </w:t>
      </w:r>
      <w:r>
        <w:rPr>
          <w:rFonts w:eastAsia="Calibri"/>
          <w:sz w:val="22"/>
          <w:szCs w:val="22"/>
        </w:rPr>
        <w:t xml:space="preserve">- мониторингу пожарной обстановки и контролю за работоспособностью средств пожарной автоматики. </w:t>
      </w:r>
    </w:p>
    <w:p>
      <w:pPr>
        <w:pStyle w:val="Normal"/>
        <w:widowControl w:val="false"/>
        <w:shd w:fill="FFFFFF" w:val="clear"/>
        <w:suppressAutoHyphens w:val="false"/>
        <w:autoSpaceDE w:val="false"/>
        <w:jc w:val="both"/>
        <w:rPr>
          <w:rFonts w:eastAsia="Calibri"/>
          <w:sz w:val="22"/>
          <w:szCs w:val="22"/>
          <w:lang w:eastAsia="en-US"/>
        </w:rPr>
      </w:pPr>
      <w:r>
        <w:rPr>
          <w:rFonts w:eastAsia="Times New Roman"/>
          <w:sz w:val="22"/>
          <w:szCs w:val="22"/>
          <w:lang w:eastAsia="en-US"/>
        </w:rPr>
        <w:t xml:space="preserve">     </w:t>
      </w:r>
      <w:r>
        <w:rPr>
          <w:rFonts w:eastAsia="Calibri"/>
          <w:sz w:val="22"/>
          <w:szCs w:val="22"/>
          <w:lang w:eastAsia="en-US"/>
        </w:rPr>
        <w:t>2.2.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включает в себя:</w:t>
      </w:r>
    </w:p>
    <w:p>
      <w:pPr>
        <w:pStyle w:val="Normal"/>
        <w:widowControl w:val="false"/>
        <w:shd w:fill="FFFFFF" w:val="clear"/>
        <w:suppressAutoHyphens w:val="false"/>
        <w:autoSpaceDE w:val="false"/>
        <w:ind w:firstLine="709" w:end="0"/>
        <w:jc w:val="both"/>
        <w:rPr>
          <w:rFonts w:eastAsia="Calibri"/>
          <w:sz w:val="22"/>
          <w:szCs w:val="22"/>
          <w:lang w:eastAsia="en-US"/>
        </w:rPr>
      </w:pPr>
      <w:r>
        <w:rPr>
          <w:rFonts w:eastAsia="Calibri"/>
          <w:sz w:val="22"/>
          <w:szCs w:val="22"/>
          <w:lang w:eastAsia="en-US"/>
        </w:rPr>
        <w:t>-проведение планового эксплуатационно-технического обслуживания (ежеквартальных регламентных работ).</w:t>
      </w:r>
    </w:p>
    <w:p>
      <w:pPr>
        <w:pStyle w:val="Normal"/>
        <w:widowControl w:val="false"/>
        <w:shd w:fill="FFFFFF" w:val="clear"/>
        <w:suppressAutoHyphens w:val="false"/>
        <w:autoSpaceDE w:val="false"/>
        <w:ind w:firstLine="709" w:end="0"/>
        <w:jc w:val="both"/>
        <w:rPr>
          <w:rFonts w:eastAsia="Calibri"/>
          <w:sz w:val="22"/>
          <w:szCs w:val="22"/>
          <w:lang w:eastAsia="en-US"/>
        </w:rPr>
      </w:pPr>
      <w:r>
        <w:rPr>
          <w:rFonts w:eastAsia="Calibri"/>
          <w:sz w:val="22"/>
          <w:szCs w:val="22"/>
          <w:lang w:eastAsia="en-US"/>
        </w:rPr>
        <w:t>-проведение внепланового технического обслуживания при возникновении сбоев в работе аппаратуры;</w:t>
      </w:r>
    </w:p>
    <w:p>
      <w:pPr>
        <w:pStyle w:val="Normal"/>
        <w:widowControl w:val="false"/>
        <w:shd w:fill="FFFFFF" w:val="clear"/>
        <w:suppressAutoHyphens w:val="false"/>
        <w:autoSpaceDE w:val="false"/>
        <w:ind w:firstLine="709" w:end="0"/>
        <w:jc w:val="both"/>
        <w:rPr>
          <w:rFonts w:eastAsia="Calibri"/>
          <w:sz w:val="22"/>
          <w:szCs w:val="22"/>
          <w:lang w:eastAsia="en-US"/>
        </w:rPr>
      </w:pPr>
      <w:r>
        <w:rPr>
          <w:rFonts w:eastAsia="Calibri"/>
          <w:sz w:val="22"/>
          <w:szCs w:val="22"/>
          <w:lang w:eastAsia="en-US"/>
        </w:rPr>
        <w:t>-выявление и устранение причин «ложных» срабатываний, вызванных сбоями (отказами) в работе;</w:t>
      </w:r>
    </w:p>
    <w:p>
      <w:pPr>
        <w:pStyle w:val="Normal"/>
        <w:widowControl w:val="false"/>
        <w:shd w:fill="FFFFFF" w:val="clear"/>
        <w:suppressAutoHyphens w:val="false"/>
        <w:autoSpaceDE w:val="false"/>
        <w:ind w:firstLine="709" w:end="0"/>
        <w:jc w:val="both"/>
        <w:rPr>
          <w:rFonts w:eastAsia="Times New Roman"/>
          <w:sz w:val="22"/>
          <w:szCs w:val="22"/>
          <w:lang w:eastAsia="en-US"/>
        </w:rPr>
      </w:pPr>
      <w:r>
        <w:rPr>
          <w:rFonts w:eastAsia="Calibri"/>
          <w:sz w:val="22"/>
          <w:szCs w:val="22"/>
          <w:lang w:eastAsia="en-US"/>
        </w:rPr>
        <w:t>-оказание помощи Заказчику в вопросах правильной эксплуатации.</w:t>
      </w:r>
    </w:p>
    <w:p>
      <w:pPr>
        <w:pStyle w:val="Normal"/>
        <w:widowControl w:val="false"/>
        <w:shd w:fill="FFFFFF" w:val="clear"/>
        <w:suppressAutoHyphens w:val="false"/>
        <w:autoSpaceDE w:val="false"/>
        <w:jc w:val="both"/>
        <w:rPr>
          <w:rFonts w:eastAsia="Times New Roman"/>
          <w:sz w:val="22"/>
          <w:szCs w:val="22"/>
          <w:lang w:eastAsia="en-US"/>
        </w:rPr>
      </w:pPr>
      <w:r>
        <w:rPr>
          <w:rFonts w:eastAsia="Times New Roman"/>
          <w:sz w:val="22"/>
          <w:szCs w:val="22"/>
          <w:lang w:eastAsia="en-US"/>
        </w:rPr>
        <w:t xml:space="preserve">    </w:t>
      </w:r>
      <w:r>
        <w:rPr>
          <w:rFonts w:eastAsia="Calibri"/>
          <w:sz w:val="22"/>
          <w:szCs w:val="22"/>
          <w:lang w:eastAsia="en-US"/>
        </w:rPr>
        <w:t>Перечень ежемесячных регламентных работ, проводимых при выполнении</w:t>
      </w:r>
      <w:r>
        <w:rPr>
          <w:sz w:val="22"/>
          <w:szCs w:val="22"/>
        </w:rPr>
        <w:t xml:space="preserve"> </w:t>
      </w:r>
      <w:r>
        <w:rPr>
          <w:rFonts w:eastAsia="Calibri"/>
          <w:sz w:val="22"/>
          <w:szCs w:val="22"/>
          <w:lang w:eastAsia="en-US"/>
        </w:rPr>
        <w:t>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приведен в Регламенте (Приложение №1).</w:t>
      </w:r>
    </w:p>
    <w:p>
      <w:pPr>
        <w:pStyle w:val="Normal"/>
        <w:widowControl w:val="false"/>
        <w:shd w:fill="FFFFFF" w:val="clear"/>
        <w:suppressAutoHyphens w:val="false"/>
        <w:autoSpaceDE w:val="false"/>
        <w:jc w:val="both"/>
        <w:rPr>
          <w:rFonts w:eastAsia="Times New Roman"/>
          <w:sz w:val="22"/>
          <w:szCs w:val="22"/>
          <w:lang w:eastAsia="en-US"/>
        </w:rPr>
      </w:pPr>
      <w:r>
        <w:rPr>
          <w:rFonts w:eastAsia="Times New Roman"/>
          <w:sz w:val="22"/>
          <w:szCs w:val="22"/>
          <w:lang w:eastAsia="en-US"/>
        </w:rPr>
        <w:t xml:space="preserve">       </w:t>
      </w:r>
      <w:r>
        <w:rPr>
          <w:rFonts w:eastAsia="Calibri"/>
          <w:sz w:val="22"/>
          <w:szCs w:val="22"/>
          <w:lang w:eastAsia="en-US"/>
        </w:rPr>
        <w:t>Для замены составных частей системы в ходе выполнения TP системы используются изделия собственника или предприятия (учреждения), обладающего правом хозяйственного ведения или оперативного управления системой.</w:t>
      </w:r>
    </w:p>
    <w:p>
      <w:pPr>
        <w:pStyle w:val="Normal"/>
        <w:widowControl w:val="false"/>
        <w:shd w:fill="FFFFFF" w:val="clear"/>
        <w:suppressAutoHyphens w:val="false"/>
        <w:autoSpaceDE w:val="false"/>
        <w:jc w:val="both"/>
        <w:rPr>
          <w:rFonts w:eastAsia="Times New Roman"/>
          <w:sz w:val="22"/>
          <w:szCs w:val="22"/>
          <w:lang w:eastAsia="en-US"/>
        </w:rPr>
      </w:pPr>
      <w:r>
        <w:rPr>
          <w:rFonts w:eastAsia="Times New Roman"/>
          <w:sz w:val="22"/>
          <w:szCs w:val="22"/>
          <w:lang w:eastAsia="en-US"/>
        </w:rPr>
        <w:t xml:space="preserve">      </w:t>
      </w:r>
      <w:r>
        <w:rPr>
          <w:rFonts w:eastAsia="Calibri"/>
          <w:sz w:val="22"/>
          <w:szCs w:val="22"/>
          <w:lang w:eastAsia="en-US"/>
        </w:rPr>
        <w:t>Срок, порядок и оплата проведения ремонтных и (или) внеплановых работ, в случае их необходимости, согласовывается между «Заказчиком» и «Исполнителем» дополнительно, в зависимости от характера неисправностей, возникших в системе пожарной автоматики.</w:t>
      </w:r>
    </w:p>
    <w:p>
      <w:pPr>
        <w:pStyle w:val="Normal"/>
        <w:widowControl w:val="false"/>
        <w:shd w:fill="FFFFFF" w:val="clear"/>
        <w:suppressAutoHyphens w:val="false"/>
        <w:autoSpaceDE w:val="false"/>
        <w:jc w:val="both"/>
        <w:rPr>
          <w:rFonts w:eastAsia="Calibri"/>
          <w:sz w:val="22"/>
          <w:szCs w:val="22"/>
          <w:lang w:eastAsia="en-US"/>
        </w:rPr>
      </w:pPr>
      <w:r>
        <w:rPr>
          <w:rFonts w:eastAsia="Times New Roman"/>
          <w:sz w:val="22"/>
          <w:szCs w:val="22"/>
          <w:lang w:eastAsia="en-US"/>
        </w:rPr>
        <w:t xml:space="preserve">        </w:t>
      </w:r>
      <w:r>
        <w:rPr>
          <w:rFonts w:eastAsia="Calibri"/>
          <w:sz w:val="22"/>
          <w:szCs w:val="22"/>
          <w:lang w:eastAsia="en-US"/>
        </w:rPr>
        <w:t>ТО и TP систем проводятся с целью обеспечения выполнения функций, предусмотренных проектом, целостности систем, работоспособности и функциональной безопасности в течение всего срока эксплуатации, предусмотренного проектной и технической документацией, что достигается следующими действиями:</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осуществление постоянного контроля технического состояния и правильности функционирования систем в целом;</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периодическая проверка (путем измерений, испытаний) соответствия параметров требованиям технической (эксплуатационной) документации;</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проведение комплекса работ по поддержанию работоспособности систем в течение всего срока эксплуатации;</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своевременная замена отдельных составляющих и частей систем, регламентированных технической документацией на них;</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ведение постоянного учета отказов, сбоев и ложных срабатываний систем, выявление и устранение причин их возникновения;</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ТО систем;</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заблаговременное определение достижения отдельными составными частями систем предельного ресурса с целью своевременной замены;</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своевременное устранение выявленных в ходе эксплуатации или ТО систем неисправностей отдельных составных частей или систем в целом в рамках TP систем;</w:t>
      </w:r>
    </w:p>
    <w:p>
      <w:pPr>
        <w:pStyle w:val="Normal"/>
        <w:widowControl w:val="false"/>
        <w:shd w:fill="FFFFFF" w:val="clear"/>
        <w:suppressAutoHyphens w:val="false"/>
        <w:autoSpaceDE w:val="false"/>
        <w:jc w:val="both"/>
        <w:rPr>
          <w:rFonts w:eastAsia="Calibri"/>
          <w:sz w:val="22"/>
          <w:szCs w:val="22"/>
          <w:lang w:eastAsia="en-US"/>
        </w:rPr>
      </w:pPr>
      <w:r>
        <w:rPr>
          <w:rFonts w:eastAsia="Calibri"/>
          <w:sz w:val="22"/>
          <w:szCs w:val="22"/>
          <w:lang w:eastAsia="en-US"/>
        </w:rPr>
        <w:t>- метрологическое обеспечение проводимых работ, как в ходе эксплуатации, так и ТО систем, в том числе обеспечение средствами измерений, осуществление их своевременной проверки, соблюдение метрологических стандартов, норм и правил;</w:t>
      </w:r>
    </w:p>
    <w:p>
      <w:pPr>
        <w:pStyle w:val="Normal"/>
        <w:widowControl w:val="false"/>
        <w:shd w:fill="FFFFFF" w:val="clear"/>
        <w:suppressAutoHyphens w:val="false"/>
        <w:autoSpaceDE w:val="false"/>
        <w:jc w:val="both"/>
        <w:rPr>
          <w:rFonts w:eastAsia="Times New Roman"/>
          <w:sz w:val="22"/>
          <w:szCs w:val="22"/>
        </w:rPr>
      </w:pPr>
      <w:r>
        <w:rPr>
          <w:rFonts w:eastAsia="Calibri"/>
          <w:sz w:val="22"/>
          <w:szCs w:val="22"/>
          <w:lang w:eastAsia="en-US"/>
        </w:rPr>
        <w:t>- допуск к производству работ по ТО и TP систем персонала, имеющего достаточную профессиональную подготовку и предусмотренные в установленном порядке разрешительные документы на осуществление данного вида работ, и проведение постоянной работы по повышению его квалификации.</w:t>
      </w:r>
    </w:p>
    <w:p>
      <w:pPr>
        <w:pStyle w:val="Normal"/>
        <w:suppressAutoHyphens w:val="false"/>
        <w:jc w:val="both"/>
        <w:rPr>
          <w:sz w:val="22"/>
          <w:szCs w:val="22"/>
        </w:rPr>
      </w:pPr>
      <w:r>
        <w:rPr>
          <w:rFonts w:eastAsia="Times New Roman"/>
          <w:sz w:val="22"/>
          <w:szCs w:val="22"/>
        </w:rPr>
        <w:t xml:space="preserve">        </w:t>
      </w:r>
      <w:r>
        <w:rPr>
          <w:rFonts w:eastAsia="Calibri"/>
          <w:sz w:val="22"/>
          <w:szCs w:val="22"/>
        </w:rPr>
        <w:t xml:space="preserve">Эксплуатационно-техническое обслуживание объектового оборудования Стрелец-Мониторинг </w:t>
      </w:r>
      <w:r>
        <w:rPr>
          <w:rFonts w:eastAsia="Calibri"/>
          <w:sz w:val="22"/>
          <w:szCs w:val="22"/>
          <w:lang w:eastAsia="en-US"/>
        </w:rPr>
        <w:t>включает в себя:</w:t>
      </w:r>
    </w:p>
    <w:p>
      <w:pPr>
        <w:pStyle w:val="Normal"/>
        <w:suppressAutoHyphens w:val="false"/>
        <w:ind w:firstLine="709" w:end="0"/>
        <w:jc w:val="both"/>
        <w:rPr>
          <w:sz w:val="22"/>
          <w:szCs w:val="22"/>
        </w:rPr>
      </w:pPr>
      <w:r>
        <w:rPr>
          <w:sz w:val="22"/>
          <w:szCs w:val="22"/>
        </w:rPr>
        <w:t>1) Плановые работы по Регламенту №1 проводятся один раз в месяц и включают в себя следующие виды работ:</w:t>
      </w:r>
    </w:p>
    <w:p>
      <w:pPr>
        <w:pStyle w:val="Normal"/>
        <w:suppressAutoHyphens w:val="false"/>
        <w:autoSpaceDE w:val="false"/>
        <w:spacing w:before="0" w:after="0"/>
        <w:contextualSpacing/>
        <w:jc w:val="both"/>
        <w:rPr>
          <w:sz w:val="22"/>
          <w:szCs w:val="22"/>
        </w:rPr>
      </w:pPr>
      <w:r>
        <w:rPr>
          <w:sz w:val="22"/>
          <w:szCs w:val="22"/>
        </w:rPr>
        <w:t>- внешний осмотр Оборудования на отсутствие механических повреждений и загрязнений, чистку прибора;</w:t>
      </w:r>
    </w:p>
    <w:p>
      <w:pPr>
        <w:pStyle w:val="Normal"/>
        <w:suppressAutoHyphens w:val="false"/>
        <w:autoSpaceDE w:val="false"/>
        <w:spacing w:before="0" w:after="0"/>
        <w:contextualSpacing/>
        <w:jc w:val="both"/>
        <w:rPr>
          <w:sz w:val="22"/>
          <w:szCs w:val="22"/>
        </w:rPr>
      </w:pPr>
      <w:r>
        <w:rPr>
          <w:sz w:val="22"/>
          <w:szCs w:val="22"/>
        </w:rPr>
        <w:t>- проверку работоспособности Оборудования посредством формирования извещения «неисправность» от Оборудования и контроля поступления извещения на пульт пожарных подразделений.</w:t>
      </w:r>
    </w:p>
    <w:p>
      <w:pPr>
        <w:pStyle w:val="Normal"/>
        <w:suppressAutoHyphens w:val="false"/>
        <w:ind w:firstLine="709" w:end="0"/>
        <w:jc w:val="both"/>
        <w:rPr>
          <w:sz w:val="22"/>
          <w:szCs w:val="22"/>
        </w:rPr>
      </w:pPr>
      <w:r>
        <w:rPr>
          <w:sz w:val="22"/>
          <w:szCs w:val="22"/>
        </w:rPr>
        <w:t>2) Плановые работы по Регламенту №2 проводятся один раз в шесть месяцев или при поступлении с Объекта защиты 2-х и более сообщений о неисправностях в течение 30дней и включают в себя следующие виды работ:</w:t>
      </w:r>
    </w:p>
    <w:p>
      <w:pPr>
        <w:pStyle w:val="Normal"/>
        <w:suppressAutoHyphens w:val="false"/>
        <w:autoSpaceDE w:val="false"/>
        <w:spacing w:before="0" w:after="0"/>
        <w:contextualSpacing/>
        <w:jc w:val="both"/>
        <w:rPr>
          <w:sz w:val="22"/>
          <w:szCs w:val="22"/>
        </w:rPr>
      </w:pPr>
      <w:r>
        <w:rPr>
          <w:sz w:val="22"/>
          <w:szCs w:val="22"/>
        </w:rPr>
        <w:t>- внешний осмотр Оборудования на отсутствие механических повреждений и загрязнений, чистку прибора;</w:t>
      </w:r>
    </w:p>
    <w:p>
      <w:pPr>
        <w:pStyle w:val="Normal"/>
        <w:suppressAutoHyphens w:val="false"/>
        <w:autoSpaceDE w:val="false"/>
        <w:spacing w:before="0" w:after="0"/>
        <w:contextualSpacing/>
        <w:jc w:val="both"/>
        <w:rPr>
          <w:sz w:val="22"/>
          <w:szCs w:val="22"/>
        </w:rPr>
      </w:pPr>
      <w:r>
        <w:rPr>
          <w:sz w:val="22"/>
          <w:szCs w:val="22"/>
        </w:rPr>
        <w:t>- проверку работоспособности Оборудования посредством формирования извещения «пожар» от Оборудования и контроля поступления извещения на пульт пожарных подразделений;</w:t>
      </w:r>
    </w:p>
    <w:p>
      <w:pPr>
        <w:pStyle w:val="Normal"/>
        <w:suppressAutoHyphens w:val="false"/>
        <w:autoSpaceDE w:val="false"/>
        <w:spacing w:before="0" w:after="0"/>
        <w:contextualSpacing/>
        <w:jc w:val="both"/>
        <w:rPr>
          <w:sz w:val="22"/>
          <w:szCs w:val="22"/>
        </w:rPr>
      </w:pPr>
      <w:r>
        <w:rPr>
          <w:sz w:val="22"/>
          <w:szCs w:val="22"/>
        </w:rPr>
        <w:t xml:space="preserve">- контроль работоспособности Оборудования по внешним признакам: свечение индикаторов, наличие рабочих напряжений, переход на питание от АБ. </w:t>
      </w:r>
    </w:p>
    <w:p>
      <w:pPr>
        <w:pStyle w:val="Normal"/>
        <w:suppressAutoHyphens w:val="false"/>
        <w:spacing w:before="0" w:after="0"/>
        <w:contextualSpacing/>
        <w:jc w:val="both"/>
        <w:rPr>
          <w:sz w:val="22"/>
          <w:szCs w:val="22"/>
        </w:rPr>
      </w:pPr>
      <w:r>
        <w:rPr>
          <w:sz w:val="22"/>
          <w:szCs w:val="22"/>
        </w:rPr>
        <w:t xml:space="preserve">          </w:t>
      </w:r>
      <w:r>
        <w:rPr>
          <w:sz w:val="22"/>
          <w:szCs w:val="22"/>
        </w:rPr>
        <w:t>С целью выполнения задач по мониторингу пожарной обстановки и контролю за работоспособностью средств пожарной автоматики Исполнитель должен обеспечивать выполнение следующих требований:</w:t>
      </w:r>
    </w:p>
    <w:p>
      <w:pPr>
        <w:pStyle w:val="Normal"/>
        <w:suppressAutoHyphens w:val="false"/>
        <w:autoSpaceDE w:val="false"/>
        <w:spacing w:before="0" w:after="0"/>
        <w:contextualSpacing/>
        <w:jc w:val="both"/>
        <w:rPr>
          <w:sz w:val="22"/>
          <w:szCs w:val="22"/>
        </w:rPr>
      </w:pPr>
      <w:r>
        <w:rPr>
          <w:sz w:val="22"/>
          <w:szCs w:val="22"/>
        </w:rPr>
        <w:t>- осуществление контроля за работоспособностью каналов связи между пультовыми и объектовыми станциями;</w:t>
      </w:r>
    </w:p>
    <w:p>
      <w:pPr>
        <w:pStyle w:val="Normal"/>
        <w:suppressAutoHyphens w:val="false"/>
        <w:autoSpaceDE w:val="false"/>
        <w:spacing w:before="0" w:after="0"/>
        <w:contextualSpacing/>
        <w:jc w:val="both"/>
        <w:rPr>
          <w:sz w:val="22"/>
          <w:szCs w:val="22"/>
        </w:rPr>
      </w:pPr>
      <w:r>
        <w:rPr>
          <w:sz w:val="22"/>
          <w:szCs w:val="22"/>
        </w:rPr>
        <w:t>- осуществление в круглосуточном режиме контроля за работоспособностью пожарной сигнализации и объектового оборудования на объекте защиты;</w:t>
      </w:r>
    </w:p>
    <w:p>
      <w:pPr>
        <w:pStyle w:val="Normal"/>
        <w:suppressAutoHyphens w:val="false"/>
        <w:autoSpaceDE w:val="false"/>
        <w:spacing w:before="0" w:after="0"/>
        <w:contextualSpacing/>
        <w:jc w:val="both"/>
        <w:rPr>
          <w:sz w:val="22"/>
          <w:szCs w:val="22"/>
        </w:rPr>
      </w:pPr>
      <w:r>
        <w:rPr>
          <w:sz w:val="22"/>
          <w:szCs w:val="22"/>
        </w:rPr>
        <w:t>- раннее обнаружение неисправностей пожарной сигнализации и объектового оборудования на объекте защиты с целью своевременного принятия мер по их ликвидации;</w:t>
      </w:r>
    </w:p>
    <w:p>
      <w:pPr>
        <w:pStyle w:val="Normal"/>
        <w:suppressAutoHyphens w:val="false"/>
        <w:autoSpaceDE w:val="false"/>
        <w:spacing w:before="0" w:after="0"/>
        <w:contextualSpacing/>
        <w:jc w:val="both"/>
        <w:rPr>
          <w:sz w:val="22"/>
          <w:szCs w:val="22"/>
        </w:rPr>
      </w:pPr>
      <w:r>
        <w:rPr>
          <w:sz w:val="22"/>
          <w:szCs w:val="22"/>
        </w:rPr>
        <w:t>- сохранение информации о пожарах и неисправностях пожарной сигнализации на объекте защиты в базе данных для оказания помощи при расследовании причин пожаров;</w:t>
      </w:r>
    </w:p>
    <w:p>
      <w:pPr>
        <w:pStyle w:val="Normal"/>
        <w:suppressAutoHyphens w:val="false"/>
        <w:autoSpaceDE w:val="false"/>
        <w:spacing w:before="0" w:after="0"/>
        <w:contextualSpacing/>
        <w:jc w:val="both"/>
        <w:rPr>
          <w:sz w:val="22"/>
          <w:szCs w:val="22"/>
        </w:rPr>
      </w:pPr>
      <w:r>
        <w:rPr>
          <w:sz w:val="22"/>
          <w:szCs w:val="22"/>
        </w:rPr>
        <w:t>- доведение информации о получении сигнала «Пожарная тревога», а также информации о неисправности средств пожарной автоматики до руководителя объекта и представителей специализированной и обслуживающих организаций;</w:t>
      </w:r>
    </w:p>
    <w:p>
      <w:pPr>
        <w:pStyle w:val="Normal"/>
        <w:suppressAutoHyphens w:val="false"/>
        <w:autoSpaceDE w:val="false"/>
        <w:spacing w:before="0" w:after="0"/>
        <w:contextualSpacing/>
        <w:jc w:val="both"/>
        <w:rPr>
          <w:sz w:val="22"/>
          <w:szCs w:val="22"/>
        </w:rPr>
      </w:pPr>
      <w:r>
        <w:rPr>
          <w:sz w:val="22"/>
          <w:szCs w:val="22"/>
        </w:rPr>
        <w:t>- своевременно вносит и при необходимости корректирует информацию о объекте защиты, содержащуюся в карточке объекта.</w:t>
      </w:r>
    </w:p>
    <w:p>
      <w:pPr>
        <w:pStyle w:val="Normal"/>
        <w:suppressAutoHyphens w:val="false"/>
        <w:autoSpaceDE w:val="false"/>
        <w:spacing w:before="0" w:after="0"/>
        <w:contextualSpacing/>
        <w:jc w:val="both"/>
        <w:rPr>
          <w:rFonts w:eastAsia="Times New Roman"/>
          <w:sz w:val="22"/>
          <w:szCs w:val="22"/>
          <w:lang w:eastAsia="en-US"/>
        </w:rPr>
      </w:pPr>
      <w:r>
        <w:rPr>
          <w:sz w:val="22"/>
          <w:szCs w:val="22"/>
        </w:rPr>
        <w:t xml:space="preserve">       </w:t>
      </w:r>
      <w:r>
        <w:rPr>
          <w:rFonts w:eastAsia="Calibri"/>
          <w:sz w:val="22"/>
          <w:szCs w:val="22"/>
          <w:lang w:eastAsia="en-US"/>
        </w:rPr>
        <w:t>2.3. В услуги по эксплуатационно- техническому обслуживанию исправных и работоспособных установок системы пожарной автоматики, объектового оборудования не входят работы по устранению неисправностей, возникших по причине неправильной эксплуатации ее Заказчиком (умышленные поломки, обрывы, поджоги, хищение технических средств целиком и (или) их составных частей).</w:t>
      </w:r>
    </w:p>
    <w:p>
      <w:pPr>
        <w:pStyle w:val="Normal"/>
        <w:suppressAutoHyphens w:val="false"/>
        <w:autoSpaceDE w:val="false"/>
        <w:spacing w:before="0" w:after="0"/>
        <w:contextualSpacing/>
        <w:jc w:val="both"/>
        <w:rPr>
          <w:rFonts w:eastAsia="Times New Roman"/>
          <w:sz w:val="22"/>
          <w:szCs w:val="22"/>
          <w:lang w:eastAsia="en-US"/>
        </w:rPr>
      </w:pPr>
      <w:r>
        <w:rPr>
          <w:rFonts w:eastAsia="Times New Roman"/>
          <w:sz w:val="22"/>
          <w:szCs w:val="22"/>
          <w:lang w:eastAsia="en-US"/>
        </w:rPr>
        <w:t xml:space="preserve">      </w:t>
      </w:r>
      <w:r>
        <w:rPr>
          <w:rFonts w:eastAsia="Calibri"/>
          <w:sz w:val="22"/>
          <w:szCs w:val="22"/>
          <w:lang w:eastAsia="en-US"/>
        </w:rPr>
        <w:t xml:space="preserve">2.4. Круглосуточный контроль пожарной обстановки, контроль за работоспособностью средств пожарной автоматики, а также </w:t>
      </w:r>
      <w:r>
        <w:rPr>
          <w:color w:val="000000"/>
          <w:sz w:val="22"/>
          <w:szCs w:val="22"/>
          <w:shd w:fill="FFFFFF" w:val="clear"/>
        </w:rPr>
        <w:t>за своевременностью и качеством эксплуатационно-технического обслуживания осуществляется Центром технического мониторинга (ЦТМ) ООО «Эксперт безопасности», что подтверждается ежемесячной проверкой и утверждением актов подтверждения соответствия выполненных работ по техническому обслуживанию требованиям «Руководства по эксплуатации».</w:t>
      </w:r>
    </w:p>
    <w:p>
      <w:pPr>
        <w:pStyle w:val="Normal"/>
        <w:widowControl w:val="false"/>
        <w:shd w:fill="FFFFFF" w:val="clear"/>
        <w:suppressAutoHyphens w:val="false"/>
        <w:autoSpaceDE w:val="false"/>
        <w:jc w:val="both"/>
        <w:rPr>
          <w:rFonts w:eastAsia="Calibri"/>
          <w:b/>
          <w:sz w:val="22"/>
          <w:szCs w:val="22"/>
          <w:lang w:eastAsia="en-US"/>
        </w:rPr>
      </w:pPr>
      <w:r>
        <w:rPr>
          <w:rFonts w:eastAsia="Times New Roman"/>
          <w:sz w:val="22"/>
          <w:szCs w:val="22"/>
          <w:lang w:eastAsia="en-US"/>
        </w:rPr>
        <w:t xml:space="preserve">      </w:t>
      </w:r>
      <w:r>
        <w:rPr>
          <w:rFonts w:eastAsia="Calibri"/>
          <w:sz w:val="22"/>
          <w:szCs w:val="22"/>
          <w:lang w:eastAsia="en-US"/>
        </w:rPr>
        <w:t>2.5.</w:t>
      </w:r>
      <w:r>
        <w:rPr>
          <w:sz w:val="22"/>
          <w:szCs w:val="22"/>
        </w:rPr>
        <w:t xml:space="preserve"> </w:t>
      </w:r>
      <w:r>
        <w:rPr>
          <w:rFonts w:eastAsia="Calibri"/>
          <w:sz w:val="22"/>
          <w:szCs w:val="22"/>
          <w:lang w:eastAsia="en-US"/>
        </w:rPr>
        <w:t>Результаты выполнения работ, предусмотренных п.2.1 договора, регистрируются в Журнале технического обслуживания и ремонта систем пожарной автоматики.</w:t>
      </w:r>
      <w:r>
        <w:rPr>
          <w:sz w:val="22"/>
          <w:szCs w:val="22"/>
        </w:rPr>
        <w:t xml:space="preserve"> </w:t>
      </w:r>
      <w:r>
        <w:rPr>
          <w:rFonts w:eastAsia="Calibri"/>
          <w:sz w:val="22"/>
          <w:szCs w:val="22"/>
          <w:lang w:eastAsia="en-US"/>
        </w:rPr>
        <w:t>Результаты выполнения работ по плановому и внеплановому эксплуатационно-техническому обслуживанию в рамках настоящего Договора, подтверждаются соответствующими записями в Журнале регистрации работ. Журнал регистрации работ заводится на каждый Объект отдельно, утверждается Сторонами, один экземпляр Журнала находится на Объекте, второй у ответственного лица Исполнителя.</w:t>
      </w:r>
    </w:p>
    <w:p>
      <w:pPr>
        <w:pStyle w:val="Normal"/>
        <w:suppressAutoHyphens w:val="false"/>
        <w:ind w:firstLine="709" w:end="0"/>
        <w:jc w:val="both"/>
        <w:rPr>
          <w:rFonts w:eastAsia="Calibri"/>
          <w:b/>
          <w:sz w:val="22"/>
          <w:szCs w:val="22"/>
          <w:lang w:eastAsia="en-US"/>
        </w:rPr>
      </w:pPr>
      <w:r>
        <w:rPr>
          <w:rFonts w:eastAsia="Calibri"/>
          <w:b/>
          <w:sz w:val="22"/>
          <w:szCs w:val="22"/>
          <w:lang w:eastAsia="en-US"/>
        </w:rPr>
      </w:r>
    </w:p>
    <w:p>
      <w:pPr>
        <w:pStyle w:val="Normal"/>
        <w:numPr>
          <w:ilvl w:val="0"/>
          <w:numId w:val="3"/>
        </w:numPr>
        <w:suppressAutoHyphens w:val="false"/>
        <w:ind w:hanging="284" w:start="3261" w:end="0"/>
        <w:jc w:val="both"/>
        <w:rPr>
          <w:rFonts w:eastAsia="Calibri"/>
          <w:sz w:val="22"/>
          <w:szCs w:val="22"/>
          <w:lang w:eastAsia="en-US"/>
        </w:rPr>
      </w:pPr>
      <w:r>
        <w:rPr>
          <w:rFonts w:eastAsia="Calibri"/>
          <w:b/>
          <w:sz w:val="22"/>
          <w:szCs w:val="22"/>
          <w:lang w:eastAsia="en-US"/>
        </w:rPr>
        <w:t xml:space="preserve">Права и обязанности Сторон </w:t>
      </w:r>
    </w:p>
    <w:p>
      <w:pPr>
        <w:pStyle w:val="Normal"/>
        <w:numPr>
          <w:ilvl w:val="1"/>
          <w:numId w:val="3"/>
        </w:numPr>
        <w:suppressAutoHyphens w:val="false"/>
        <w:jc w:val="both"/>
        <w:rPr>
          <w:rFonts w:eastAsia="Calibri"/>
          <w:sz w:val="22"/>
          <w:szCs w:val="22"/>
          <w:lang w:eastAsia="en-US"/>
        </w:rPr>
      </w:pPr>
      <w:r>
        <w:rPr>
          <w:rFonts w:eastAsia="Calibri"/>
          <w:sz w:val="22"/>
          <w:szCs w:val="22"/>
          <w:lang w:eastAsia="en-US"/>
        </w:rPr>
        <w:t>Исполнитель обязуется:</w:t>
      </w:r>
    </w:p>
    <w:p>
      <w:pPr>
        <w:pStyle w:val="Normal"/>
        <w:numPr>
          <w:ilvl w:val="2"/>
          <w:numId w:val="3"/>
        </w:numPr>
        <w:suppressAutoHyphens w:val="false"/>
        <w:ind w:firstLine="426" w:start="0" w:end="0"/>
        <w:jc w:val="both"/>
        <w:rPr>
          <w:rFonts w:eastAsia="Calibri"/>
          <w:sz w:val="22"/>
          <w:szCs w:val="22"/>
          <w:lang w:eastAsia="en-US"/>
        </w:rPr>
      </w:pPr>
      <w:r>
        <w:rPr>
          <w:rFonts w:eastAsia="Calibri"/>
          <w:sz w:val="22"/>
          <w:szCs w:val="22"/>
          <w:lang w:eastAsia="en-US"/>
        </w:rPr>
        <w:t>Осуществлять плановое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текущий ремонт в объёме, предусмотренном п.2.2. договора и Регламентом (Приложение № 1).</w:t>
      </w:r>
    </w:p>
    <w:p>
      <w:pPr>
        <w:pStyle w:val="Normal"/>
        <w:numPr>
          <w:ilvl w:val="2"/>
          <w:numId w:val="3"/>
        </w:numPr>
        <w:suppressAutoHyphens w:val="false"/>
        <w:ind w:firstLine="426" w:start="0" w:end="0"/>
        <w:jc w:val="both"/>
        <w:rPr>
          <w:rFonts w:eastAsia="Calibri"/>
          <w:sz w:val="22"/>
          <w:szCs w:val="22"/>
          <w:lang w:eastAsia="en-US"/>
        </w:rPr>
      </w:pPr>
      <w:r>
        <w:rPr>
          <w:rFonts w:eastAsia="Calibri"/>
          <w:sz w:val="22"/>
          <w:szCs w:val="22"/>
          <w:lang w:eastAsia="en-US"/>
        </w:rPr>
        <w:t>При выполнении работ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текущему ремонту объекта защиты Заказчика соблюдать установленные на Объекте правила внутреннего распорядка.</w:t>
      </w:r>
    </w:p>
    <w:p>
      <w:pPr>
        <w:pStyle w:val="Normal"/>
        <w:suppressAutoHyphens w:val="false"/>
        <w:ind w:start="426" w:end="0"/>
        <w:jc w:val="both"/>
        <w:rPr>
          <w:rFonts w:eastAsia="Calibri"/>
          <w:sz w:val="22"/>
          <w:szCs w:val="22"/>
          <w:lang w:eastAsia="en-US"/>
        </w:rPr>
      </w:pPr>
      <w:r>
        <w:rPr>
          <w:rFonts w:eastAsia="Calibri"/>
          <w:sz w:val="22"/>
          <w:szCs w:val="22"/>
          <w:lang w:eastAsia="en-US"/>
        </w:rPr>
        <w:t>При проведении работ по ТО и TP систем Исполнитель должен:</w:t>
      </w:r>
    </w:p>
    <w:p>
      <w:pPr>
        <w:pStyle w:val="Normal"/>
        <w:suppressAutoHyphens w:val="false"/>
        <w:ind w:start="426" w:end="0"/>
        <w:jc w:val="both"/>
        <w:rPr>
          <w:rFonts w:eastAsia="Calibri"/>
          <w:sz w:val="22"/>
          <w:szCs w:val="22"/>
          <w:lang w:eastAsia="en-US"/>
        </w:rPr>
      </w:pPr>
      <w:r>
        <w:rPr>
          <w:rFonts w:eastAsia="Calibri"/>
          <w:sz w:val="22"/>
          <w:szCs w:val="22"/>
          <w:lang w:eastAsia="en-US"/>
        </w:rPr>
        <w:t>- строго соблюдать периодичность и объем работ, предусмотренный технической документацией обслуживаемых систем и их составных частей;</w:t>
      </w:r>
    </w:p>
    <w:p>
      <w:pPr>
        <w:pStyle w:val="Normal"/>
        <w:suppressAutoHyphens w:val="false"/>
        <w:ind w:start="426" w:end="0"/>
        <w:jc w:val="both"/>
        <w:rPr>
          <w:rFonts w:eastAsia="Calibri"/>
          <w:sz w:val="22"/>
          <w:szCs w:val="22"/>
          <w:lang w:eastAsia="en-US"/>
        </w:rPr>
      </w:pPr>
      <w:r>
        <w:rPr>
          <w:rFonts w:eastAsia="Calibri"/>
          <w:sz w:val="22"/>
          <w:szCs w:val="22"/>
          <w:lang w:eastAsia="en-US"/>
        </w:rPr>
        <w:t>- регулярно осуществлять порученное ему ведение документации, связанной с проведением ТО и TP систем, предусмотренной нормативными документами на ТО и TP систем и настоящим стандартом;</w:t>
      </w:r>
    </w:p>
    <w:p>
      <w:pPr>
        <w:pStyle w:val="Normal"/>
        <w:suppressAutoHyphens w:val="false"/>
        <w:ind w:start="426" w:end="0"/>
        <w:jc w:val="both"/>
        <w:rPr>
          <w:rFonts w:eastAsia="Calibri"/>
          <w:sz w:val="22"/>
          <w:szCs w:val="22"/>
          <w:lang w:eastAsia="en-US"/>
        </w:rPr>
      </w:pPr>
      <w:r>
        <w:rPr>
          <w:rFonts w:eastAsia="Calibri"/>
          <w:sz w:val="22"/>
          <w:szCs w:val="22"/>
          <w:lang w:eastAsia="en-US"/>
        </w:rPr>
        <w:t>- применять контрольно-измерительные приборы, средства испытаний, инструменты, принадлежности, запасные части и материалы (в том числе расходные), соответствующие требованиям, установленным нормативно-технической и технической документацией на системы и их составные части;</w:t>
      </w:r>
    </w:p>
    <w:p>
      <w:pPr>
        <w:pStyle w:val="Normal"/>
        <w:suppressAutoHyphens w:val="false"/>
        <w:ind w:start="426" w:end="0"/>
        <w:jc w:val="both"/>
        <w:rPr>
          <w:rFonts w:eastAsia="Calibri"/>
          <w:sz w:val="22"/>
          <w:szCs w:val="22"/>
          <w:lang w:eastAsia="en-US"/>
        </w:rPr>
      </w:pPr>
      <w:r>
        <w:rPr>
          <w:rFonts w:eastAsia="Calibri"/>
          <w:sz w:val="22"/>
          <w:szCs w:val="22"/>
          <w:lang w:eastAsia="en-US"/>
        </w:rPr>
        <w:t>- при проведении TP системы не допускать применения для замены неавторизованных изделий и материалов;</w:t>
      </w:r>
    </w:p>
    <w:p>
      <w:pPr>
        <w:pStyle w:val="Normal"/>
        <w:suppressAutoHyphens w:val="false"/>
        <w:ind w:start="426" w:end="0"/>
        <w:jc w:val="both"/>
        <w:rPr>
          <w:sz w:val="22"/>
          <w:szCs w:val="22"/>
        </w:rPr>
      </w:pPr>
      <w:r>
        <w:rPr>
          <w:rFonts w:eastAsia="Calibri"/>
          <w:sz w:val="22"/>
          <w:szCs w:val="22"/>
          <w:lang w:eastAsia="en-US"/>
        </w:rPr>
        <w:t>- при проведении TP системы осуществлять замену вышедших из строя составных частей на аналогичные, при невозможности — на основании ведомости замены завода-изготовителя.</w:t>
      </w:r>
    </w:p>
    <w:p>
      <w:pPr>
        <w:pStyle w:val="Normal"/>
        <w:suppressAutoHyphens w:val="false"/>
        <w:ind w:start="426" w:end="0"/>
        <w:jc w:val="both"/>
        <w:rPr>
          <w:rFonts w:ascii="Times New Roman" w:hAnsi="Times New Roman" w:cs="Times New Roman"/>
          <w:sz w:val="22"/>
          <w:szCs w:val="22"/>
        </w:rPr>
      </w:pPr>
      <w:r>
        <w:rPr>
          <w:sz w:val="22"/>
          <w:szCs w:val="22"/>
        </w:rPr>
        <w:t>Принятию на ТО и ППР предшествует первичное обследование установки пожарной</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 xml:space="preserve">автоматики на объекте с целью определения ее состояния. </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Работы по первичному обследованию состоят из:</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 проверки наличия эксплуатационной, проектной и приемосдаточной документации;</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 проверки соответствия монтажа установки пожарной автоматики рабочему проекту (акту обследования);</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 проверки работоспособности установки в целом.</w:t>
      </w:r>
    </w:p>
    <w:p>
      <w:pPr>
        <w:pStyle w:val="ConsPlusNormal"/>
        <w:ind w:firstLine="540" w:end="0"/>
        <w:jc w:val="both"/>
        <w:rPr>
          <w:rFonts w:ascii="Times New Roman" w:hAnsi="Times New Roman" w:cs="Times New Roman"/>
          <w:sz w:val="22"/>
          <w:szCs w:val="22"/>
        </w:rPr>
      </w:pPr>
      <w:r>
        <w:rPr>
          <w:rFonts w:cs="Times New Roman" w:ascii="Times New Roman" w:hAnsi="Times New Roman"/>
          <w:sz w:val="22"/>
          <w:szCs w:val="22"/>
        </w:rPr>
        <w:t>По результатам обследования составляется Акт первичного обследования систем пожарной автоматики.</w:t>
      </w:r>
    </w:p>
    <w:p>
      <w:pPr>
        <w:pStyle w:val="ConsPlusNormal"/>
        <w:ind w:firstLine="540" w:end="0"/>
        <w:jc w:val="both"/>
        <w:rPr>
          <w:rFonts w:eastAsia="Calibri"/>
          <w:sz w:val="22"/>
          <w:szCs w:val="22"/>
          <w:lang w:eastAsia="en-US"/>
        </w:rPr>
      </w:pPr>
      <w:r>
        <w:rPr>
          <w:rFonts w:cs="Times New Roman" w:ascii="Times New Roman" w:hAnsi="Times New Roman"/>
          <w:sz w:val="22"/>
          <w:szCs w:val="22"/>
        </w:rPr>
        <w:t>На установку пожарной автоматики, находящуюся в неработоспособном состоянии, оформляется дефектная ведомость.</w:t>
      </w:r>
    </w:p>
    <w:p>
      <w:pPr>
        <w:pStyle w:val="Normal"/>
        <w:suppressAutoHyphens w:val="false"/>
        <w:autoSpaceDE w:val="false"/>
        <w:ind w:firstLine="709" w:end="0"/>
        <w:jc w:val="both"/>
        <w:rPr>
          <w:rFonts w:eastAsia="Times New Roman"/>
          <w:sz w:val="22"/>
          <w:szCs w:val="22"/>
          <w:lang w:eastAsia="en-US"/>
        </w:rPr>
      </w:pPr>
      <w:r>
        <w:rPr>
          <w:rFonts w:eastAsia="Calibri"/>
          <w:sz w:val="22"/>
          <w:szCs w:val="22"/>
          <w:lang w:eastAsia="en-US"/>
        </w:rPr>
        <w:t xml:space="preserve">Обеспечивать круглосуточный приём заявок от «Заказчика» на устранение неисправностей в работе системы пожарной автоматики по телефонам: </w:t>
      </w:r>
      <w:r>
        <w:rPr>
          <w:rFonts w:eastAsia="Calibri"/>
          <w:sz w:val="22"/>
          <w:szCs w:val="22"/>
          <w:lang w:eastAsia="ru-RU"/>
        </w:rPr>
        <w:t>__________________________________________</w:t>
      </w:r>
    </w:p>
    <w:p>
      <w:pPr>
        <w:pStyle w:val="Normal"/>
        <w:suppressAutoHyphens w:val="false"/>
        <w:autoSpaceDE w:val="false"/>
        <w:ind w:firstLine="709" w:end="0"/>
        <w:jc w:val="both"/>
        <w:rPr>
          <w:rFonts w:eastAsia="Times New Roman"/>
          <w:i/>
          <w:i/>
          <w:sz w:val="22"/>
          <w:szCs w:val="22"/>
          <w:lang w:eastAsia="en-US"/>
        </w:rPr>
      </w:pPr>
      <w:r>
        <w:rPr>
          <w:rFonts w:eastAsia="Times New Roman"/>
          <w:sz w:val="22"/>
          <w:szCs w:val="22"/>
          <w:lang w:eastAsia="en-US"/>
        </w:rPr>
        <w:t xml:space="preserve">      </w:t>
      </w:r>
      <w:r>
        <w:rPr>
          <w:rFonts w:eastAsia="Calibri"/>
          <w:sz w:val="22"/>
          <w:szCs w:val="22"/>
          <w:lang w:eastAsia="en-US"/>
        </w:rPr>
        <w:t>3.1.4.</w:t>
      </w:r>
      <w:r>
        <w:rPr>
          <w:sz w:val="22"/>
          <w:szCs w:val="22"/>
        </w:rPr>
        <w:t xml:space="preserve"> </w:t>
      </w:r>
      <w:r>
        <w:rPr>
          <w:rFonts w:eastAsia="Calibri"/>
          <w:sz w:val="22"/>
          <w:szCs w:val="22"/>
          <w:lang w:eastAsia="en-US"/>
        </w:rPr>
        <w:t>В рамках выполнения работ по внеплановому эксплуатационно-техническому обслуживанию устранять возникшие технические неисправности Оборудования в течение 18 (восемнадцать) часов с момента получения от Заказчика заявки на выполнение таких работ. Заявка на выполнение работ направляется устно по телефонам: _________________________________________________________</w:t>
      </w:r>
      <w:r>
        <w:rPr>
          <w:sz w:val="22"/>
          <w:szCs w:val="22"/>
          <w:lang w:eastAsia="ru-RU"/>
        </w:rPr>
        <w:t xml:space="preserve"> </w:t>
      </w:r>
    </w:p>
    <w:p>
      <w:pPr>
        <w:pStyle w:val="Normal"/>
        <w:suppressAutoHyphens w:val="false"/>
        <w:jc w:val="both"/>
        <w:rPr>
          <w:rFonts w:eastAsia="Times New Roman"/>
          <w:i/>
          <w:i/>
          <w:sz w:val="22"/>
          <w:szCs w:val="22"/>
          <w:lang w:eastAsia="en-US"/>
        </w:rPr>
      </w:pPr>
      <w:r>
        <w:rPr>
          <w:rFonts w:eastAsia="Times New Roman"/>
          <w:i/>
          <w:sz w:val="22"/>
          <w:szCs w:val="22"/>
          <w:lang w:eastAsia="en-US"/>
        </w:rPr>
        <w:t xml:space="preserve">      </w:t>
      </w:r>
      <w:r>
        <w:rPr>
          <w:rFonts w:eastAsia="Calibri"/>
          <w:sz w:val="22"/>
          <w:szCs w:val="22"/>
          <w:lang w:eastAsia="en-US"/>
        </w:rPr>
        <w:t>3.1.5.</w:t>
        <w:tab/>
        <w:t>Предоставить «Заказчику» список лиц, допущенных для проведения работ по эксплуатационно-техническому обслуживанию системы пожарной автоматики на Объекте защиты.</w:t>
      </w:r>
    </w:p>
    <w:p>
      <w:pPr>
        <w:pStyle w:val="Normal"/>
        <w:suppressAutoHyphens w:val="false"/>
        <w:jc w:val="both"/>
        <w:rPr>
          <w:rFonts w:eastAsia="Calibri"/>
          <w:sz w:val="22"/>
          <w:szCs w:val="22"/>
          <w:lang w:eastAsia="en-US"/>
        </w:rPr>
      </w:pPr>
      <w:r>
        <w:rPr>
          <w:rFonts w:eastAsia="Times New Roman"/>
          <w:i/>
          <w:sz w:val="22"/>
          <w:szCs w:val="22"/>
          <w:lang w:eastAsia="en-US"/>
        </w:rPr>
        <w:t xml:space="preserve">     </w:t>
      </w:r>
      <w:r>
        <w:rPr>
          <w:rFonts w:eastAsia="Calibri"/>
          <w:sz w:val="22"/>
          <w:szCs w:val="22"/>
          <w:lang w:eastAsia="en-US"/>
        </w:rPr>
        <w:t>3.1.6. Предоставить лицензию на право производства работ, являющихся предметом настоящего договора.</w:t>
      </w:r>
    </w:p>
    <w:p>
      <w:pPr>
        <w:pStyle w:val="Normal"/>
        <w:suppressAutoHyphens w:val="false"/>
        <w:ind w:firstLine="709" w:end="0"/>
        <w:jc w:val="both"/>
        <w:rPr>
          <w:sz w:val="22"/>
          <w:szCs w:val="22"/>
          <w:lang w:eastAsia="ru-RU"/>
        </w:rPr>
      </w:pPr>
      <w:r>
        <w:rPr>
          <w:rFonts w:eastAsia="Calibri"/>
          <w:sz w:val="22"/>
          <w:szCs w:val="22"/>
          <w:lang w:eastAsia="en-US"/>
        </w:rPr>
        <w:t>3.2. Исполнитель вправе:</w:t>
      </w:r>
    </w:p>
    <w:p>
      <w:pPr>
        <w:pStyle w:val="Normal"/>
        <w:suppressAutoHyphens w:val="false"/>
        <w:autoSpaceDE w:val="false"/>
        <w:ind w:firstLine="709" w:end="0"/>
        <w:jc w:val="both"/>
        <w:rPr>
          <w:rFonts w:eastAsia="Calibri"/>
          <w:sz w:val="22"/>
          <w:szCs w:val="22"/>
          <w:lang w:eastAsia="en-US"/>
        </w:rPr>
      </w:pPr>
      <w:r>
        <w:rPr>
          <w:sz w:val="22"/>
          <w:szCs w:val="22"/>
          <w:lang w:eastAsia="ru-RU"/>
        </w:rPr>
        <w:t>3.2.1. Самостоятельно определять количество специалистов и график выполнения работ, указанных в п. 2. настоящего Договора,</w:t>
      </w:r>
      <w:r>
        <w:rPr>
          <w:sz w:val="22"/>
          <w:szCs w:val="22"/>
        </w:rPr>
        <w:t xml:space="preserve"> </w:t>
      </w:r>
      <w:r>
        <w:rPr>
          <w:sz w:val="22"/>
          <w:szCs w:val="22"/>
          <w:lang w:eastAsia="ru-RU"/>
        </w:rPr>
        <w:t>привлекать сторонние организации для исполнения настоящего Договора.</w:t>
      </w:r>
    </w:p>
    <w:p>
      <w:pPr>
        <w:pStyle w:val="Normal"/>
        <w:suppressAutoHyphens w:val="false"/>
        <w:ind w:firstLine="709" w:end="0"/>
        <w:jc w:val="both"/>
        <w:rPr>
          <w:sz w:val="22"/>
          <w:szCs w:val="22"/>
          <w:lang w:eastAsia="ru-RU"/>
        </w:rPr>
      </w:pPr>
      <w:r>
        <w:rPr>
          <w:rFonts w:eastAsia="Calibri"/>
          <w:sz w:val="22"/>
          <w:szCs w:val="22"/>
          <w:lang w:eastAsia="en-US"/>
        </w:rPr>
        <w:t>3.3. Заказчик обязуется:</w:t>
      </w:r>
    </w:p>
    <w:p>
      <w:pPr>
        <w:pStyle w:val="Normal"/>
        <w:suppressAutoHyphens w:val="false"/>
        <w:autoSpaceDE w:val="false"/>
        <w:ind w:firstLine="709" w:end="0"/>
        <w:jc w:val="both"/>
        <w:rPr>
          <w:sz w:val="22"/>
          <w:szCs w:val="22"/>
          <w:lang w:eastAsia="ru-RU"/>
        </w:rPr>
      </w:pPr>
      <w:r>
        <w:rPr>
          <w:sz w:val="22"/>
          <w:szCs w:val="22"/>
          <w:lang w:eastAsia="ru-RU"/>
        </w:rPr>
        <w:t>3.3.1. Предоставить специалистам Исполнителя допуск в помещения, в которых установлено Оборудование системы пожарной автоматики объекта защиты.</w:t>
      </w:r>
    </w:p>
    <w:p>
      <w:pPr>
        <w:pStyle w:val="Normal"/>
        <w:suppressAutoHyphens w:val="false"/>
        <w:autoSpaceDE w:val="false"/>
        <w:ind w:firstLine="709" w:end="0"/>
        <w:jc w:val="both"/>
        <w:rPr>
          <w:sz w:val="22"/>
          <w:szCs w:val="22"/>
          <w:lang w:eastAsia="ru-RU"/>
        </w:rPr>
      </w:pPr>
      <w:r>
        <w:rPr>
          <w:sz w:val="22"/>
          <w:szCs w:val="22"/>
          <w:lang w:eastAsia="ru-RU"/>
        </w:rPr>
        <w:t>3.3.2.</w:t>
      </w:r>
      <w:r>
        <w:rPr>
          <w:sz w:val="22"/>
          <w:szCs w:val="22"/>
        </w:rPr>
        <w:t xml:space="preserve"> </w:t>
      </w:r>
      <w:r>
        <w:rPr>
          <w:sz w:val="22"/>
          <w:szCs w:val="22"/>
          <w:lang w:eastAsia="ru-RU"/>
        </w:rPr>
        <w:t>Назначить приказом ответственное лицо, отвечающее за эксплуатацию системы пожарной автоматики, уполномочив его:</w:t>
      </w:r>
    </w:p>
    <w:p>
      <w:pPr>
        <w:pStyle w:val="Normal"/>
        <w:suppressAutoHyphens w:val="false"/>
        <w:autoSpaceDE w:val="false"/>
        <w:ind w:firstLine="709" w:end="0"/>
        <w:jc w:val="both"/>
        <w:rPr>
          <w:sz w:val="22"/>
          <w:szCs w:val="22"/>
          <w:lang w:eastAsia="ru-RU"/>
        </w:rPr>
      </w:pPr>
      <w:r>
        <w:rPr>
          <w:sz w:val="22"/>
          <w:szCs w:val="22"/>
          <w:lang w:eastAsia="ru-RU"/>
        </w:rPr>
        <w:t xml:space="preserve"> </w:t>
      </w:r>
      <w:r>
        <w:rPr>
          <w:sz w:val="22"/>
          <w:szCs w:val="22"/>
          <w:lang w:eastAsia="ru-RU"/>
        </w:rPr>
        <w:t>- принимать работу у «Исполнителя»;</w:t>
      </w:r>
    </w:p>
    <w:p>
      <w:pPr>
        <w:pStyle w:val="Normal"/>
        <w:suppressAutoHyphens w:val="false"/>
        <w:autoSpaceDE w:val="false"/>
        <w:ind w:firstLine="709" w:end="0"/>
        <w:jc w:val="both"/>
        <w:rPr>
          <w:sz w:val="22"/>
          <w:szCs w:val="22"/>
          <w:lang w:eastAsia="ru-RU"/>
        </w:rPr>
      </w:pPr>
      <w:r>
        <w:rPr>
          <w:sz w:val="22"/>
          <w:szCs w:val="22"/>
          <w:lang w:eastAsia="ru-RU"/>
        </w:rPr>
        <w:t xml:space="preserve"> </w:t>
      </w:r>
      <w:r>
        <w:rPr>
          <w:sz w:val="22"/>
          <w:szCs w:val="22"/>
          <w:lang w:eastAsia="ru-RU"/>
        </w:rPr>
        <w:t>- оформлять документацию на выполнение работ;</w:t>
      </w:r>
    </w:p>
    <w:p>
      <w:pPr>
        <w:pStyle w:val="Normal"/>
        <w:suppressAutoHyphens w:val="false"/>
        <w:autoSpaceDE w:val="false"/>
        <w:ind w:firstLine="709" w:end="0"/>
        <w:jc w:val="both"/>
        <w:rPr>
          <w:sz w:val="22"/>
          <w:szCs w:val="22"/>
          <w:lang w:eastAsia="ru-RU"/>
        </w:rPr>
      </w:pPr>
      <w:r>
        <w:rPr>
          <w:sz w:val="22"/>
          <w:szCs w:val="22"/>
          <w:lang w:eastAsia="ru-RU"/>
        </w:rPr>
        <w:t xml:space="preserve"> </w:t>
      </w:r>
      <w:r>
        <w:rPr>
          <w:sz w:val="22"/>
          <w:szCs w:val="22"/>
          <w:lang w:eastAsia="ru-RU"/>
        </w:rPr>
        <w:t>- контролировать качество выполнения работ.</w:t>
      </w:r>
    </w:p>
    <w:p>
      <w:pPr>
        <w:pStyle w:val="Normal"/>
        <w:suppressAutoHyphens w:val="false"/>
        <w:autoSpaceDE w:val="false"/>
        <w:ind w:firstLine="709" w:end="0"/>
        <w:jc w:val="both"/>
        <w:rPr>
          <w:rFonts w:eastAsia="Calibri"/>
          <w:sz w:val="22"/>
          <w:szCs w:val="22"/>
          <w:lang w:eastAsia="en-US"/>
        </w:rPr>
      </w:pPr>
      <w:r>
        <w:rPr>
          <w:sz w:val="22"/>
          <w:szCs w:val="22"/>
          <w:lang w:eastAsia="ru-RU"/>
        </w:rPr>
        <w:t xml:space="preserve"> </w:t>
      </w:r>
      <w:r>
        <w:rPr>
          <w:sz w:val="22"/>
          <w:szCs w:val="22"/>
          <w:lang w:eastAsia="ru-RU"/>
        </w:rPr>
        <w:t>3.3.3.</w:t>
      </w:r>
      <w:r>
        <w:rPr>
          <w:sz w:val="22"/>
          <w:szCs w:val="22"/>
        </w:rPr>
        <w:t xml:space="preserve"> </w:t>
      </w:r>
      <w:r>
        <w:rPr>
          <w:sz w:val="22"/>
          <w:szCs w:val="22"/>
          <w:lang w:eastAsia="ru-RU"/>
        </w:rPr>
        <w:t xml:space="preserve">При проведении на «Объекте» ремонта, перепланировки, переоборудования помещений, в случаях появления новых или изменения мест хранения ценностей, изменения режима или профиля работ, сдачи помещений (площадей) в аренду (субаренду) или передачи помещений другим лицам, а также при проведении иных мероприятий, которые могут повлиять на техническое состояние системы пожарной автоматики и потребовать дополнительных мер по технической укреплённости «Объекта», уведомить об этом «Исполнителя» не позднее, чем за 10 дней до наступления таких изменений. В течение срока действия договора «Заказчик» ответственен за объективность и своевременное предоставление сведений о произошедших изменениях, и в письменной форме сообщать о них «Исполнителю».  </w:t>
      </w:r>
    </w:p>
    <w:p>
      <w:pPr>
        <w:pStyle w:val="Normal"/>
        <w:suppressAutoHyphens w:val="false"/>
        <w:ind w:firstLine="426" w:end="0"/>
        <w:jc w:val="both"/>
        <w:rPr>
          <w:rFonts w:eastAsia="Times New Roman"/>
          <w:sz w:val="22"/>
          <w:szCs w:val="22"/>
          <w:lang w:eastAsia="en-US"/>
        </w:rPr>
      </w:pPr>
      <w:r>
        <w:rPr>
          <w:rFonts w:eastAsia="Calibri"/>
          <w:sz w:val="22"/>
          <w:szCs w:val="22"/>
          <w:lang w:eastAsia="en-US"/>
        </w:rPr>
        <w:t>Если для проведения работ по ТО и TP требуется временное отключение системы или ее части либо ограничение их функций, то Заказчик должен предпринять компенсирующие меры по сохранению уровня безопасности здания или сооружения в период проведения этих работ.</w:t>
      </w:r>
    </w:p>
    <w:p>
      <w:pPr>
        <w:pStyle w:val="Normal"/>
        <w:suppressAutoHyphens w:val="false"/>
        <w:ind w:firstLine="426" w:end="0"/>
        <w:jc w:val="both"/>
        <w:rPr>
          <w:rFonts w:eastAsia="Times New Roman"/>
          <w:sz w:val="22"/>
          <w:szCs w:val="22"/>
          <w:lang w:eastAsia="en-US"/>
        </w:rPr>
      </w:pPr>
      <w:r>
        <w:rPr>
          <w:rFonts w:eastAsia="Times New Roman"/>
          <w:sz w:val="22"/>
          <w:szCs w:val="22"/>
          <w:lang w:eastAsia="en-US"/>
        </w:rPr>
        <w:t xml:space="preserve">  </w:t>
      </w:r>
      <w:r>
        <w:rPr>
          <w:rFonts w:eastAsia="Calibri"/>
          <w:sz w:val="22"/>
          <w:szCs w:val="22"/>
          <w:lang w:eastAsia="en-US"/>
        </w:rPr>
        <w:t>При выявлении в ходе эксплуатации и ТО системы неисправности основного(ых) устройства(ств) — составляющего(щих) системы (но до достижения ими назначенного срока службы) Заказчик должен произвести средний или капитальный ремонт системы, направленный на восстановление ее ресурса. По окончании ремонтных работ должен быть составлен акт об оценке продления ресурса системы, должны быть внесены изменения в исполнительную документацию, а также должна быть проведена оценка соответствия системы требованиям функциональной безопасности.</w:t>
      </w:r>
    </w:p>
    <w:p>
      <w:pPr>
        <w:pStyle w:val="Normal"/>
        <w:suppressAutoHyphens w:val="false"/>
        <w:ind w:firstLine="426" w:end="0"/>
        <w:jc w:val="both"/>
        <w:rPr>
          <w:rFonts w:eastAsia="Calibri"/>
          <w:sz w:val="22"/>
          <w:szCs w:val="22"/>
          <w:lang w:eastAsia="en-US"/>
        </w:rPr>
      </w:pPr>
      <w:r>
        <w:rPr>
          <w:rFonts w:eastAsia="Times New Roman"/>
          <w:sz w:val="22"/>
          <w:szCs w:val="22"/>
          <w:lang w:eastAsia="en-US"/>
        </w:rPr>
        <w:t xml:space="preserve">    </w:t>
      </w:r>
      <w:r>
        <w:rPr>
          <w:rFonts w:eastAsia="Calibri"/>
          <w:sz w:val="22"/>
          <w:szCs w:val="22"/>
          <w:lang w:eastAsia="en-US"/>
        </w:rPr>
        <w:t>При достижении системой или ее составными частями предельного состояния (срока службы), в том числе после ремонта системы, ее составные части подлежат выводу из эксплуатации и списанию. К моменту достижения системой предельного состояния Заказчик должен принять меры к</w:t>
      </w:r>
    </w:p>
    <w:p>
      <w:pPr>
        <w:pStyle w:val="Normal"/>
        <w:suppressAutoHyphens w:val="false"/>
        <w:jc w:val="both"/>
        <w:rPr>
          <w:sz w:val="22"/>
          <w:szCs w:val="22"/>
          <w:lang w:eastAsia="ru-RU"/>
        </w:rPr>
      </w:pPr>
      <w:r>
        <w:rPr>
          <w:rFonts w:eastAsia="Calibri"/>
          <w:sz w:val="22"/>
          <w:szCs w:val="22"/>
          <w:lang w:eastAsia="en-US"/>
        </w:rPr>
        <w:t>созданию новой системы.</w:t>
      </w:r>
    </w:p>
    <w:p>
      <w:pPr>
        <w:pStyle w:val="Normal"/>
        <w:suppressAutoHyphens w:val="false"/>
        <w:autoSpaceDE w:val="false"/>
        <w:ind w:firstLine="709" w:end="0"/>
        <w:jc w:val="both"/>
        <w:rPr>
          <w:sz w:val="22"/>
          <w:szCs w:val="22"/>
          <w:lang w:eastAsia="ru-RU"/>
        </w:rPr>
      </w:pPr>
      <w:r>
        <w:rPr>
          <w:sz w:val="22"/>
          <w:szCs w:val="22"/>
          <w:lang w:eastAsia="ru-RU"/>
        </w:rPr>
        <w:t>3.3.4.</w:t>
      </w:r>
      <w:r>
        <w:rPr>
          <w:sz w:val="22"/>
          <w:szCs w:val="22"/>
        </w:rPr>
        <w:t xml:space="preserve"> </w:t>
      </w:r>
      <w:r>
        <w:rPr>
          <w:sz w:val="22"/>
          <w:szCs w:val="22"/>
          <w:lang w:eastAsia="ru-RU"/>
        </w:rPr>
        <w:t>Не допускать к техническим средствам, обслуживаемых Исполнителем, системы пожарной автоматики объекта для устранения неисправностей, внесения изменений в схему, посторонних лиц, не производить указанные работы своими силами.</w:t>
      </w:r>
    </w:p>
    <w:p>
      <w:pPr>
        <w:pStyle w:val="Normal"/>
        <w:suppressAutoHyphens w:val="false"/>
        <w:autoSpaceDE w:val="false"/>
        <w:ind w:firstLine="709" w:end="0"/>
        <w:jc w:val="both"/>
        <w:rPr>
          <w:sz w:val="22"/>
          <w:szCs w:val="22"/>
          <w:lang w:eastAsia="ru-RU"/>
        </w:rPr>
      </w:pPr>
      <w:r>
        <w:rPr>
          <w:sz w:val="22"/>
          <w:szCs w:val="22"/>
          <w:lang w:eastAsia="ru-RU"/>
        </w:rPr>
        <w:t>3.3.5.</w:t>
        <w:tab/>
        <w:t>Обеспечить целостность пломб, установленных на блоках системы пожарной автоматики.</w:t>
      </w:r>
    </w:p>
    <w:p>
      <w:pPr>
        <w:pStyle w:val="Normal"/>
        <w:suppressAutoHyphens w:val="false"/>
        <w:autoSpaceDE w:val="false"/>
        <w:ind w:firstLine="709" w:end="0"/>
        <w:jc w:val="both"/>
        <w:rPr>
          <w:sz w:val="22"/>
          <w:szCs w:val="22"/>
          <w:lang w:eastAsia="ru-RU"/>
        </w:rPr>
      </w:pPr>
      <w:r>
        <w:rPr>
          <w:sz w:val="22"/>
          <w:szCs w:val="22"/>
          <w:lang w:eastAsia="ru-RU"/>
        </w:rPr>
        <w:t xml:space="preserve">3.3.6. Обеспечить исправность линий телефонной связи и сети электропитания, к которым подключено оборудование системы пожарной автоматики. </w:t>
      </w:r>
    </w:p>
    <w:p>
      <w:pPr>
        <w:pStyle w:val="Normal"/>
        <w:suppressAutoHyphens w:val="false"/>
        <w:autoSpaceDE w:val="false"/>
        <w:ind w:firstLine="709" w:end="0"/>
        <w:jc w:val="both"/>
        <w:rPr>
          <w:sz w:val="22"/>
          <w:szCs w:val="22"/>
          <w:lang w:eastAsia="ru-RU"/>
        </w:rPr>
      </w:pPr>
      <w:r>
        <w:rPr>
          <w:sz w:val="22"/>
          <w:szCs w:val="22"/>
          <w:lang w:eastAsia="ru-RU"/>
        </w:rPr>
        <w:t>3.3.7 Своевременно принимать выполненные Исполнителем работы и оплачивать их.</w:t>
      </w:r>
    </w:p>
    <w:p>
      <w:pPr>
        <w:pStyle w:val="Normal"/>
        <w:suppressAutoHyphens w:val="false"/>
        <w:autoSpaceDE w:val="false"/>
        <w:ind w:firstLine="709" w:end="0"/>
        <w:jc w:val="both"/>
        <w:rPr>
          <w:sz w:val="22"/>
          <w:szCs w:val="22"/>
          <w:lang w:eastAsia="ru-RU"/>
        </w:rPr>
      </w:pPr>
      <w:r>
        <w:rPr>
          <w:sz w:val="22"/>
          <w:szCs w:val="22"/>
          <w:lang w:eastAsia="ru-RU"/>
        </w:rPr>
        <w:t>3.4. Заказчик вправе:</w:t>
      </w:r>
    </w:p>
    <w:p>
      <w:pPr>
        <w:pStyle w:val="Normal"/>
        <w:suppressAutoHyphens w:val="false"/>
        <w:autoSpaceDE w:val="false"/>
        <w:ind w:firstLine="709" w:end="0"/>
        <w:jc w:val="both"/>
        <w:rPr>
          <w:rFonts w:eastAsia="Calibri"/>
          <w:b/>
          <w:sz w:val="22"/>
          <w:szCs w:val="22"/>
          <w:lang w:eastAsia="en-US"/>
        </w:rPr>
      </w:pPr>
      <w:r>
        <w:rPr>
          <w:sz w:val="22"/>
          <w:szCs w:val="22"/>
          <w:lang w:eastAsia="ru-RU"/>
        </w:rPr>
        <w:t>3.4.1. В любое время проверять ход и качество работы, выполняемой Исполнителем, не вмешиваясь в его деятельность.</w:t>
      </w:r>
    </w:p>
    <w:p>
      <w:pPr>
        <w:pStyle w:val="Normal"/>
        <w:numPr>
          <w:ilvl w:val="0"/>
          <w:numId w:val="3"/>
        </w:numPr>
        <w:suppressAutoHyphens w:val="false"/>
        <w:ind w:firstLine="709" w:start="1429" w:end="0"/>
        <w:jc w:val="both"/>
        <w:rPr>
          <w:sz w:val="22"/>
          <w:szCs w:val="22"/>
          <w:lang w:eastAsia="ru-RU"/>
        </w:rPr>
      </w:pPr>
      <w:r>
        <w:rPr>
          <w:rFonts w:eastAsia="Calibri"/>
          <w:b/>
          <w:sz w:val="22"/>
          <w:szCs w:val="22"/>
          <w:lang w:eastAsia="en-US"/>
        </w:rPr>
        <w:t>Порядок выполнения работ и их сдачи-приемки</w:t>
      </w:r>
    </w:p>
    <w:p>
      <w:pPr>
        <w:pStyle w:val="Normal"/>
        <w:numPr>
          <w:ilvl w:val="1"/>
          <w:numId w:val="3"/>
        </w:numPr>
        <w:suppressAutoHyphens w:val="false"/>
        <w:autoSpaceDE w:val="false"/>
        <w:ind w:firstLine="709" w:start="0" w:end="0"/>
        <w:jc w:val="both"/>
        <w:outlineLvl w:val="0"/>
        <w:rPr>
          <w:sz w:val="22"/>
          <w:szCs w:val="22"/>
          <w:lang w:eastAsia="ru-RU"/>
        </w:rPr>
      </w:pPr>
      <w:r>
        <w:rPr>
          <w:sz w:val="22"/>
          <w:szCs w:val="22"/>
          <w:lang w:eastAsia="ru-RU"/>
        </w:rPr>
        <w:t xml:space="preserve">Результаты выполнения работ по плановому и внеплановому эксплуатационно- техническому обслуживанию системы пожарной автоматики подтверждаются соответствующими записями в Журнале регистрации работ. Журнал регистрации работ заводится на каждый Объект отдельно, один экземпляр Журнала находится на Объекте, второй у Исполнителя. </w:t>
      </w:r>
    </w:p>
    <w:p>
      <w:pPr>
        <w:pStyle w:val="Normal"/>
        <w:numPr>
          <w:ilvl w:val="1"/>
          <w:numId w:val="3"/>
        </w:numPr>
        <w:suppressAutoHyphens w:val="false"/>
        <w:autoSpaceDE w:val="false"/>
        <w:ind w:hanging="371" w:start="1080" w:end="0"/>
        <w:jc w:val="both"/>
        <w:outlineLvl w:val="0"/>
        <w:rPr>
          <w:sz w:val="22"/>
          <w:szCs w:val="22"/>
          <w:lang w:eastAsia="ru-RU"/>
        </w:rPr>
      </w:pPr>
      <w:r>
        <w:rPr>
          <w:sz w:val="22"/>
          <w:szCs w:val="22"/>
          <w:lang w:eastAsia="ru-RU"/>
        </w:rPr>
        <w:t>Работы по плановому эксплуатационно-техническому обслуживанию</w:t>
      </w:r>
    </w:p>
    <w:p>
      <w:pPr>
        <w:pStyle w:val="Normal"/>
        <w:suppressAutoHyphens w:val="false"/>
        <w:autoSpaceDE w:val="false"/>
        <w:ind w:firstLine="709" w:end="0"/>
        <w:jc w:val="both"/>
        <w:rPr>
          <w:sz w:val="22"/>
          <w:szCs w:val="22"/>
          <w:lang w:eastAsia="ru-RU"/>
        </w:rPr>
      </w:pPr>
      <w:r>
        <w:rPr>
          <w:sz w:val="22"/>
          <w:szCs w:val="22"/>
          <w:lang w:eastAsia="ru-RU"/>
        </w:rPr>
        <w:t xml:space="preserve">Проводятся в соответствии с Регламентом (Приложение №1). Работы по внеплановому эксплуатационно-техническому обслуживанию производятся на основании заявки Заказчика, которая должна быть направлена за 1 (один) рабочий день до планируемого выезда либо устно по телефонам:____________________ или по </w:t>
      </w:r>
      <w:r>
        <w:rPr>
          <w:sz w:val="22"/>
          <w:szCs w:val="22"/>
          <w:lang w:val="en-US" w:eastAsia="ru-RU"/>
        </w:rPr>
        <w:t>e</w:t>
      </w:r>
      <w:r>
        <w:rPr>
          <w:sz w:val="22"/>
          <w:szCs w:val="22"/>
          <w:lang w:eastAsia="ru-RU"/>
        </w:rPr>
        <w:t>-</w:t>
      </w:r>
      <w:r>
        <w:rPr>
          <w:sz w:val="22"/>
          <w:szCs w:val="22"/>
          <w:lang w:val="en-US" w:eastAsia="ru-RU"/>
        </w:rPr>
        <w:t>mail</w:t>
      </w:r>
      <w:r>
        <w:rPr>
          <w:sz w:val="22"/>
          <w:szCs w:val="22"/>
          <w:lang w:eastAsia="ru-RU"/>
        </w:rPr>
        <w:t>:__________________________</w:t>
      </w:r>
    </w:p>
    <w:p>
      <w:pPr>
        <w:pStyle w:val="Normal"/>
        <w:suppressAutoHyphens w:val="false"/>
        <w:autoSpaceDE w:val="false"/>
        <w:jc w:val="both"/>
        <w:rPr>
          <w:sz w:val="22"/>
          <w:szCs w:val="22"/>
          <w:lang w:eastAsia="ru-RU"/>
        </w:rPr>
      </w:pPr>
      <w:r>
        <w:rPr>
          <w:sz w:val="22"/>
          <w:szCs w:val="22"/>
          <w:lang w:eastAsia="ru-RU"/>
        </w:rPr>
        <w:t xml:space="preserve">         </w:t>
      </w:r>
      <w:r>
        <w:rPr>
          <w:sz w:val="22"/>
          <w:szCs w:val="22"/>
          <w:lang w:eastAsia="ru-RU"/>
        </w:rPr>
        <w:t>4.3. Работы по плановому и внеплановому эксплуатационно-техническому обслуживанию считаются выполненными после подписания Акта приема-сдачи работ уполномоченными представителями Заказчика и Исполнителя.</w:t>
      </w:r>
    </w:p>
    <w:p>
      <w:pPr>
        <w:pStyle w:val="Normal"/>
        <w:suppressAutoHyphens w:val="false"/>
        <w:autoSpaceDE w:val="false"/>
        <w:ind w:firstLine="709" w:end="0"/>
        <w:jc w:val="both"/>
        <w:rPr>
          <w:sz w:val="22"/>
          <w:szCs w:val="22"/>
          <w:lang w:eastAsia="ru-RU"/>
        </w:rPr>
      </w:pPr>
      <w:r>
        <w:rPr>
          <w:sz w:val="22"/>
          <w:szCs w:val="22"/>
          <w:lang w:eastAsia="ru-RU"/>
        </w:rPr>
        <w:t>4.4. Акт приема-сдачи выполненных работ подписывается Сторонами ежемесячно, до 10 числа месяца, следующего за истекшим.</w:t>
      </w:r>
    </w:p>
    <w:p>
      <w:pPr>
        <w:pStyle w:val="Normal"/>
        <w:suppressAutoHyphens w:val="false"/>
        <w:autoSpaceDE w:val="false"/>
        <w:ind w:firstLine="709" w:end="0"/>
        <w:jc w:val="both"/>
        <w:rPr>
          <w:sz w:val="22"/>
          <w:szCs w:val="22"/>
          <w:lang w:eastAsia="ru-RU"/>
        </w:rPr>
      </w:pPr>
      <w:r>
        <w:rPr>
          <w:sz w:val="22"/>
          <w:szCs w:val="22"/>
          <w:lang w:eastAsia="ru-RU"/>
        </w:rPr>
        <w:t xml:space="preserve">4.5. Акт по внеплановому эксплуатационно-техническому обслуживанию системы пожарной автоматики подписывается Сторонами в течение 5 (пяти) дней с момента завершения вышеуказанных работ. </w:t>
      </w:r>
    </w:p>
    <w:p>
      <w:pPr>
        <w:pStyle w:val="Normal"/>
        <w:suppressAutoHyphens w:val="false"/>
        <w:autoSpaceDE w:val="false"/>
        <w:ind w:firstLine="709" w:end="0"/>
        <w:jc w:val="both"/>
        <w:rPr>
          <w:sz w:val="22"/>
          <w:szCs w:val="22"/>
          <w:lang w:eastAsia="ru-RU"/>
        </w:rPr>
      </w:pPr>
      <w:r>
        <w:rPr>
          <w:sz w:val="22"/>
          <w:szCs w:val="22"/>
          <w:lang w:eastAsia="ru-RU"/>
        </w:rPr>
        <w:t>4.6. Заказчик обязан в течение 3 (трех) рабочих дней с даты получения акта об оказании услуг подписать и заверить печатью со своей стороны указанный акт и направить его Исполнителю, а в случае наличия замечаний по оказанным услугам в 5 (пяти) дневный срок представить письменный мотивированный отказ от подписания акта об оказании услуг с перечнем выявленных недостатков.</w:t>
      </w:r>
    </w:p>
    <w:p>
      <w:pPr>
        <w:pStyle w:val="Normal"/>
        <w:suppressAutoHyphens w:val="false"/>
        <w:autoSpaceDE w:val="false"/>
        <w:ind w:firstLine="709" w:end="0"/>
        <w:jc w:val="both"/>
        <w:rPr>
          <w:b/>
          <w:sz w:val="22"/>
          <w:szCs w:val="22"/>
          <w:lang w:eastAsia="ru-RU"/>
        </w:rPr>
      </w:pPr>
      <w:r>
        <w:rPr>
          <w:sz w:val="22"/>
          <w:szCs w:val="22"/>
          <w:lang w:eastAsia="ru-RU"/>
        </w:rPr>
        <w:t>4.7.В случае, если по истечение 5(пяти) дней Заказчиком не будет представлен официальный мотивированный отказ в подписании Акта, услуги считаются выполненными в полном объеме, надлежащим образом и принятыми Заказчиком без претензий к качеству, объему и количеству.</w:t>
      </w:r>
    </w:p>
    <w:p>
      <w:pPr>
        <w:pStyle w:val="Normal"/>
        <w:numPr>
          <w:ilvl w:val="0"/>
          <w:numId w:val="2"/>
        </w:numPr>
        <w:suppressAutoHyphens w:val="false"/>
        <w:autoSpaceDE w:val="false"/>
        <w:ind w:firstLine="3378" w:start="450" w:end="0"/>
        <w:jc w:val="both"/>
        <w:rPr>
          <w:sz w:val="22"/>
          <w:szCs w:val="22"/>
        </w:rPr>
      </w:pPr>
      <w:r>
        <w:rPr>
          <w:b/>
          <w:sz w:val="22"/>
          <w:szCs w:val="22"/>
          <w:lang w:eastAsia="ru-RU"/>
        </w:rPr>
        <w:t>Размер и порядок оплаты</w:t>
      </w:r>
    </w:p>
    <w:p>
      <w:pPr>
        <w:pStyle w:val="Standard"/>
        <w:numPr>
          <w:ilvl w:val="1"/>
          <w:numId w:val="2"/>
        </w:numPr>
        <w:ind w:firstLine="709" w:start="0" w:end="-365"/>
        <w:jc w:val="both"/>
        <w:rPr>
          <w:sz w:val="22"/>
          <w:szCs w:val="22"/>
        </w:rPr>
      </w:pPr>
      <w:r>
        <w:rPr>
          <w:sz w:val="22"/>
          <w:szCs w:val="22"/>
        </w:rPr>
        <w:t>Общая сумма договора составляет</w:t>
      </w:r>
      <w:r>
        <w:rPr>
          <w:sz w:val="22"/>
          <w:szCs w:val="22"/>
          <w:shd w:fill="FFFFFF" w:val="clear"/>
        </w:rPr>
        <w:t xml:space="preserve"> </w:t>
      </w:r>
      <w:r>
        <w:rPr>
          <w:b/>
          <w:sz w:val="22"/>
          <w:szCs w:val="22"/>
          <w:shd w:fill="FFFFFF" w:val="clear"/>
        </w:rPr>
        <w:t xml:space="preserve">_____________ рублей (_________________ ) рублей 00 копеек, </w:t>
      </w:r>
      <w:r>
        <w:rPr>
          <w:sz w:val="22"/>
          <w:szCs w:val="22"/>
          <w:shd w:fill="FFFFFF" w:val="clear"/>
        </w:rPr>
        <w:t>Включая НДС 5%</w:t>
      </w:r>
      <w:r>
        <w:rPr>
          <w:kern w:val="0"/>
          <w:sz w:val="22"/>
          <w:szCs w:val="22"/>
          <w:shd w:fill="FFFFFF" w:val="clear"/>
          <w:lang w:eastAsia="ar-SA"/>
        </w:rPr>
        <w:t>.</w:t>
      </w:r>
    </w:p>
    <w:p>
      <w:pPr>
        <w:pStyle w:val="Standard"/>
        <w:ind w:firstLine="709" w:end="-365"/>
        <w:jc w:val="both"/>
        <w:rPr>
          <w:sz w:val="22"/>
          <w:szCs w:val="22"/>
        </w:rPr>
      </w:pPr>
      <w:r>
        <w:rPr>
          <w:sz w:val="22"/>
          <w:szCs w:val="22"/>
        </w:rPr>
        <w:t>В итоговую цену Договора включены стоимость оказания работ и услуг по настоящему Договору, уплату налогов, сборов и другие расходы, связанные с исполнением настоящего Договора.</w:t>
      </w:r>
    </w:p>
    <w:p>
      <w:pPr>
        <w:pStyle w:val="Standard"/>
        <w:numPr>
          <w:ilvl w:val="1"/>
          <w:numId w:val="2"/>
        </w:numPr>
        <w:ind w:firstLine="709" w:start="0" w:end="-365"/>
        <w:jc w:val="both"/>
        <w:rPr>
          <w:sz w:val="22"/>
          <w:szCs w:val="22"/>
        </w:rPr>
      </w:pPr>
      <w:r>
        <w:rPr>
          <w:sz w:val="22"/>
          <w:szCs w:val="22"/>
        </w:rPr>
        <w:t xml:space="preserve">Стоимость услуг по эксплуатационно-техническому обслуживанию </w:t>
      </w:r>
      <w:r>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w:t>
      </w:r>
      <w:r>
        <w:rPr>
          <w:sz w:val="22"/>
          <w:szCs w:val="22"/>
        </w:rPr>
        <w:t>, объектового оборудования и круглосуточного мониторинга в месяц в соответствии с Приложением №2 (Калькуляция) составляет</w:t>
      </w:r>
      <w:r>
        <w:rPr>
          <w:sz w:val="22"/>
          <w:szCs w:val="22"/>
          <w:shd w:fill="FFFFFF" w:val="clear"/>
        </w:rPr>
        <w:t xml:space="preserve"> </w:t>
      </w:r>
      <w:r>
        <w:rPr>
          <w:b/>
          <w:sz w:val="22"/>
          <w:szCs w:val="22"/>
          <w:shd w:fill="FFFFFF" w:val="clear"/>
        </w:rPr>
        <w:t xml:space="preserve">_____________ рублей  (________________________) рублей 00 копеек, </w:t>
      </w:r>
      <w:r>
        <w:rPr>
          <w:sz w:val="22"/>
          <w:szCs w:val="22"/>
          <w:shd w:fill="FFFFFF" w:val="clear"/>
        </w:rPr>
        <w:t>Включая НДС 5%</w:t>
      </w:r>
      <w:r>
        <w:rPr>
          <w:kern w:val="0"/>
          <w:sz w:val="22"/>
          <w:szCs w:val="22"/>
          <w:shd w:fill="FFFFFF" w:val="clear"/>
          <w:lang w:eastAsia="ar-SA"/>
        </w:rPr>
        <w:t>.</w:t>
      </w:r>
    </w:p>
    <w:p>
      <w:pPr>
        <w:pStyle w:val="Standard"/>
        <w:ind w:start="709" w:end="-365"/>
        <w:jc w:val="both"/>
        <w:rPr>
          <w:sz w:val="22"/>
          <w:szCs w:val="22"/>
        </w:rPr>
      </w:pPr>
      <w:r>
        <w:rPr>
          <w:sz w:val="22"/>
          <w:szCs w:val="22"/>
        </w:rPr>
        <w:t>5.3. Стоимость услуг, предусмотренных настоящим договором, может быть</w:t>
      </w:r>
    </w:p>
    <w:p>
      <w:pPr>
        <w:pStyle w:val="Standard"/>
        <w:ind w:end="-365"/>
        <w:jc w:val="both"/>
        <w:rPr>
          <w:sz w:val="22"/>
          <w:szCs w:val="22"/>
        </w:rPr>
      </w:pPr>
      <w:r>
        <w:rPr>
          <w:sz w:val="22"/>
          <w:szCs w:val="22"/>
        </w:rPr>
        <w:t>изменена по обоюдному согласию сторон в случае:</w:t>
      </w:r>
    </w:p>
    <w:p>
      <w:pPr>
        <w:pStyle w:val="Standard"/>
        <w:numPr>
          <w:ilvl w:val="0"/>
          <w:numId w:val="4"/>
        </w:numPr>
        <w:ind w:hanging="0" w:start="0" w:end="-365"/>
        <w:jc w:val="both"/>
        <w:rPr>
          <w:sz w:val="22"/>
          <w:szCs w:val="22"/>
        </w:rPr>
      </w:pPr>
      <w:r>
        <w:rPr>
          <w:sz w:val="22"/>
          <w:szCs w:val="22"/>
        </w:rPr>
        <w:t>изменения в установленном порядке тарифов на техническое обслуживание;</w:t>
      </w:r>
    </w:p>
    <w:p>
      <w:pPr>
        <w:pStyle w:val="Standard"/>
        <w:numPr>
          <w:ilvl w:val="0"/>
          <w:numId w:val="4"/>
        </w:numPr>
        <w:ind w:hanging="0" w:start="0" w:end="-365"/>
        <w:jc w:val="both"/>
        <w:rPr>
          <w:kern w:val="2"/>
          <w:sz w:val="22"/>
          <w:szCs w:val="22"/>
          <w:lang w:eastAsia="ru-RU"/>
        </w:rPr>
      </w:pPr>
      <w:r>
        <w:rPr>
          <w:sz w:val="22"/>
          <w:szCs w:val="22"/>
        </w:rPr>
        <w:t>изменения насыщенности техническими средствами систем сигнализации;</w:t>
      </w:r>
    </w:p>
    <w:p>
      <w:pPr>
        <w:pStyle w:val="Normal"/>
        <w:numPr>
          <w:ilvl w:val="0"/>
          <w:numId w:val="4"/>
        </w:numPr>
        <w:jc w:val="both"/>
        <w:rPr>
          <w:sz w:val="22"/>
          <w:szCs w:val="22"/>
        </w:rPr>
      </w:pPr>
      <w:r>
        <w:rPr>
          <w:kern w:val="2"/>
          <w:sz w:val="22"/>
          <w:szCs w:val="22"/>
          <w:lang w:eastAsia="ru-RU"/>
        </w:rPr>
        <w:t>изменения количества Объектов.</w:t>
      </w:r>
    </w:p>
    <w:p>
      <w:pPr>
        <w:pStyle w:val="Standard"/>
        <w:ind w:end="-365"/>
        <w:jc w:val="both"/>
        <w:rPr>
          <w:sz w:val="22"/>
          <w:szCs w:val="22"/>
        </w:rPr>
      </w:pPr>
      <w:r>
        <w:rPr>
          <w:sz w:val="22"/>
          <w:szCs w:val="22"/>
        </w:rPr>
        <w:t xml:space="preserve">          </w:t>
      </w:r>
      <w:r>
        <w:rPr>
          <w:sz w:val="22"/>
          <w:szCs w:val="22"/>
        </w:rPr>
        <w:t xml:space="preserve">5.4. Оплата производится Заказчиком по факту оказанных Исполнителем услуг безналичным перечислением денежных средств на расчетный счет Исполнителя в срок не позднее 7 рабочих дней с даты подписания Заказчиком Акта об оказанных услугах. </w:t>
      </w:r>
    </w:p>
    <w:p>
      <w:pPr>
        <w:pStyle w:val="Standard"/>
        <w:ind w:end="-365"/>
        <w:jc w:val="both"/>
        <w:rPr>
          <w:sz w:val="22"/>
          <w:szCs w:val="22"/>
        </w:rPr>
      </w:pPr>
      <w:r>
        <w:rPr>
          <w:sz w:val="22"/>
          <w:szCs w:val="22"/>
        </w:rPr>
        <w:t xml:space="preserve">          </w:t>
      </w:r>
      <w:r>
        <w:rPr>
          <w:sz w:val="22"/>
          <w:szCs w:val="22"/>
        </w:rPr>
        <w:t xml:space="preserve">5.5. </w:t>
      </w:r>
      <w:r>
        <w:rPr>
          <w:sz w:val="22"/>
          <w:szCs w:val="22"/>
          <w:shd w:fill="FFFFFF" w:val="clear"/>
        </w:rPr>
        <w:t>Оплата за услуги па настоящему договору производится за счет средств бюджета муниципального образования «__________».</w:t>
      </w:r>
    </w:p>
    <w:p>
      <w:pPr>
        <w:pStyle w:val="Standard"/>
        <w:ind w:end="-365"/>
        <w:jc w:val="both"/>
        <w:rPr>
          <w:rFonts w:eastAsia="Arial Unicode MS"/>
          <w:b/>
          <w:bCs/>
          <w:iCs/>
          <w:sz w:val="22"/>
          <w:szCs w:val="22"/>
        </w:rPr>
      </w:pPr>
      <w:r>
        <w:rPr>
          <w:sz w:val="22"/>
          <w:szCs w:val="22"/>
        </w:rPr>
        <w:t xml:space="preserve">         </w:t>
      </w:r>
      <w:r>
        <w:rPr>
          <w:sz w:val="22"/>
          <w:szCs w:val="22"/>
        </w:rPr>
        <w:t>5.6. Услуги считаются оплаченными с момента поступления денежных средств на расчетный счет Исполнителя.</w:t>
      </w:r>
    </w:p>
    <w:p>
      <w:pPr>
        <w:pStyle w:val="Normal"/>
        <w:keepNext w:val="true"/>
        <w:widowControl w:val="false"/>
        <w:numPr>
          <w:ilvl w:val="0"/>
          <w:numId w:val="2"/>
        </w:numPr>
        <w:suppressAutoHyphens w:val="false"/>
        <w:autoSpaceDE w:val="false"/>
        <w:spacing w:before="0" w:after="0"/>
        <w:contextualSpacing/>
        <w:jc w:val="center"/>
        <w:outlineLvl w:val="1"/>
        <w:rPr>
          <w:sz w:val="22"/>
          <w:szCs w:val="22"/>
        </w:rPr>
      </w:pPr>
      <w:r>
        <w:rPr>
          <w:rFonts w:eastAsia="Arial Unicode MS"/>
          <w:b/>
          <w:bCs/>
          <w:iCs/>
          <w:sz w:val="22"/>
          <w:szCs w:val="22"/>
        </w:rPr>
        <w:t>Форс - мажор</w:t>
      </w:r>
    </w:p>
    <w:p>
      <w:pPr>
        <w:pStyle w:val="Normal"/>
        <w:widowControl w:val="false"/>
        <w:numPr>
          <w:ilvl w:val="1"/>
          <w:numId w:val="2"/>
        </w:numPr>
        <w:tabs>
          <w:tab w:val="clear" w:pos="708"/>
          <w:tab w:val="left" w:pos="0" w:leader="none"/>
        </w:tabs>
        <w:suppressAutoHyphens w:val="false"/>
        <w:autoSpaceDE w:val="false"/>
        <w:spacing w:before="0" w:after="0"/>
        <w:ind w:firstLine="567" w:start="0" w:end="0"/>
        <w:contextualSpacing/>
        <w:jc w:val="both"/>
        <w:rPr>
          <w:sz w:val="22"/>
          <w:szCs w:val="22"/>
        </w:rPr>
      </w:pPr>
      <w:r>
        <w:rPr>
          <w:sz w:val="22"/>
          <w:szCs w:val="22"/>
        </w:rPr>
        <w:t>Стороны не несут ответственности за неисполнение или ненадлежащее исполнение своих обязательств по настоящему Договору вследствие действия обстоятельств непреодолимой силы при условии, что эти обстоятельства непосредственно повлекли за собой невозможность надлежащего исполнения указанных в Договоре обязательств.</w:t>
      </w:r>
    </w:p>
    <w:p>
      <w:pPr>
        <w:pStyle w:val="Normal"/>
        <w:widowControl w:val="false"/>
        <w:numPr>
          <w:ilvl w:val="1"/>
          <w:numId w:val="2"/>
        </w:numPr>
        <w:tabs>
          <w:tab w:val="clear" w:pos="708"/>
          <w:tab w:val="left" w:pos="284" w:leader="none"/>
        </w:tabs>
        <w:suppressAutoHyphens w:val="false"/>
        <w:autoSpaceDE w:val="false"/>
        <w:spacing w:before="0" w:after="0"/>
        <w:ind w:firstLine="567" w:start="0" w:end="0"/>
        <w:contextualSpacing/>
        <w:jc w:val="both"/>
        <w:rPr>
          <w:sz w:val="22"/>
          <w:szCs w:val="22"/>
        </w:rPr>
      </w:pPr>
      <w:r>
        <w:rPr>
          <w:sz w:val="22"/>
          <w:szCs w:val="22"/>
        </w:rPr>
        <w:t>Под непреодолимой силой понимаются чрезвычайные и непредотвратимые при данных условиях обстоятельства, то есть те, которые не существовали во время подписания настоящего договора. Возникли помимо воли и желания сторон, и которые нельзя было предвидеть или избежать, а именно: объявленная или фактическая война, гражданские волнения, забастовки, экономическая или военная блокада, эмбарго, эпидемии, эпизоотии, промышленные аварии, землетрясения, наводнения, заносы, пожары и другие стихийные бедствия и катастрофы.</w:t>
      </w:r>
    </w:p>
    <w:p>
      <w:pPr>
        <w:pStyle w:val="Normal"/>
        <w:widowControl w:val="false"/>
        <w:numPr>
          <w:ilvl w:val="1"/>
          <w:numId w:val="2"/>
        </w:numPr>
        <w:tabs>
          <w:tab w:val="clear" w:pos="708"/>
          <w:tab w:val="left" w:pos="426" w:leader="none"/>
        </w:tabs>
        <w:suppressAutoHyphens w:val="false"/>
        <w:autoSpaceDE w:val="false"/>
        <w:spacing w:before="0" w:after="0"/>
        <w:ind w:firstLine="567" w:start="0" w:end="0"/>
        <w:contextualSpacing/>
        <w:jc w:val="both"/>
        <w:rPr>
          <w:sz w:val="22"/>
          <w:szCs w:val="22"/>
        </w:rPr>
      </w:pPr>
      <w:r>
        <w:rPr>
          <w:sz w:val="22"/>
          <w:szCs w:val="22"/>
        </w:rPr>
        <w:t>К обстоятельствам непреодолимой силы, вызвавшим сбои в работе или выход из строя основного оборудования и вспомогательных средств, относятся также:</w:t>
      </w:r>
    </w:p>
    <w:p>
      <w:pPr>
        <w:pStyle w:val="Normal"/>
        <w:widowControl w:val="false"/>
        <w:suppressAutoHyphens w:val="false"/>
        <w:autoSpaceDE w:val="false"/>
        <w:spacing w:before="0" w:after="0"/>
        <w:ind w:start="720" w:end="0"/>
        <w:contextualSpacing/>
        <w:jc w:val="both"/>
        <w:rPr>
          <w:sz w:val="22"/>
          <w:szCs w:val="22"/>
        </w:rPr>
      </w:pPr>
      <w:r>
        <w:rPr>
          <w:sz w:val="22"/>
          <w:szCs w:val="22"/>
        </w:rPr>
        <w:t>- длительные радиопомехи, вызванные любыми явлениями природного или промышленного характера;</w:t>
      </w:r>
    </w:p>
    <w:p>
      <w:pPr>
        <w:pStyle w:val="Normal"/>
        <w:widowControl w:val="false"/>
        <w:suppressAutoHyphens w:val="false"/>
        <w:autoSpaceDE w:val="false"/>
        <w:spacing w:before="0" w:after="0"/>
        <w:ind w:start="720" w:end="0"/>
        <w:contextualSpacing/>
        <w:jc w:val="both"/>
        <w:rPr>
          <w:sz w:val="22"/>
          <w:szCs w:val="22"/>
        </w:rPr>
      </w:pPr>
      <w:r>
        <w:rPr>
          <w:sz w:val="22"/>
          <w:szCs w:val="22"/>
        </w:rPr>
        <w:t>- повреждения телефонных линий;</w:t>
      </w:r>
    </w:p>
    <w:p>
      <w:pPr>
        <w:pStyle w:val="Normal"/>
        <w:widowControl w:val="false"/>
        <w:suppressAutoHyphens w:val="false"/>
        <w:autoSpaceDE w:val="false"/>
        <w:spacing w:before="0" w:after="0"/>
        <w:ind w:start="720" w:end="0"/>
        <w:contextualSpacing/>
        <w:jc w:val="both"/>
        <w:rPr>
          <w:sz w:val="22"/>
          <w:szCs w:val="22"/>
        </w:rPr>
      </w:pPr>
      <w:r>
        <w:rPr>
          <w:sz w:val="22"/>
          <w:szCs w:val="22"/>
        </w:rPr>
        <w:t>- сбои в работе или повреждения технических средств телефонных сетей и сетей сотовой связи;</w:t>
      </w:r>
    </w:p>
    <w:p>
      <w:pPr>
        <w:pStyle w:val="Normal"/>
        <w:widowControl w:val="false"/>
        <w:suppressAutoHyphens w:val="false"/>
        <w:autoSpaceDE w:val="false"/>
        <w:spacing w:before="0" w:after="0"/>
        <w:ind w:start="720" w:end="0"/>
        <w:contextualSpacing/>
        <w:jc w:val="both"/>
        <w:rPr>
          <w:sz w:val="22"/>
          <w:szCs w:val="22"/>
        </w:rPr>
      </w:pPr>
      <w:r>
        <w:rPr>
          <w:sz w:val="22"/>
          <w:szCs w:val="22"/>
        </w:rPr>
        <w:t>- перебои в подаче электроэнергии на срок более 12 часов.</w:t>
      </w:r>
    </w:p>
    <w:p>
      <w:pPr>
        <w:pStyle w:val="Normal"/>
        <w:widowControl w:val="false"/>
        <w:numPr>
          <w:ilvl w:val="1"/>
          <w:numId w:val="2"/>
        </w:numPr>
        <w:tabs>
          <w:tab w:val="clear" w:pos="708"/>
          <w:tab w:val="left" w:pos="426" w:leader="none"/>
        </w:tabs>
        <w:suppressAutoHyphens w:val="false"/>
        <w:autoSpaceDE w:val="false"/>
        <w:spacing w:before="0" w:after="0"/>
        <w:ind w:firstLine="567" w:start="0" w:end="0"/>
        <w:contextualSpacing/>
        <w:jc w:val="both"/>
        <w:rPr>
          <w:sz w:val="22"/>
          <w:szCs w:val="22"/>
        </w:rPr>
      </w:pPr>
      <w:r>
        <w:rPr>
          <w:sz w:val="22"/>
          <w:szCs w:val="22"/>
        </w:rPr>
        <w:t>К обстоятельствам непреодолимой силы в связи с исполнением Исполнителем своих обязательств по настоящему Договору также относятся:</w:t>
      </w:r>
    </w:p>
    <w:p>
      <w:pPr>
        <w:pStyle w:val="Normal"/>
        <w:widowControl w:val="false"/>
        <w:suppressAutoHyphens w:val="false"/>
        <w:autoSpaceDE w:val="false"/>
        <w:spacing w:before="0" w:after="0"/>
        <w:ind w:firstLine="709" w:end="0"/>
        <w:contextualSpacing/>
        <w:jc w:val="both"/>
        <w:rPr>
          <w:sz w:val="22"/>
          <w:szCs w:val="22"/>
        </w:rPr>
      </w:pPr>
      <w:r>
        <w:rPr>
          <w:sz w:val="22"/>
          <w:szCs w:val="22"/>
        </w:rPr>
        <w:t>- издание органами государственной власти Российской Федерации (в том числе органами надзора в области связи, органами пожарного надзора, иными контрольно-надзорными органами), а также органами местного самоуправления нормативных актов, затрудняющих или делающих невозможным надлежащее исполнение сторонами своих обязательств по настоящему договору (в том числе изменение правил сертификации, смена частот и т.п.);</w:t>
      </w:r>
    </w:p>
    <w:p>
      <w:pPr>
        <w:pStyle w:val="Normal"/>
        <w:widowControl w:val="false"/>
        <w:suppressAutoHyphens w:val="false"/>
        <w:autoSpaceDE w:val="false"/>
        <w:spacing w:before="0" w:after="0"/>
        <w:ind w:firstLine="720" w:end="0"/>
        <w:contextualSpacing/>
        <w:jc w:val="both"/>
        <w:rPr>
          <w:sz w:val="22"/>
          <w:szCs w:val="22"/>
        </w:rPr>
      </w:pPr>
      <w:r>
        <w:rPr>
          <w:sz w:val="22"/>
          <w:szCs w:val="22"/>
        </w:rPr>
        <w:t>- принятие решений и осуществление действий судебными или иными правоохранительными органами, затрудняющих или делающих невозможным надлежащее исполнение сторонами своих обязательств по настоящему договору.</w:t>
      </w:r>
    </w:p>
    <w:p>
      <w:pPr>
        <w:pStyle w:val="Normal"/>
        <w:widowControl w:val="false"/>
        <w:numPr>
          <w:ilvl w:val="1"/>
          <w:numId w:val="2"/>
        </w:numPr>
        <w:tabs>
          <w:tab w:val="clear" w:pos="708"/>
          <w:tab w:val="left" w:pos="426" w:leader="none"/>
        </w:tabs>
        <w:suppressAutoHyphens w:val="false"/>
        <w:autoSpaceDE w:val="false"/>
        <w:spacing w:before="0" w:after="0"/>
        <w:ind w:firstLine="567" w:start="0" w:end="0"/>
        <w:contextualSpacing/>
        <w:jc w:val="both"/>
        <w:rPr>
          <w:sz w:val="22"/>
          <w:szCs w:val="22"/>
        </w:rPr>
      </w:pPr>
      <w:r>
        <w:rPr>
          <w:sz w:val="22"/>
          <w:szCs w:val="22"/>
        </w:rPr>
        <w:t>Сторона, которой стало известно о наступлении обстоятельств непреодолимой силы, обязана в течение 3 (трех) дней поставить об этом в известность другую сторону в письменной форме.  Не уведомление или несвоевременное уведомление другой стороны о наступлении обстоятельств непреодолимой силы лишает сторону права ссылаться на указанные обстоятельства.</w:t>
      </w:r>
    </w:p>
    <w:p>
      <w:pPr>
        <w:pStyle w:val="Normal"/>
        <w:widowControl w:val="false"/>
        <w:numPr>
          <w:ilvl w:val="1"/>
          <w:numId w:val="2"/>
        </w:numPr>
        <w:tabs>
          <w:tab w:val="clear" w:pos="708"/>
          <w:tab w:val="left" w:pos="567" w:leader="none"/>
        </w:tabs>
        <w:suppressAutoHyphens w:val="false"/>
        <w:autoSpaceDE w:val="false"/>
        <w:spacing w:before="0" w:after="0"/>
        <w:ind w:firstLine="567" w:start="0" w:end="0"/>
        <w:contextualSpacing/>
        <w:jc w:val="both"/>
        <w:rPr>
          <w:sz w:val="22"/>
          <w:szCs w:val="22"/>
        </w:rPr>
      </w:pPr>
      <w:r>
        <w:rPr>
          <w:sz w:val="22"/>
          <w:szCs w:val="22"/>
        </w:rPr>
        <w:t>Если стороны не исполнили своих обязательств в надлежащие сроки вследствие действия непреодолимой силы, то указанные сроки считаются продленными на время действия непреодолимой силы.</w:t>
      </w:r>
    </w:p>
    <w:p>
      <w:pPr>
        <w:pStyle w:val="Normal"/>
        <w:widowControl w:val="false"/>
        <w:numPr>
          <w:ilvl w:val="1"/>
          <w:numId w:val="2"/>
        </w:numPr>
        <w:tabs>
          <w:tab w:val="clear" w:pos="708"/>
          <w:tab w:val="left" w:pos="426" w:leader="none"/>
        </w:tabs>
        <w:autoSpaceDE w:val="false"/>
        <w:spacing w:before="0" w:after="0"/>
        <w:ind w:firstLine="567" w:start="0" w:end="0"/>
        <w:contextualSpacing/>
        <w:jc w:val="both"/>
        <w:rPr>
          <w:sz w:val="22"/>
          <w:szCs w:val="22"/>
        </w:rPr>
      </w:pPr>
      <w:r>
        <w:rPr>
          <w:sz w:val="22"/>
          <w:szCs w:val="22"/>
        </w:rPr>
        <w:t>В случае продолжения обстоятельств непреодолимой силы свыше 1 (одного) месяца, сторона, утратившая в связи с этим интерес к настоящему Договору, вправе в одностороннем порядке расторгнуть настоящий Договор, направив соответствующее уведомление другой стороне. В этом случае Договор считается расторгнутым с момента получения стороной указанного уведомления.</w:t>
      </w:r>
    </w:p>
    <w:p>
      <w:pPr>
        <w:pStyle w:val="Normal"/>
        <w:widowControl w:val="false"/>
        <w:tabs>
          <w:tab w:val="clear" w:pos="708"/>
          <w:tab w:val="left" w:pos="426" w:leader="none"/>
        </w:tabs>
        <w:autoSpaceDE w:val="false"/>
        <w:spacing w:before="0" w:after="0"/>
        <w:ind w:firstLine="567" w:end="0"/>
        <w:contextualSpacing/>
        <w:jc w:val="both"/>
        <w:rPr>
          <w:sz w:val="22"/>
          <w:szCs w:val="22"/>
        </w:rPr>
      </w:pPr>
      <w:r>
        <w:rPr>
          <w:sz w:val="22"/>
          <w:szCs w:val="22"/>
        </w:rPr>
      </w:r>
    </w:p>
    <w:p>
      <w:pPr>
        <w:pStyle w:val="Normal"/>
        <w:widowControl w:val="false"/>
        <w:autoSpaceDE w:val="false"/>
        <w:spacing w:before="0" w:after="0"/>
        <w:ind w:start="567" w:end="0"/>
        <w:contextualSpacing/>
        <w:jc w:val="both"/>
        <w:rPr>
          <w:b/>
          <w:sz w:val="22"/>
          <w:szCs w:val="22"/>
        </w:rPr>
      </w:pPr>
      <w:r>
        <w:rPr>
          <w:b/>
          <w:sz w:val="22"/>
          <w:szCs w:val="22"/>
        </w:rPr>
      </w:r>
    </w:p>
    <w:p>
      <w:pPr>
        <w:pStyle w:val="Normal"/>
        <w:widowControl w:val="false"/>
        <w:tabs>
          <w:tab w:val="clear" w:pos="708"/>
          <w:tab w:val="left" w:pos="3675" w:leader="none"/>
        </w:tabs>
        <w:autoSpaceDE w:val="false"/>
        <w:spacing w:before="0" w:after="0"/>
        <w:ind w:start="567" w:end="0"/>
        <w:contextualSpacing/>
        <w:jc w:val="both"/>
        <w:rPr>
          <w:sz w:val="22"/>
          <w:szCs w:val="22"/>
        </w:rPr>
      </w:pPr>
      <w:r>
        <w:rPr>
          <w:b/>
          <w:sz w:val="22"/>
          <w:szCs w:val="22"/>
        </w:rPr>
        <w:tab/>
        <w:t xml:space="preserve">7. </w:t>
      </w:r>
      <w:r>
        <w:rPr>
          <w:b/>
          <w:bCs/>
          <w:color w:val="000000"/>
          <w:sz w:val="22"/>
          <w:szCs w:val="22"/>
          <w:lang w:eastAsia="ru-RU" w:bidi="ru-RU"/>
        </w:rPr>
        <w:t>Ответственность сторон</w:t>
      </w:r>
    </w:p>
    <w:p>
      <w:pPr>
        <w:pStyle w:val="Normal"/>
        <w:ind w:firstLine="567" w:end="0"/>
        <w:jc w:val="both"/>
        <w:rPr>
          <w:sz w:val="22"/>
          <w:szCs w:val="22"/>
        </w:rPr>
      </w:pPr>
      <w:r>
        <w:rPr>
          <w:sz w:val="22"/>
          <w:szCs w:val="22"/>
        </w:rPr>
        <w:t>7.1. В случаях неисполнения либо ненадлежащего исполнения условий настоящего договора Стороны несут ответственность, предусмотренную действующим законодательством РФ.</w:t>
      </w:r>
    </w:p>
    <w:p>
      <w:pPr>
        <w:pStyle w:val="Normal"/>
        <w:tabs>
          <w:tab w:val="clear" w:pos="708"/>
          <w:tab w:val="left" w:pos="0" w:leader="none"/>
        </w:tabs>
        <w:ind w:firstLine="567" w:end="0"/>
        <w:jc w:val="both"/>
        <w:rPr>
          <w:kern w:val="2"/>
          <w:sz w:val="22"/>
          <w:szCs w:val="22"/>
        </w:rPr>
      </w:pPr>
      <w:r>
        <w:rPr>
          <w:sz w:val="22"/>
          <w:szCs w:val="22"/>
        </w:rPr>
        <w:t>7.2.</w:t>
      </w:r>
      <w:r>
        <w:rPr>
          <w:kern w:val="2"/>
          <w:sz w:val="22"/>
          <w:szCs w:val="22"/>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pPr>
        <w:pStyle w:val="Normal"/>
        <w:ind w:firstLine="567" w:end="0"/>
        <w:jc w:val="both"/>
        <w:rPr>
          <w:rStyle w:val="blk"/>
          <w:sz w:val="22"/>
          <w:szCs w:val="22"/>
        </w:rPr>
      </w:pPr>
      <w:r>
        <w:rPr>
          <w:kern w:val="2"/>
          <w:sz w:val="22"/>
          <w:szCs w:val="22"/>
        </w:rPr>
        <w:t>7.3.</w:t>
      </w:r>
      <w:r>
        <w:rPr>
          <w:sz w:val="22"/>
          <w:szCs w:val="22"/>
          <w:lang w:eastAsia="ru-RU"/>
        </w:rPr>
        <w:t xml:space="preserve"> </w:t>
      </w:r>
      <w:r>
        <w:rPr>
          <w:sz w:val="22"/>
          <w:szCs w:val="22"/>
        </w:rPr>
        <w:t>Ответственность Исполнителя:</w:t>
      </w:r>
    </w:p>
    <w:p>
      <w:pPr>
        <w:pStyle w:val="Normal"/>
        <w:jc w:val="both"/>
        <w:rPr>
          <w:rStyle w:val="blk"/>
          <w:sz w:val="22"/>
          <w:szCs w:val="22"/>
        </w:rPr>
      </w:pPr>
      <w:r>
        <w:rPr>
          <w:rStyle w:val="blk"/>
          <w:sz w:val="22"/>
          <w:szCs w:val="22"/>
        </w:rPr>
        <w:t>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pPr>
        <w:pStyle w:val="Normal"/>
        <w:jc w:val="both"/>
        <w:rPr>
          <w:sz w:val="22"/>
          <w:szCs w:val="22"/>
        </w:rPr>
      </w:pPr>
      <w:r>
        <w:rPr>
          <w:rStyle w:val="blk"/>
          <w:sz w:val="22"/>
          <w:szCs w:val="22"/>
        </w:rPr>
        <w:t>- 10 процентов цены договора, в случае если цена договора не превышает 3 млн. рублей.</w:t>
      </w:r>
    </w:p>
    <w:p>
      <w:pPr>
        <w:pStyle w:val="Normal"/>
        <w:ind w:firstLine="567" w:end="0"/>
        <w:jc w:val="both"/>
        <w:rPr>
          <w:rStyle w:val="blk"/>
          <w:sz w:val="22"/>
          <w:szCs w:val="22"/>
        </w:rPr>
      </w:pPr>
      <w:r>
        <w:rPr>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1000,00 рублей (одна тысяча) рублей 00 копеек.</w:t>
      </w:r>
    </w:p>
    <w:p>
      <w:pPr>
        <w:pStyle w:val="Normal"/>
        <w:widowControl w:val="false"/>
        <w:autoSpaceDE w:val="false"/>
        <w:jc w:val="both"/>
        <w:rPr>
          <w:sz w:val="22"/>
          <w:szCs w:val="22"/>
        </w:rPr>
      </w:pPr>
      <w:r>
        <w:rPr>
          <w:rStyle w:val="blk"/>
          <w:sz w:val="22"/>
          <w:szCs w:val="22"/>
        </w:rPr>
        <w:t xml:space="preserve">б) </w:t>
      </w:r>
      <w:r>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ind w:firstLine="567" w:end="-5"/>
        <w:jc w:val="both"/>
        <w:rPr>
          <w:sz w:val="22"/>
          <w:szCs w:val="22"/>
          <w:lang w:eastAsia="ru-RU"/>
        </w:rPr>
      </w:pPr>
      <w:r>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widowControl w:val="false"/>
        <w:autoSpaceDE w:val="false"/>
        <w:ind w:firstLine="567" w:end="0"/>
        <w:jc w:val="both"/>
        <w:rPr>
          <w:rStyle w:val="blk"/>
          <w:sz w:val="22"/>
          <w:szCs w:val="22"/>
        </w:rPr>
      </w:pPr>
      <w:r>
        <w:rPr>
          <w:sz w:val="22"/>
          <w:szCs w:val="22"/>
          <w:lang w:eastAsia="ru-RU"/>
        </w:rPr>
        <w:t xml:space="preserve">7.4. </w:t>
      </w:r>
      <w:r>
        <w:rPr>
          <w:rStyle w:val="blk"/>
          <w:sz w:val="22"/>
          <w:szCs w:val="22"/>
        </w:rPr>
        <w:t>Ответственность Заказчика:</w:t>
      </w:r>
    </w:p>
    <w:p>
      <w:pPr>
        <w:pStyle w:val="Normal"/>
        <w:widowControl w:val="false"/>
        <w:autoSpaceDE w:val="false"/>
        <w:ind w:firstLine="34" w:end="0"/>
        <w:jc w:val="both"/>
        <w:rPr>
          <w:sz w:val="22"/>
          <w:szCs w:val="22"/>
        </w:rPr>
      </w:pPr>
      <w:r>
        <w:rPr>
          <w:rStyle w:val="blk"/>
          <w:sz w:val="22"/>
          <w:szCs w:val="22"/>
        </w:rPr>
        <w:t xml:space="preserve">а) </w:t>
      </w:r>
      <w:r>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pPr>
        <w:pStyle w:val="Normal"/>
        <w:ind w:firstLine="34" w:end="0"/>
        <w:jc w:val="both"/>
        <w:rPr>
          <w:rStyle w:val="blk"/>
          <w:sz w:val="22"/>
          <w:szCs w:val="22"/>
        </w:rPr>
      </w:pPr>
      <w:r>
        <w:rPr>
          <w:sz w:val="22"/>
          <w:szCs w:val="22"/>
        </w:rPr>
        <w:t>- 1000 рублей, если цена Договора не превышает 3 млн. рублей (включительно).</w:t>
      </w:r>
    </w:p>
    <w:p>
      <w:pPr>
        <w:pStyle w:val="Normal"/>
        <w:widowControl w:val="false"/>
        <w:autoSpaceDE w:val="false"/>
        <w:ind w:firstLine="34" w:end="0"/>
        <w:jc w:val="both"/>
        <w:rPr>
          <w:sz w:val="22"/>
          <w:szCs w:val="22"/>
        </w:rPr>
      </w:pPr>
      <w:r>
        <w:rPr>
          <w:rStyle w:val="blk"/>
          <w:sz w:val="22"/>
          <w:szCs w:val="22"/>
        </w:rPr>
        <w:t xml:space="preserve">б) </w:t>
      </w:r>
      <w:r>
        <w:rPr>
          <w:sz w:val="22"/>
          <w:szCs w:val="22"/>
        </w:rPr>
        <w:t>Пеня начисляется за каждый день просрочки исполнения Заказчиком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pPr>
        <w:pStyle w:val="Normal"/>
        <w:ind w:firstLine="567" w:end="0"/>
        <w:jc w:val="both"/>
        <w:rPr>
          <w:sz w:val="22"/>
          <w:szCs w:val="22"/>
        </w:rPr>
      </w:pPr>
      <w:r>
        <w:rPr>
          <w:sz w:val="22"/>
          <w:szCs w:val="22"/>
        </w:rPr>
        <w:t>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pPr>
        <w:pStyle w:val="Normal"/>
        <w:ind w:firstLine="567" w:end="0"/>
        <w:jc w:val="both"/>
        <w:rPr>
          <w:sz w:val="22"/>
          <w:szCs w:val="22"/>
        </w:rPr>
      </w:pPr>
      <w:r>
        <w:rPr>
          <w:sz w:val="22"/>
          <w:szCs w:val="22"/>
        </w:rPr>
      </w:r>
    </w:p>
    <w:p>
      <w:pPr>
        <w:pStyle w:val="Normal"/>
        <w:ind w:firstLine="567" w:end="0"/>
        <w:jc w:val="both"/>
        <w:rPr>
          <w:kern w:val="2"/>
          <w:sz w:val="22"/>
          <w:szCs w:val="22"/>
        </w:rPr>
      </w:pPr>
      <w:r>
        <w:rPr>
          <w:kern w:val="2"/>
          <w:sz w:val="22"/>
          <w:szCs w:val="22"/>
        </w:rPr>
      </w:r>
    </w:p>
    <w:p>
      <w:pPr>
        <w:pStyle w:val="Normal"/>
        <w:widowControl w:val="false"/>
        <w:tabs>
          <w:tab w:val="clear" w:pos="708"/>
          <w:tab w:val="left" w:pos="720" w:leader="none"/>
          <w:tab w:val="left" w:pos="5205" w:leader="none"/>
        </w:tabs>
        <w:autoSpaceDE w:val="false"/>
        <w:ind w:start="450" w:end="0"/>
        <w:jc w:val="center"/>
        <w:rPr>
          <w:b/>
          <w:sz w:val="22"/>
          <w:szCs w:val="22"/>
        </w:rPr>
      </w:pPr>
      <w:r>
        <w:rPr>
          <w:b/>
          <w:sz w:val="22"/>
          <w:szCs w:val="22"/>
        </w:rPr>
        <w:t>8.Срок действия договора, урегулирование споров</w:t>
      </w:r>
    </w:p>
    <w:p>
      <w:pPr>
        <w:pStyle w:val="Normal"/>
        <w:widowControl w:val="false"/>
        <w:tabs>
          <w:tab w:val="clear" w:pos="708"/>
          <w:tab w:val="left" w:pos="720" w:leader="none"/>
          <w:tab w:val="left" w:pos="5205" w:leader="none"/>
        </w:tabs>
        <w:autoSpaceDE w:val="false"/>
        <w:ind w:start="450" w:end="0"/>
        <w:jc w:val="both"/>
        <w:rPr>
          <w:b/>
          <w:sz w:val="22"/>
          <w:szCs w:val="22"/>
        </w:rPr>
      </w:pPr>
      <w:r>
        <w:rPr>
          <w:b/>
          <w:sz w:val="22"/>
          <w:szCs w:val="22"/>
        </w:rPr>
      </w:r>
    </w:p>
    <w:p>
      <w:pPr>
        <w:pStyle w:val="Normal"/>
        <w:widowControl w:val="false"/>
        <w:numPr>
          <w:ilvl w:val="1"/>
          <w:numId w:val="5"/>
        </w:numPr>
        <w:tabs>
          <w:tab w:val="clear" w:pos="708"/>
          <w:tab w:val="left" w:pos="0" w:leader="none"/>
        </w:tabs>
        <w:autoSpaceDE w:val="false"/>
        <w:snapToGrid w:val="false"/>
        <w:spacing w:lineRule="exact" w:line="274"/>
        <w:ind w:firstLine="567" w:start="0" w:end="0"/>
        <w:jc w:val="both"/>
        <w:rPr>
          <w:rFonts w:eastAsia="Arial"/>
          <w:kern w:val="2"/>
          <w:sz w:val="22"/>
          <w:szCs w:val="22"/>
        </w:rPr>
      </w:pPr>
      <w:r>
        <w:rPr>
          <w:rFonts w:eastAsia="Arial"/>
          <w:color w:val="000000"/>
          <w:kern w:val="2"/>
          <w:sz w:val="22"/>
          <w:szCs w:val="22"/>
        </w:rPr>
        <w:t>Настоящий Договор вступает в силу с момента подписания и</w:t>
      </w:r>
      <w:r>
        <w:rPr>
          <w:rFonts w:eastAsia="Arial"/>
          <w:kern w:val="2"/>
          <w:sz w:val="22"/>
          <w:szCs w:val="22"/>
        </w:rPr>
        <w:t xml:space="preserve"> действует по «31»</w:t>
      </w:r>
      <w:r>
        <w:rPr>
          <w:rFonts w:eastAsia="Arial"/>
          <w:color w:val="C9211E"/>
          <w:kern w:val="2"/>
          <w:sz w:val="22"/>
          <w:szCs w:val="22"/>
        </w:rPr>
        <w:t xml:space="preserve"> </w:t>
      </w:r>
      <w:r>
        <w:rPr>
          <w:rFonts w:eastAsia="Arial"/>
          <w:color w:val="000000"/>
          <w:kern w:val="2"/>
          <w:sz w:val="22"/>
          <w:szCs w:val="22"/>
        </w:rPr>
        <w:t>декабря</w:t>
      </w:r>
      <w:r>
        <w:rPr>
          <w:rFonts w:eastAsia="Arial"/>
          <w:kern w:val="2"/>
          <w:sz w:val="22"/>
          <w:szCs w:val="22"/>
        </w:rPr>
        <w:t xml:space="preserve"> 2025</w:t>
      </w:r>
      <w:r>
        <w:rPr>
          <w:rFonts w:eastAsia="Arial"/>
          <w:color w:val="FF00FF"/>
          <w:kern w:val="2"/>
          <w:sz w:val="22"/>
          <w:szCs w:val="22"/>
        </w:rPr>
        <w:t xml:space="preserve"> </w:t>
      </w:r>
      <w:r>
        <w:rPr>
          <w:rFonts w:eastAsia="Arial"/>
          <w:kern w:val="2"/>
          <w:sz w:val="22"/>
          <w:szCs w:val="22"/>
        </w:rPr>
        <w:t>г., а в части оплаты - до полного исполнения сторонами своих обязательств, или до его расторжения в порядке и на условиях, предусмотренных настоящим Договором.</w:t>
      </w:r>
    </w:p>
    <w:p>
      <w:pPr>
        <w:pStyle w:val="Normal"/>
        <w:widowControl w:val="false"/>
        <w:numPr>
          <w:ilvl w:val="1"/>
          <w:numId w:val="5"/>
        </w:numPr>
        <w:tabs>
          <w:tab w:val="clear" w:pos="708"/>
          <w:tab w:val="left" w:pos="0" w:leader="none"/>
        </w:tabs>
        <w:autoSpaceDE w:val="false"/>
        <w:snapToGrid w:val="false"/>
        <w:spacing w:lineRule="exact" w:line="274"/>
        <w:ind w:firstLine="567" w:start="0" w:end="0"/>
        <w:jc w:val="both"/>
        <w:rPr>
          <w:rFonts w:eastAsia="Times New Roman"/>
          <w:sz w:val="22"/>
          <w:szCs w:val="22"/>
          <w:lang w:eastAsia="en-US"/>
        </w:rPr>
      </w:pPr>
      <w:r>
        <w:rPr>
          <w:rFonts w:eastAsia="Arial"/>
          <w:kern w:val="2"/>
          <w:sz w:val="22"/>
          <w:szCs w:val="22"/>
        </w:rPr>
        <w:t>Срок оказания услуг с</w:t>
      </w:r>
      <w:r>
        <w:rPr>
          <w:rFonts w:eastAsia="Arial"/>
          <w:kern w:val="2"/>
          <w:sz w:val="22"/>
          <w:szCs w:val="22"/>
          <w:shd w:fill="FFFFFF" w:val="clear"/>
        </w:rPr>
        <w:t xml:space="preserve"> </w:t>
      </w:r>
      <w:r>
        <w:rPr>
          <w:rFonts w:eastAsia="Arial"/>
          <w:color w:val="000000"/>
          <w:kern w:val="2"/>
          <w:sz w:val="22"/>
          <w:szCs w:val="22"/>
          <w:shd w:fill="FFFFFF" w:val="clear"/>
        </w:rPr>
        <w:t>01 сентября 2025 г. по 31 декабря 2025 г.</w:t>
      </w:r>
    </w:p>
    <w:p>
      <w:pPr>
        <w:pStyle w:val="Normal"/>
        <w:widowControl w:val="false"/>
        <w:tabs>
          <w:tab w:val="clear" w:pos="708"/>
          <w:tab w:val="left" w:pos="5205" w:leader="none"/>
        </w:tabs>
        <w:suppressAutoHyphens w:val="false"/>
        <w:autoSpaceDE w:val="false"/>
        <w:jc w:val="both"/>
        <w:rPr>
          <w:rFonts w:eastAsia="Calibri"/>
          <w:sz w:val="22"/>
          <w:szCs w:val="22"/>
          <w:lang w:eastAsia="en-US"/>
        </w:rPr>
      </w:pPr>
      <w:r>
        <w:rPr>
          <w:rFonts w:eastAsia="Times New Roman"/>
          <w:sz w:val="22"/>
          <w:szCs w:val="22"/>
          <w:lang w:eastAsia="en-US"/>
        </w:rPr>
        <w:t xml:space="preserve">          </w:t>
      </w:r>
      <w:r>
        <w:rPr>
          <w:rFonts w:eastAsia="Calibri"/>
          <w:sz w:val="22"/>
          <w:szCs w:val="22"/>
          <w:lang w:eastAsia="en-US"/>
        </w:rPr>
        <w:t>8.3.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pPr>
        <w:pStyle w:val="Normal"/>
        <w:widowControl w:val="false"/>
        <w:tabs>
          <w:tab w:val="clear" w:pos="708"/>
          <w:tab w:val="left" w:pos="5205" w:leader="none"/>
        </w:tabs>
        <w:suppressAutoHyphens w:val="false"/>
        <w:autoSpaceDE w:val="false"/>
        <w:jc w:val="both"/>
        <w:rPr>
          <w:rFonts w:eastAsia="Calibri"/>
          <w:b/>
          <w:sz w:val="22"/>
          <w:szCs w:val="22"/>
          <w:lang w:eastAsia="en-US"/>
        </w:rPr>
      </w:pPr>
      <w:r>
        <w:rPr>
          <w:rFonts w:eastAsia="Calibri"/>
          <w:sz w:val="22"/>
          <w:szCs w:val="22"/>
          <w:lang w:eastAsia="en-US"/>
        </w:rPr>
        <w:t>8.4. Споры, не урегулированные путем переговоров, передаются на рассмотрение в Арбитражные суда Саратовской области в порядке, предусмотренном действующим законодательством РФ.</w:t>
      </w:r>
    </w:p>
    <w:p>
      <w:pPr>
        <w:pStyle w:val="Normal"/>
        <w:widowControl w:val="false"/>
        <w:tabs>
          <w:tab w:val="clear" w:pos="708"/>
          <w:tab w:val="left" w:pos="5205" w:leader="none"/>
        </w:tabs>
        <w:suppressAutoHyphens w:val="false"/>
        <w:autoSpaceDE w:val="false"/>
        <w:ind w:firstLine="709" w:end="0"/>
        <w:jc w:val="both"/>
        <w:rPr>
          <w:rFonts w:eastAsia="Calibri"/>
          <w:b/>
          <w:sz w:val="22"/>
          <w:szCs w:val="22"/>
          <w:lang w:eastAsia="en-US"/>
        </w:rPr>
      </w:pPr>
      <w:r>
        <w:rPr>
          <w:rFonts w:eastAsia="Calibri"/>
          <w:b/>
          <w:sz w:val="22"/>
          <w:szCs w:val="22"/>
          <w:lang w:eastAsia="en-US"/>
        </w:rPr>
      </w:r>
    </w:p>
    <w:p>
      <w:pPr>
        <w:pStyle w:val="Normal"/>
        <w:widowControl w:val="false"/>
        <w:tabs>
          <w:tab w:val="clear" w:pos="708"/>
          <w:tab w:val="left" w:pos="5205" w:leader="none"/>
        </w:tabs>
        <w:suppressAutoHyphens w:val="false"/>
        <w:autoSpaceDE w:val="false"/>
        <w:ind w:firstLine="709" w:end="0"/>
        <w:jc w:val="both"/>
        <w:rPr>
          <w:rFonts w:eastAsia="Calibri"/>
          <w:b/>
          <w:sz w:val="22"/>
          <w:szCs w:val="22"/>
          <w:lang w:eastAsia="en-US"/>
        </w:rPr>
      </w:pPr>
      <w:r>
        <w:rPr>
          <w:rFonts w:eastAsia="Calibri"/>
          <w:b/>
          <w:sz w:val="22"/>
          <w:szCs w:val="22"/>
          <w:lang w:eastAsia="en-US"/>
        </w:rPr>
      </w:r>
    </w:p>
    <w:p>
      <w:pPr>
        <w:pStyle w:val="Normal"/>
        <w:widowControl w:val="false"/>
        <w:numPr>
          <w:ilvl w:val="0"/>
          <w:numId w:val="5"/>
        </w:numPr>
        <w:autoSpaceDE w:val="false"/>
        <w:spacing w:before="113" w:after="0"/>
        <w:jc w:val="center"/>
        <w:rPr>
          <w:sz w:val="22"/>
          <w:szCs w:val="22"/>
        </w:rPr>
      </w:pPr>
      <w:r>
        <w:rPr>
          <w:b/>
          <w:sz w:val="22"/>
          <w:szCs w:val="22"/>
        </w:rPr>
        <w:t>Расторжение договора</w:t>
      </w:r>
    </w:p>
    <w:p>
      <w:pPr>
        <w:pStyle w:val="21"/>
        <w:spacing w:before="0" w:after="0"/>
        <w:ind w:firstLine="567" w:end="0"/>
        <w:contextualSpacing/>
        <w:rPr>
          <w:sz w:val="22"/>
          <w:szCs w:val="22"/>
        </w:rPr>
      </w:pPr>
      <w:r>
        <w:rPr>
          <w:sz w:val="22"/>
          <w:szCs w:val="22"/>
        </w:rPr>
        <w:t>9.1.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рамках реализации права на принятие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21"/>
        <w:spacing w:before="0" w:after="0"/>
        <w:ind w:firstLine="567" w:end="0"/>
        <w:contextualSpacing/>
        <w:rPr>
          <w:sz w:val="22"/>
          <w:szCs w:val="22"/>
        </w:rPr>
      </w:pPr>
      <w:r>
        <w:rPr>
          <w:sz w:val="22"/>
          <w:szCs w:val="22"/>
        </w:rPr>
        <w:t>9.2. Любые изменения настоящего Договора, а также соглашение о расторжении настоящего Договора действительны при условии, что они составлены в письменной форме.</w:t>
      </w:r>
    </w:p>
    <w:p>
      <w:pPr>
        <w:pStyle w:val="21"/>
        <w:spacing w:before="0" w:after="0"/>
        <w:ind w:firstLine="567" w:end="0"/>
        <w:contextualSpacing/>
        <w:rPr>
          <w:sz w:val="22"/>
          <w:szCs w:val="22"/>
        </w:rPr>
      </w:pPr>
      <w:r>
        <w:rPr>
          <w:sz w:val="22"/>
          <w:szCs w:val="22"/>
        </w:rPr>
        <w:t>9.3 Исполнитель вправе в одностороннем порядке отказаться от исполнения настоящего Договора в случае:</w:t>
      </w:r>
    </w:p>
    <w:p>
      <w:pPr>
        <w:pStyle w:val="21"/>
        <w:spacing w:before="0" w:after="0"/>
        <w:ind w:firstLine="567" w:end="0"/>
        <w:contextualSpacing/>
        <w:rPr>
          <w:sz w:val="22"/>
          <w:szCs w:val="22"/>
        </w:rPr>
      </w:pPr>
      <w:r>
        <w:rPr>
          <w:sz w:val="22"/>
          <w:szCs w:val="22"/>
        </w:rPr>
        <w:t>- наличия документально подтвержденных фактов неоднократных нарушений Заказчиком (два и более раз) условий настоящего договора;</w:t>
      </w:r>
    </w:p>
    <w:p>
      <w:pPr>
        <w:pStyle w:val="21"/>
        <w:spacing w:before="0" w:after="0"/>
        <w:ind w:firstLine="567" w:end="0"/>
        <w:contextualSpacing/>
        <w:rPr>
          <w:sz w:val="22"/>
          <w:szCs w:val="22"/>
        </w:rPr>
      </w:pPr>
      <w:r>
        <w:rPr>
          <w:sz w:val="22"/>
          <w:szCs w:val="22"/>
        </w:rPr>
        <w:t>- просрочки оплаты за выполненные работы по настоящему Договору более чем на 30 календарных дней.</w:t>
      </w:r>
    </w:p>
    <w:p>
      <w:pPr>
        <w:pStyle w:val="21"/>
        <w:spacing w:before="0" w:after="0"/>
        <w:ind w:firstLine="567" w:end="0"/>
        <w:contextualSpacing/>
        <w:rPr>
          <w:sz w:val="22"/>
          <w:szCs w:val="22"/>
        </w:rPr>
      </w:pPr>
      <w:r>
        <w:rPr>
          <w:sz w:val="22"/>
          <w:szCs w:val="22"/>
        </w:rPr>
        <w:t>9.4. При отказе от исполнения настоящего Договора Исполнитель направляет Заказчику письменное уведомление об этом. Настоящий Договор прекращается момента получения Исполнителем указанного уведомления, но не позднее 10 дней с даты его отправки по адресу, указанному в настоящем договоре, заказным письмом с уведомлением о вручении.</w:t>
      </w:r>
    </w:p>
    <w:p>
      <w:pPr>
        <w:pStyle w:val="21"/>
        <w:spacing w:before="0" w:after="0"/>
        <w:ind w:firstLine="567" w:end="0"/>
        <w:contextualSpacing/>
        <w:rPr>
          <w:sz w:val="22"/>
          <w:szCs w:val="22"/>
        </w:rPr>
      </w:pPr>
      <w:r>
        <w:rPr>
          <w:sz w:val="22"/>
          <w:szCs w:val="22"/>
        </w:rPr>
        <w:t>9.5. Прекращение или окончание действия настоящего Договора влечет за собой прекращение обязательств сторон по нему, но не освобождает стороны от ответственности за его нарушения, если таковые имели место в период действия Договора.</w:t>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21"/>
        <w:spacing w:before="0" w:after="0"/>
        <w:ind w:firstLine="567" w:end="0"/>
        <w:contextualSpacing/>
        <w:rPr>
          <w:sz w:val="22"/>
          <w:szCs w:val="22"/>
        </w:rPr>
      </w:pPr>
      <w:r>
        <w:rPr>
          <w:sz w:val="22"/>
          <w:szCs w:val="22"/>
        </w:rPr>
      </w:r>
    </w:p>
    <w:p>
      <w:pPr>
        <w:pStyle w:val="Normal"/>
        <w:widowControl w:val="false"/>
        <w:numPr>
          <w:ilvl w:val="0"/>
          <w:numId w:val="5"/>
        </w:numPr>
        <w:autoSpaceDE w:val="false"/>
        <w:spacing w:before="113" w:after="0"/>
        <w:jc w:val="center"/>
        <w:rPr>
          <w:sz w:val="22"/>
          <w:szCs w:val="22"/>
        </w:rPr>
      </w:pPr>
      <w:r>
        <w:rPr>
          <w:b/>
          <w:sz w:val="22"/>
          <w:szCs w:val="22"/>
        </w:rPr>
        <w:t>Дополнительные условия</w:t>
      </w:r>
    </w:p>
    <w:p>
      <w:pPr>
        <w:pStyle w:val="Normal"/>
        <w:widowControl w:val="false"/>
        <w:numPr>
          <w:ilvl w:val="1"/>
          <w:numId w:val="5"/>
        </w:numPr>
        <w:tabs>
          <w:tab w:val="clear" w:pos="708"/>
          <w:tab w:val="left" w:pos="142" w:leader="none"/>
          <w:tab w:val="left" w:pos="1276" w:leader="none"/>
        </w:tabs>
        <w:autoSpaceDE w:val="false"/>
        <w:ind w:firstLine="709" w:start="0" w:end="0"/>
        <w:jc w:val="both"/>
        <w:rPr>
          <w:sz w:val="22"/>
          <w:szCs w:val="22"/>
        </w:rPr>
      </w:pPr>
      <w:r>
        <w:rPr>
          <w:sz w:val="22"/>
          <w:szCs w:val="22"/>
        </w:rPr>
        <w:t>Настоящий Договор составлен на ___ листах, заключен в 2-х экземплярах, по одному для каждой из сторон и имеет 2 Приложения:</w:t>
      </w:r>
    </w:p>
    <w:p>
      <w:pPr>
        <w:pStyle w:val="Normal"/>
        <w:suppressAutoHyphens w:val="false"/>
        <w:autoSpaceDE w:val="false"/>
        <w:jc w:val="both"/>
        <w:rPr>
          <w:rFonts w:eastAsia="Calibri"/>
          <w:sz w:val="22"/>
          <w:szCs w:val="22"/>
          <w:lang w:eastAsia="en-US"/>
        </w:rPr>
      </w:pPr>
      <w:r>
        <w:rPr>
          <w:sz w:val="22"/>
          <w:szCs w:val="22"/>
        </w:rPr>
        <w:t xml:space="preserve"> </w:t>
      </w:r>
      <w:r>
        <w:rPr>
          <w:sz w:val="22"/>
          <w:szCs w:val="22"/>
        </w:rPr>
        <w:t xml:space="preserve">- Приложение №1 – </w:t>
      </w:r>
      <w:r>
        <w:rPr>
          <w:bCs/>
          <w:sz w:val="22"/>
          <w:szCs w:val="22"/>
          <w:lang w:eastAsia="ru-RU"/>
        </w:rPr>
        <w:t xml:space="preserve">Регламент эксплуатационно-технического обслуживания </w:t>
      </w:r>
      <w:r>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системы Стрелец-Мониторинг;</w:t>
      </w:r>
    </w:p>
    <w:p>
      <w:pPr>
        <w:pStyle w:val="Normal"/>
        <w:suppressAutoHyphens w:val="false"/>
        <w:autoSpaceDE w:val="false"/>
        <w:jc w:val="both"/>
        <w:rPr>
          <w:sz w:val="22"/>
          <w:szCs w:val="22"/>
        </w:rPr>
      </w:pPr>
      <w:r>
        <w:rPr>
          <w:rFonts w:eastAsia="Calibri"/>
          <w:sz w:val="22"/>
          <w:szCs w:val="22"/>
          <w:lang w:eastAsia="en-US"/>
        </w:rPr>
        <w:t xml:space="preserve">- Приложение № 2 – </w:t>
      </w:r>
      <w:r>
        <w:rPr>
          <w:kern w:val="2"/>
          <w:sz w:val="22"/>
          <w:szCs w:val="22"/>
          <w:lang w:eastAsia="ru-RU"/>
        </w:rPr>
        <w:t>Калькуляция.</w:t>
      </w:r>
    </w:p>
    <w:p>
      <w:pPr>
        <w:pStyle w:val="Normal"/>
        <w:widowControl w:val="false"/>
        <w:numPr>
          <w:ilvl w:val="1"/>
          <w:numId w:val="5"/>
        </w:numPr>
        <w:tabs>
          <w:tab w:val="clear" w:pos="708"/>
          <w:tab w:val="left" w:pos="720" w:leader="none"/>
          <w:tab w:val="left" w:pos="1276" w:leader="none"/>
        </w:tabs>
        <w:autoSpaceDE w:val="false"/>
        <w:ind w:hanging="11" w:start="720" w:end="0"/>
        <w:jc w:val="both"/>
        <w:rPr>
          <w:sz w:val="22"/>
          <w:szCs w:val="22"/>
        </w:rPr>
      </w:pPr>
      <w:r>
        <w:rPr>
          <w:sz w:val="22"/>
          <w:szCs w:val="22"/>
        </w:rPr>
        <w:t>Все приложения к настоящему договору являются его неотъемлемыми частями.</w:t>
      </w:r>
    </w:p>
    <w:p>
      <w:pPr>
        <w:pStyle w:val="Normal"/>
        <w:widowControl w:val="false"/>
        <w:numPr>
          <w:ilvl w:val="1"/>
          <w:numId w:val="5"/>
        </w:numPr>
        <w:tabs>
          <w:tab w:val="clear" w:pos="708"/>
          <w:tab w:val="left" w:pos="567" w:leader="none"/>
          <w:tab w:val="left" w:pos="1276" w:leader="none"/>
        </w:tabs>
        <w:autoSpaceDE w:val="false"/>
        <w:ind w:firstLine="709" w:start="0" w:end="0"/>
        <w:jc w:val="both"/>
        <w:rPr>
          <w:sz w:val="22"/>
          <w:szCs w:val="22"/>
        </w:rPr>
      </w:pPr>
      <w:r>
        <w:rPr>
          <w:sz w:val="22"/>
          <w:szCs w:val="22"/>
        </w:rPr>
        <w:t>Документы, подписанные сторонами, переданные по факсу, отсканированные документы, переданные по электронным адресам, имеют юридическую (доказательственную) силу.</w:t>
      </w:r>
    </w:p>
    <w:p>
      <w:pPr>
        <w:pStyle w:val="Normal"/>
        <w:widowControl w:val="false"/>
        <w:numPr>
          <w:ilvl w:val="0"/>
          <w:numId w:val="0"/>
        </w:numPr>
        <w:tabs>
          <w:tab w:val="clear" w:pos="708"/>
          <w:tab w:val="left" w:pos="567" w:leader="none"/>
          <w:tab w:val="left" w:pos="1276" w:leader="none"/>
        </w:tabs>
        <w:autoSpaceDE w:val="false"/>
        <w:ind w:hanging="0" w:start="720" w:end="0"/>
        <w:jc w:val="both"/>
        <w:rPr>
          <w:sz w:val="22"/>
          <w:szCs w:val="22"/>
        </w:rPr>
      </w:pPr>
      <w:r>
        <w:rPr>
          <w:sz w:val="22"/>
          <w:szCs w:val="22"/>
        </w:rPr>
      </w:r>
    </w:p>
    <w:p>
      <w:pPr>
        <w:pStyle w:val="Normal"/>
        <w:numPr>
          <w:ilvl w:val="0"/>
          <w:numId w:val="5"/>
        </w:numPr>
        <w:autoSpaceDE w:val="false"/>
        <w:jc w:val="center"/>
        <w:rPr>
          <w:b/>
          <w:sz w:val="22"/>
          <w:szCs w:val="22"/>
        </w:rPr>
      </w:pPr>
      <w:r>
        <w:rPr>
          <w:b/>
          <w:sz w:val="22"/>
          <w:szCs w:val="22"/>
        </w:rPr>
        <w:t>АДРЕСА, РЕКВИЗИТЫ И ПОДПИСИ СТОРОН</w:t>
      </w:r>
    </w:p>
    <w:tbl>
      <w:tblPr>
        <w:tblW w:w="9952" w:type="dxa"/>
        <w:jc w:val="start"/>
        <w:tblInd w:w="221" w:type="dxa"/>
        <w:tblLayout w:type="fixed"/>
        <w:tblCellMar>
          <w:top w:w="0" w:type="dxa"/>
          <w:start w:w="108" w:type="dxa"/>
          <w:bottom w:w="0" w:type="dxa"/>
          <w:end w:w="108" w:type="dxa"/>
        </w:tblCellMar>
      </w:tblPr>
      <w:tblGrid>
        <w:gridCol w:w="4860"/>
        <w:gridCol w:w="5092"/>
      </w:tblGrid>
      <w:tr>
        <w:trPr/>
        <w:tc>
          <w:tcPr>
            <w:tcW w:w="486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autoSpaceDE w:val="false"/>
              <w:jc w:val="center"/>
              <w:rPr>
                <w:b/>
                <w:sz w:val="22"/>
                <w:szCs w:val="22"/>
              </w:rPr>
            </w:pPr>
            <w:r>
              <w:rPr>
                <w:b/>
                <w:sz w:val="22"/>
                <w:szCs w:val="22"/>
              </w:rPr>
              <w:t>Поставщик</w:t>
            </w:r>
          </w:p>
        </w:tc>
        <w:tc>
          <w:tcPr>
            <w:tcW w:w="5092" w:type="dxa"/>
            <w:tcBorders>
              <w:top w:val="single" w:sz="4" w:space="0" w:color="000000"/>
              <w:start w:val="single" w:sz="4" w:space="0" w:color="000000"/>
              <w:bottom w:val="single" w:sz="4" w:space="0" w:color="000000"/>
              <w:end w:val="single" w:sz="4" w:space="0" w:color="000000"/>
            </w:tcBorders>
          </w:tcPr>
          <w:p>
            <w:pPr>
              <w:pStyle w:val="Normal"/>
              <w:jc w:val="center"/>
              <w:rPr>
                <w:b/>
                <w:sz w:val="22"/>
                <w:szCs w:val="22"/>
              </w:rPr>
            </w:pPr>
            <w:r>
              <w:rPr>
                <w:b/>
                <w:sz w:val="22"/>
                <w:szCs w:val="22"/>
              </w:rPr>
              <w:t>Заказчик</w:t>
            </w:r>
          </w:p>
        </w:tc>
      </w:tr>
      <w:tr>
        <w:trPr/>
        <w:tc>
          <w:tcPr>
            <w:tcW w:w="486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b/>
                <w:sz w:val="22"/>
                <w:szCs w:val="22"/>
              </w:rPr>
            </w:pPr>
            <w:r>
              <w:rPr>
                <w:b/>
                <w:sz w:val="22"/>
                <w:szCs w:val="22"/>
              </w:rPr>
            </w:r>
          </w:p>
        </w:tc>
        <w:tc>
          <w:tcPr>
            <w:tcW w:w="509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tLeast" w:line="240"/>
              <w:rPr>
                <w:sz w:val="22"/>
                <w:szCs w:val="22"/>
              </w:rPr>
            </w:pPr>
            <w:r>
              <w:rPr>
                <w:sz w:val="22"/>
                <w:szCs w:val="22"/>
              </w:rPr>
              <w:t>МБДОУ «Детский сад с. Высокое</w:t>
            </w:r>
          </w:p>
          <w:p>
            <w:pPr>
              <w:pStyle w:val="Normal"/>
              <w:snapToGrid w:val="false"/>
              <w:spacing w:lineRule="auto" w:line="276"/>
              <w:rPr/>
            </w:pPr>
            <w:r>
              <w:rPr>
                <w:sz w:val="22"/>
                <w:szCs w:val="22"/>
              </w:rPr>
              <w:t>Саратовской области Красноармейского района»</w:t>
            </w:r>
            <w:r>
              <w:rPr>
                <w:b/>
                <w:sz w:val="22"/>
                <w:szCs w:val="22"/>
              </w:rPr>
              <w:t xml:space="preserve"> </w:t>
            </w:r>
          </w:p>
        </w:tc>
      </w:tr>
      <w:tr>
        <w:trPr>
          <w:trHeight w:val="270" w:hRule="atLeast"/>
        </w:trPr>
        <w:tc>
          <w:tcPr>
            <w:tcW w:w="486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rFonts w:eastAsia="Arial Unicode MS"/>
                <w:b/>
                <w:sz w:val="22"/>
                <w:szCs w:val="22"/>
              </w:rPr>
            </w:pPr>
            <w:r>
              <w:rPr>
                <w:rFonts w:eastAsia="Arial Unicode MS"/>
                <w:b/>
                <w:sz w:val="22"/>
                <w:szCs w:val="22"/>
              </w:rPr>
            </w:r>
          </w:p>
        </w:tc>
        <w:tc>
          <w:tcPr>
            <w:tcW w:w="5092" w:type="dxa"/>
            <w:tcBorders>
              <w:top w:val="single" w:sz="4" w:space="0" w:color="000000"/>
              <w:start w:val="single" w:sz="4" w:space="0" w:color="000000"/>
              <w:bottom w:val="single" w:sz="4" w:space="0" w:color="000000"/>
              <w:end w:val="single" w:sz="4" w:space="0" w:color="000000"/>
            </w:tcBorders>
          </w:tcPr>
          <w:p>
            <w:pPr>
              <w:pStyle w:val="Normal"/>
              <w:rPr>
                <w:sz w:val="22"/>
                <w:szCs w:val="22"/>
                <w:u w:val="single"/>
                <w:lang w:val="ru-RU" w:eastAsia="ru-RU"/>
              </w:rPr>
            </w:pPr>
            <w:r>
              <w:rPr>
                <w:sz w:val="22"/>
                <w:szCs w:val="22"/>
              </w:rPr>
              <w:t>Почтовый адрес:412816 Саратовская обл. Красноармейский район с. Высокое, ул. Кооперативная, д.1</w:t>
            </w:r>
          </w:p>
          <w:p>
            <w:pPr>
              <w:pStyle w:val="Normal"/>
              <w:jc w:val="both"/>
              <w:rPr>
                <w:bCs/>
                <w:sz w:val="22"/>
                <w:szCs w:val="22"/>
              </w:rPr>
            </w:pPr>
            <w:r>
              <w:rPr>
                <w:sz w:val="22"/>
                <w:szCs w:val="22"/>
                <w:u w:val="single"/>
                <w:lang w:val="ru-RU" w:eastAsia="ru-RU"/>
              </w:rPr>
              <w:t xml:space="preserve">Тел/факс 89873656220 </w:t>
            </w:r>
          </w:p>
          <w:p>
            <w:pPr>
              <w:pStyle w:val="Normal"/>
              <w:rPr>
                <w:color w:val="000000"/>
                <w:sz w:val="22"/>
                <w:szCs w:val="22"/>
              </w:rPr>
            </w:pPr>
            <w:r>
              <w:rPr>
                <w:bCs/>
                <w:sz w:val="22"/>
                <w:szCs w:val="22"/>
              </w:rPr>
              <w:t xml:space="preserve">ИНН   </w:t>
            </w:r>
            <w:r>
              <w:rPr>
                <w:sz w:val="22"/>
                <w:szCs w:val="22"/>
              </w:rPr>
              <w:t>6442008744</w:t>
            </w:r>
          </w:p>
          <w:p>
            <w:pPr>
              <w:pStyle w:val="Normal"/>
              <w:rPr>
                <w:bCs/>
                <w:sz w:val="22"/>
                <w:szCs w:val="22"/>
              </w:rPr>
            </w:pPr>
            <w:r>
              <w:rPr>
                <w:color w:val="000000"/>
                <w:sz w:val="22"/>
                <w:szCs w:val="22"/>
              </w:rPr>
              <w:t>Банк: Отделение Саратов Банка России//УФК по Саратовской области, г. Саратов</w:t>
            </w:r>
            <w:r>
              <w:rPr>
                <w:bCs/>
                <w:sz w:val="22"/>
                <w:szCs w:val="22"/>
              </w:rPr>
              <w:br/>
            </w:r>
            <w:r>
              <w:rPr>
                <w:sz w:val="22"/>
                <w:szCs w:val="22"/>
                <w:u w:val="single"/>
                <w:lang w:val="ru-RU" w:eastAsia="ru-RU"/>
              </w:rPr>
              <w:t xml:space="preserve">Банковские </w:t>
            </w:r>
            <w:r>
              <w:rPr>
                <w:sz w:val="22"/>
                <w:szCs w:val="22"/>
                <w:u w:val="single"/>
              </w:rPr>
              <w:t xml:space="preserve">реквизиты: </w:t>
              <w:br/>
            </w:r>
            <w:r>
              <w:rPr>
                <w:bCs/>
                <w:sz w:val="22"/>
                <w:szCs w:val="22"/>
                <w:lang w:val="ru-RU" w:eastAsia="ru-RU"/>
              </w:rPr>
              <w:t xml:space="preserve">Р/счет </w:t>
            </w:r>
            <w:r>
              <w:rPr>
                <w:color w:val="000000"/>
                <w:sz w:val="22"/>
                <w:szCs w:val="22"/>
              </w:rPr>
              <w:t>03234643636220006000</w:t>
            </w:r>
          </w:p>
          <w:p>
            <w:pPr>
              <w:pStyle w:val="Normal"/>
              <w:jc w:val="both"/>
              <w:rPr>
                <w:bCs/>
                <w:sz w:val="22"/>
                <w:szCs w:val="22"/>
              </w:rPr>
            </w:pPr>
            <w:r>
              <w:rPr>
                <w:bCs/>
                <w:sz w:val="22"/>
                <w:szCs w:val="22"/>
              </w:rPr>
              <w:t xml:space="preserve">К/счет </w:t>
            </w:r>
            <w:r>
              <w:rPr>
                <w:color w:val="000000"/>
                <w:sz w:val="22"/>
                <w:szCs w:val="22"/>
              </w:rPr>
              <w:t>40102810845370000052</w:t>
            </w:r>
          </w:p>
          <w:p>
            <w:pPr>
              <w:pStyle w:val="Normal"/>
              <w:jc w:val="both"/>
              <w:rPr>
                <w:color w:val="000000"/>
                <w:sz w:val="22"/>
                <w:szCs w:val="22"/>
              </w:rPr>
            </w:pPr>
            <w:r>
              <w:rPr>
                <w:bCs/>
                <w:sz w:val="22"/>
                <w:szCs w:val="22"/>
              </w:rPr>
              <w:t xml:space="preserve">БИК </w:t>
            </w:r>
            <w:r>
              <w:rPr>
                <w:color w:val="000000"/>
                <w:sz w:val="22"/>
                <w:szCs w:val="22"/>
              </w:rPr>
              <w:t>016311121</w:t>
            </w:r>
          </w:p>
          <w:p>
            <w:pPr>
              <w:pStyle w:val="Normal"/>
              <w:jc w:val="both"/>
              <w:rPr>
                <w:color w:val="000000"/>
                <w:sz w:val="22"/>
                <w:szCs w:val="22"/>
              </w:rPr>
            </w:pPr>
            <w:r>
              <w:rPr>
                <w:color w:val="000000"/>
                <w:sz w:val="22"/>
                <w:szCs w:val="22"/>
              </w:rPr>
              <w:t>КПП 644201001</w:t>
            </w:r>
          </w:p>
          <w:p>
            <w:pPr>
              <w:pStyle w:val="Normal"/>
              <w:ind w:firstLine="72" w:end="0"/>
              <w:jc w:val="both"/>
              <w:rPr>
                <w:color w:val="000000"/>
                <w:sz w:val="22"/>
                <w:szCs w:val="22"/>
              </w:rPr>
            </w:pPr>
            <w:r>
              <w:rPr>
                <w:color w:val="000000"/>
                <w:sz w:val="22"/>
                <w:szCs w:val="22"/>
              </w:rPr>
            </w:r>
          </w:p>
          <w:p>
            <w:pPr>
              <w:pStyle w:val="Normal"/>
              <w:ind w:firstLine="72" w:end="0"/>
              <w:jc w:val="both"/>
              <w:rPr>
                <w:sz w:val="22"/>
                <w:szCs w:val="22"/>
                <w:u w:val="single"/>
              </w:rPr>
            </w:pPr>
            <w:r>
              <w:rPr>
                <w:b/>
                <w:sz w:val="22"/>
                <w:szCs w:val="22"/>
              </w:rPr>
              <w:t>Руководитель</w:t>
            </w:r>
          </w:p>
          <w:p>
            <w:pPr>
              <w:pStyle w:val="Normal"/>
              <w:jc w:val="both"/>
              <w:rPr>
                <w:rFonts w:eastAsia="Arial Unicode MS"/>
                <w:b/>
                <w:sz w:val="22"/>
                <w:szCs w:val="22"/>
              </w:rPr>
            </w:pPr>
            <w:r>
              <w:rPr>
                <w:sz w:val="22"/>
                <w:szCs w:val="22"/>
                <w:u w:val="single"/>
              </w:rPr>
              <w:t>Калиева Р.И.</w:t>
            </w:r>
            <w:r>
              <w:rPr>
                <w:sz w:val="22"/>
                <w:szCs w:val="22"/>
              </w:rPr>
              <w:t xml:space="preserve">    /______________/</w:t>
            </w:r>
          </w:p>
          <w:p>
            <w:pPr>
              <w:pStyle w:val="Normal"/>
              <w:autoSpaceDE w:val="false"/>
              <w:rPr>
                <w:rFonts w:eastAsia="Arial Unicode MS"/>
                <w:b/>
                <w:sz w:val="22"/>
                <w:szCs w:val="22"/>
              </w:rPr>
            </w:pPr>
            <w:r>
              <w:rPr>
                <w:rFonts w:eastAsia="Arial Unicode MS"/>
                <w:b/>
                <w:sz w:val="22"/>
                <w:szCs w:val="22"/>
              </w:rPr>
              <w:t>М.п.</w:t>
            </w:r>
          </w:p>
        </w:tc>
      </w:tr>
    </w:tbl>
    <w:p>
      <w:pPr>
        <w:pStyle w:val="Normal"/>
        <w:numPr>
          <w:ilvl w:val="0"/>
          <w:numId w:val="0"/>
        </w:numPr>
        <w:autoSpaceDE w:val="false"/>
        <w:ind w:hanging="0" w:start="390" w:end="0"/>
        <w:jc w:val="center"/>
        <w:rPr>
          <w:b/>
          <w:sz w:val="22"/>
          <w:szCs w:val="22"/>
        </w:rPr>
      </w:pPr>
      <w:r>
        <w:rPr>
          <w:b/>
          <w:sz w:val="22"/>
          <w:szCs w:val="22"/>
        </w:rPr>
      </w:r>
    </w:p>
    <w:p>
      <w:pPr>
        <w:pStyle w:val="Normal"/>
        <w:autoSpaceDE w:val="false"/>
        <w:ind w:start="390" w:end="0"/>
        <w:rPr>
          <w:b/>
          <w:sz w:val="22"/>
          <w:szCs w:val="22"/>
        </w:rPr>
      </w:pPr>
      <w:r>
        <w:rPr>
          <w:b/>
          <w:sz w:val="22"/>
          <w:szCs w:val="22"/>
        </w:rPr>
      </w:r>
    </w:p>
    <w:p>
      <w:pPr>
        <w:pStyle w:val="Normal"/>
        <w:rPr>
          <w:rFonts w:eastAsia="Calibri"/>
          <w:sz w:val="22"/>
          <w:szCs w:val="22"/>
          <w:lang w:eastAsia="en-US"/>
        </w:rPr>
      </w:pPr>
      <w:r>
        <w:rPr>
          <w:rFonts w:eastAsia="Times New Roman"/>
          <w:sz w:val="22"/>
          <w:szCs w:val="22"/>
          <w:lang w:eastAsia="en-US"/>
        </w:rPr>
        <w:t xml:space="preserve"> </w:t>
      </w:r>
    </w:p>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rPr>
          <w:rFonts w:eastAsia="Calibri"/>
          <w:sz w:val="22"/>
          <w:szCs w:val="22"/>
          <w:lang w:eastAsia="en-US"/>
        </w:rPr>
      </w:pPr>
      <w:r>
        <w:rPr>
          <w:rFonts w:eastAsia="Calibri"/>
          <w:sz w:val="22"/>
          <w:szCs w:val="22"/>
          <w:lang w:eastAsia="en-US"/>
        </w:rPr>
      </w:r>
    </w:p>
    <w:p>
      <w:pPr>
        <w:pStyle w:val="Normal"/>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rFonts w:eastAsia="Calibri"/>
          <w:b/>
          <w:sz w:val="22"/>
          <w:szCs w:val="22"/>
          <w:lang w:eastAsia="en-US"/>
        </w:rPr>
      </w:pPr>
      <w:r>
        <w:rPr>
          <w:rFonts w:eastAsia="Calibri"/>
          <w:b/>
          <w:sz w:val="22"/>
          <w:szCs w:val="22"/>
          <w:lang w:eastAsia="en-US"/>
        </w:rPr>
      </w:r>
    </w:p>
    <w:p>
      <w:pPr>
        <w:pStyle w:val="Normal"/>
        <w:autoSpaceDE w:val="false"/>
        <w:ind w:start="390" w:end="0"/>
        <w:rPr>
          <w:b/>
          <w:sz w:val="22"/>
          <w:szCs w:val="22"/>
        </w:rPr>
      </w:pPr>
      <w:r>
        <w:rPr>
          <w:b/>
          <w:sz w:val="22"/>
          <w:szCs w:val="22"/>
        </w:rPr>
      </w:r>
    </w:p>
    <w:p>
      <w:pPr>
        <w:pStyle w:val="Normal"/>
        <w:autoSpaceDE w:val="false"/>
        <w:ind w:start="390" w:end="0"/>
        <w:rPr>
          <w:b/>
          <w:sz w:val="22"/>
          <w:szCs w:val="22"/>
        </w:rPr>
      </w:pPr>
      <w:r>
        <w:rPr>
          <w:b/>
          <w:sz w:val="22"/>
          <w:szCs w:val="22"/>
        </w:rPr>
      </w:r>
    </w:p>
    <w:p>
      <w:pPr>
        <w:pStyle w:val="Normal"/>
        <w:autoSpaceDE w:val="false"/>
        <w:ind w:start="390" w:end="0"/>
        <w:rPr>
          <w:b/>
          <w:sz w:val="22"/>
          <w:szCs w:val="22"/>
        </w:rPr>
      </w:pPr>
      <w:r>
        <w:rPr>
          <w:b/>
          <w:sz w:val="22"/>
          <w:szCs w:val="22"/>
        </w:rPr>
      </w:r>
    </w:p>
    <w:p>
      <w:pPr>
        <w:pStyle w:val="Normal"/>
        <w:suppressAutoHyphens w:val="false"/>
        <w:autoSpaceDE w:val="false"/>
        <w:spacing w:lineRule="exact" w:line="240"/>
        <w:rPr>
          <w:b/>
          <w:sz w:val="22"/>
          <w:szCs w:val="22"/>
        </w:rPr>
      </w:pPr>
      <w:r>
        <w:rPr>
          <w:b/>
          <w:sz w:val="22"/>
          <w:szCs w:val="22"/>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t xml:space="preserve">  </w:t>
      </w:r>
      <w:r>
        <w:rPr>
          <w:b/>
          <w:sz w:val="22"/>
          <w:szCs w:val="22"/>
          <w:lang w:eastAsia="ru-RU"/>
        </w:rPr>
        <w:t>Приложение № 1</w:t>
        <w:br/>
      </w:r>
    </w:p>
    <w:p>
      <w:pPr>
        <w:pStyle w:val="Normal"/>
        <w:suppressAutoHyphens w:val="false"/>
        <w:autoSpaceDE w:val="false"/>
        <w:spacing w:lineRule="exact" w:line="240"/>
        <w:jc w:val="end"/>
        <w:rPr>
          <w:b/>
        </w:rPr>
      </w:pPr>
      <w:r>
        <w:rPr>
          <w:b/>
          <w:sz w:val="22"/>
          <w:szCs w:val="22"/>
          <w:lang w:eastAsia="ru-RU"/>
        </w:rPr>
        <w:t>к Договору №_______ от «    »   августа  2026 г.</w:t>
      </w:r>
    </w:p>
    <w:p>
      <w:pPr>
        <w:pStyle w:val="Normal"/>
        <w:widowControl w:val="false"/>
        <w:suppressAutoHyphens w:val="true"/>
        <w:autoSpaceDE w:val="false"/>
        <w:jc w:val="end"/>
        <w:rPr>
          <w:b/>
        </w:rPr>
      </w:pPr>
      <w:r>
        <w:rPr>
          <w:b/>
        </w:rPr>
      </w:r>
    </w:p>
    <w:p>
      <w:pPr>
        <w:pStyle w:val="Normal"/>
        <w:widowControl w:val="false"/>
        <w:suppressAutoHyphens w:val="true"/>
        <w:autoSpaceDE w:val="false"/>
        <w:jc w:val="center"/>
        <w:rPr>
          <w:b/>
          <w:sz w:val="24"/>
          <w:szCs w:val="24"/>
        </w:rPr>
      </w:pPr>
      <w:bookmarkStart w:id="0" w:name="P326"/>
      <w:bookmarkEnd w:id="0"/>
      <w:r>
        <w:rPr>
          <w:b/>
          <w:sz w:val="24"/>
          <w:szCs w:val="24"/>
        </w:rPr>
        <w:t>СПЕЦИФИКАЦИЯ</w:t>
      </w:r>
    </w:p>
    <w:p>
      <w:pPr>
        <w:pStyle w:val="Normal"/>
        <w:widowControl w:val="false"/>
        <w:suppressAutoHyphens w:val="true"/>
        <w:autoSpaceDE w:val="false"/>
        <w:jc w:val="center"/>
        <w:rPr>
          <w:b/>
          <w:sz w:val="24"/>
          <w:szCs w:val="24"/>
        </w:rPr>
      </w:pPr>
      <w:r>
        <w:rPr>
          <w:b/>
          <w:sz w:val="24"/>
          <w:szCs w:val="24"/>
        </w:rPr>
      </w:r>
    </w:p>
    <w:tbl>
      <w:tblPr>
        <w:tblW w:w="10349" w:type="dxa"/>
        <w:jc w:val="start"/>
        <w:tblInd w:w="-222" w:type="dxa"/>
        <w:tblLayout w:type="fixed"/>
        <w:tblCellMar>
          <w:top w:w="102" w:type="dxa"/>
          <w:start w:w="62" w:type="dxa"/>
          <w:bottom w:w="102" w:type="dxa"/>
          <w:end w:w="62" w:type="dxa"/>
        </w:tblCellMar>
      </w:tblPr>
      <w:tblGrid>
        <w:gridCol w:w="426"/>
        <w:gridCol w:w="3874"/>
        <w:gridCol w:w="2795"/>
        <w:gridCol w:w="3254"/>
      </w:tblGrid>
      <w:tr>
        <w:trPr/>
        <w:tc>
          <w:tcPr>
            <w:tcW w:w="426"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autoSpaceDE w:val="false"/>
              <w:jc w:val="center"/>
              <w:rPr>
                <w:rFonts w:ascii="Times New Roman" w:hAnsi="Times New Roman" w:cs="Times New Roman"/>
                <w:b/>
                <w:sz w:val="22"/>
                <w:szCs w:val="22"/>
              </w:rPr>
            </w:pPr>
            <w:r>
              <w:rPr>
                <w:rFonts w:cs="Times New Roman" w:ascii="Times New Roman" w:hAnsi="Times New Roman"/>
                <w:b/>
                <w:sz w:val="22"/>
                <w:szCs w:val="22"/>
              </w:rPr>
              <w:t>N п/п</w:t>
            </w:r>
          </w:p>
        </w:tc>
        <w:tc>
          <w:tcPr>
            <w:tcW w:w="3874"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autoSpaceDE w:val="false"/>
              <w:jc w:val="center"/>
              <w:rPr>
                <w:rFonts w:ascii="Times New Roman" w:hAnsi="Times New Roman" w:cs="Times New Roman"/>
                <w:b/>
                <w:sz w:val="22"/>
                <w:szCs w:val="22"/>
              </w:rPr>
            </w:pPr>
            <w:r>
              <w:rPr>
                <w:rFonts w:cs="Times New Roman" w:ascii="Times New Roman" w:hAnsi="Times New Roman"/>
                <w:b/>
                <w:sz w:val="22"/>
                <w:szCs w:val="22"/>
              </w:rPr>
              <w:t>Наименование Товара</w:t>
            </w:r>
          </w:p>
        </w:tc>
        <w:tc>
          <w:tcPr>
            <w:tcW w:w="2795"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autoSpaceDE w:val="false"/>
              <w:jc w:val="center"/>
              <w:rPr>
                <w:rFonts w:ascii="Times New Roman" w:hAnsi="Times New Roman" w:cs="Times New Roman"/>
                <w:b/>
                <w:sz w:val="22"/>
                <w:szCs w:val="22"/>
              </w:rPr>
            </w:pPr>
            <w:r>
              <w:rPr>
                <w:rFonts w:cs="Times New Roman" w:ascii="Times New Roman" w:hAnsi="Times New Roman"/>
                <w:b/>
                <w:sz w:val="22"/>
                <w:szCs w:val="22"/>
              </w:rPr>
              <w:t>Единицы измерения</w:t>
            </w:r>
          </w:p>
        </w:tc>
        <w:tc>
          <w:tcPr>
            <w:tcW w:w="3254"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autoSpaceDE w:val="false"/>
              <w:jc w:val="center"/>
              <w:rPr>
                <w:rFonts w:ascii="Times New Roman" w:hAnsi="Times New Roman" w:cs="Times New Roman"/>
                <w:b/>
                <w:sz w:val="22"/>
                <w:szCs w:val="22"/>
              </w:rPr>
            </w:pPr>
            <w:r>
              <w:rPr>
                <w:rFonts w:cs="Times New Roman" w:ascii="Times New Roman" w:hAnsi="Times New Roman"/>
                <w:b/>
                <w:sz w:val="22"/>
                <w:szCs w:val="22"/>
              </w:rPr>
              <w:t xml:space="preserve">Количество в единицах измерения </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rFonts w:ascii="Times New Roman" w:hAnsi="Times New Roman" w:cs="Times New Roman"/>
                <w:sz w:val="22"/>
                <w:szCs w:val="22"/>
              </w:rPr>
            </w:pPr>
            <w:r>
              <w:rPr>
                <w:rFonts w:cs="Times New Roman" w:ascii="Times New Roman" w:hAnsi="Times New Roman"/>
                <w:sz w:val="22"/>
                <w:szCs w:val="22"/>
              </w:rPr>
              <w:t>1</w:t>
            </w:r>
          </w:p>
        </w:tc>
        <w:tc>
          <w:tcPr>
            <w:tcW w:w="387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0" w:after="120"/>
              <w:ind w:end="0"/>
              <w:rPr>
                <w:rFonts w:ascii="Times New Roman" w:hAnsi="Times New Roman" w:cs="Times New Roman"/>
                <w:i w:val="false"/>
                <w:i w:val="false"/>
                <w:caps w:val="false"/>
                <w:smallCaps w:val="false"/>
                <w:spacing w:val="0"/>
                <w:sz w:val="22"/>
                <w:szCs w:val="22"/>
              </w:rPr>
            </w:pPr>
            <w:r>
              <w:rPr>
                <w:rFonts w:cs="Times New Roman" w:ascii="Times New Roman" w:hAnsi="Times New Roman"/>
                <w:i w:val="false"/>
                <w:caps w:val="false"/>
                <w:smallCaps w:val="false"/>
                <w:spacing w:val="0"/>
                <w:sz w:val="22"/>
                <w:szCs w:val="22"/>
              </w:rPr>
              <w:t>Мониторинг и  техническое обслуживание объектных станций «Стрелец Мониторинг»</w:t>
            </w:r>
          </w:p>
        </w:tc>
        <w:tc>
          <w:tcPr>
            <w:tcW w:w="2795" w:type="dxa"/>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rFonts w:ascii="Times New Roman" w:hAnsi="Times New Roman" w:cs="Times New Roman"/>
                <w:color w:val="000000"/>
                <w:sz w:val="22"/>
                <w:szCs w:val="22"/>
              </w:rPr>
            </w:pPr>
            <w:r>
              <w:rPr>
                <w:rFonts w:cs="Times New Roman" w:ascii="Times New Roman" w:hAnsi="Times New Roman"/>
                <w:color w:val="000000"/>
                <w:sz w:val="22"/>
                <w:szCs w:val="22"/>
              </w:rPr>
              <w:t>мес</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b w:val="false"/>
                <w:bCs w:val="false"/>
                <w:color w:val="000000"/>
                <w:sz w:val="22"/>
                <w:szCs w:val="22"/>
              </w:rPr>
            </w:pPr>
            <w:r>
              <w:rPr>
                <w:rFonts w:cs="Times New Roman" w:ascii="Times New Roman" w:hAnsi="Times New Roman"/>
                <w:b w:val="false"/>
                <w:bCs w:val="false"/>
                <w:color w:val="000000"/>
                <w:sz w:val="22"/>
                <w:szCs w:val="22"/>
              </w:rPr>
              <w:t>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rFonts w:ascii="Times New Roman" w:hAnsi="Times New Roman" w:cs="Times New Roman"/>
                <w:sz w:val="22"/>
                <w:szCs w:val="22"/>
              </w:rPr>
            </w:pPr>
            <w:r>
              <w:rPr>
                <w:rFonts w:cs="Times New Roman" w:ascii="Times New Roman" w:hAnsi="Times New Roman"/>
                <w:sz w:val="22"/>
                <w:szCs w:val="22"/>
              </w:rPr>
              <w:t>2</w:t>
            </w:r>
          </w:p>
        </w:tc>
        <w:tc>
          <w:tcPr>
            <w:tcW w:w="38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b w:val="false"/>
                <w:bCs w:val="false"/>
                <w:color w:val="000000"/>
                <w:sz w:val="22"/>
                <w:szCs w:val="22"/>
                <w:shd w:fill="FFFFFF" w:val="clear"/>
              </w:rPr>
            </w:pPr>
            <w:r>
              <w:rPr>
                <w:rFonts w:cs="Times New Roman" w:ascii="Times New Roman" w:hAnsi="Times New Roman"/>
                <w:b w:val="false"/>
                <w:bCs w:val="false"/>
                <w:color w:val="000000"/>
                <w:sz w:val="22"/>
                <w:szCs w:val="22"/>
                <w:shd w:fill="FFFFFF" w:val="clear"/>
              </w:rPr>
              <w:t xml:space="preserve">Техническое обслуживание АПС (автоматической пожарной сигнализации) </w:t>
            </w:r>
          </w:p>
        </w:tc>
        <w:tc>
          <w:tcPr>
            <w:tcW w:w="27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pacing w:lineRule="auto" w:line="240"/>
              <w:jc w:val="center"/>
              <w:rPr>
                <w:rFonts w:ascii="Times New Roman" w:hAnsi="Times New Roman" w:cs="Times New Roman"/>
                <w:color w:val="000000"/>
                <w:sz w:val="22"/>
                <w:szCs w:val="22"/>
              </w:rPr>
            </w:pPr>
            <w:r>
              <w:rPr>
                <w:rFonts w:cs="Times New Roman" w:ascii="Times New Roman" w:hAnsi="Times New Roman"/>
                <w:color w:val="000000"/>
                <w:sz w:val="22"/>
                <w:szCs w:val="22"/>
              </w:rPr>
              <w:t>мес</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b w:val="false"/>
                <w:bCs w:val="false"/>
                <w:color w:val="000000"/>
                <w:sz w:val="22"/>
                <w:szCs w:val="22"/>
              </w:rPr>
            </w:pPr>
            <w:r>
              <w:rPr>
                <w:rFonts w:cs="Times New Roman" w:ascii="Times New Roman" w:hAnsi="Times New Roman"/>
                <w:b w:val="false"/>
                <w:bCs w:val="false"/>
                <w:color w:val="000000"/>
                <w:sz w:val="22"/>
                <w:szCs w:val="22"/>
              </w:rPr>
              <w:t>4</w:t>
            </w:r>
          </w:p>
        </w:tc>
      </w:tr>
    </w:tbl>
    <w:p>
      <w:pPr>
        <w:pStyle w:val="Normal"/>
        <w:widowControl w:val="false"/>
        <w:suppressAutoHyphens w:val="true"/>
        <w:autoSpaceDE w:val="false"/>
        <w:jc w:val="center"/>
        <w:rPr>
          <w:b/>
        </w:rPr>
      </w:pPr>
      <w:r>
        <w:rPr>
          <w:b/>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jc w:val="end"/>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r>
    </w:p>
    <w:p>
      <w:pPr>
        <w:pStyle w:val="Normal"/>
        <w:suppressAutoHyphens w:val="false"/>
        <w:autoSpaceDE w:val="false"/>
        <w:spacing w:lineRule="exact" w:line="240"/>
        <w:rPr>
          <w:b/>
          <w:sz w:val="22"/>
          <w:szCs w:val="22"/>
          <w:lang w:eastAsia="ru-RU"/>
        </w:rPr>
      </w:pPr>
      <w:r>
        <w:rPr>
          <w:b/>
          <w:sz w:val="22"/>
          <w:szCs w:val="22"/>
          <w:lang w:eastAsia="ru-RU"/>
        </w:rPr>
        <w:t xml:space="preserve">                                                                                                                                      </w:t>
      </w:r>
      <w:r>
        <w:rPr>
          <w:b/>
          <w:sz w:val="22"/>
          <w:szCs w:val="22"/>
          <w:lang w:eastAsia="ru-RU"/>
        </w:rPr>
        <w:t xml:space="preserve">Приложение №2 </w:t>
        <w:br/>
      </w:r>
    </w:p>
    <w:p>
      <w:pPr>
        <w:pStyle w:val="Normal"/>
        <w:suppressAutoHyphens w:val="false"/>
        <w:autoSpaceDE w:val="false"/>
        <w:spacing w:lineRule="exact" w:line="240"/>
        <w:jc w:val="end"/>
        <w:rPr>
          <w:b/>
          <w:sz w:val="22"/>
          <w:szCs w:val="22"/>
          <w:lang w:eastAsia="ru-RU"/>
        </w:rPr>
      </w:pPr>
      <w:r>
        <w:rPr>
          <w:b/>
          <w:sz w:val="22"/>
          <w:szCs w:val="22"/>
          <w:lang w:eastAsia="ru-RU"/>
        </w:rPr>
        <w:t>к Договору №_______ от «    »   августа  2026 г.</w:t>
      </w:r>
    </w:p>
    <w:p>
      <w:pPr>
        <w:pStyle w:val="Normal"/>
        <w:suppressAutoHyphens w:val="false"/>
        <w:autoSpaceDE w:val="false"/>
        <w:spacing w:lineRule="exact" w:line="240"/>
        <w:jc w:val="both"/>
        <w:rPr>
          <w:b/>
          <w:sz w:val="22"/>
          <w:szCs w:val="22"/>
          <w:lang w:eastAsia="ru-RU"/>
        </w:rPr>
      </w:pPr>
      <w:r>
        <w:rPr>
          <w:b/>
          <w:sz w:val="22"/>
          <w:szCs w:val="22"/>
          <w:lang w:eastAsia="ru-RU"/>
        </w:rPr>
      </w:r>
    </w:p>
    <w:p>
      <w:pPr>
        <w:pStyle w:val="Normal"/>
        <w:suppressAutoHyphens w:val="false"/>
        <w:autoSpaceDE w:val="false"/>
        <w:spacing w:lineRule="exact" w:line="240"/>
        <w:ind w:end="4037"/>
        <w:jc w:val="both"/>
        <w:rPr>
          <w:b/>
          <w:sz w:val="22"/>
          <w:szCs w:val="22"/>
          <w:lang w:eastAsia="ru-RU"/>
        </w:rPr>
      </w:pPr>
      <w:r>
        <w:rPr>
          <w:b/>
          <w:sz w:val="22"/>
          <w:szCs w:val="22"/>
          <w:lang w:eastAsia="ru-RU"/>
        </w:rPr>
      </w:r>
    </w:p>
    <w:p>
      <w:pPr>
        <w:pStyle w:val="Normal"/>
        <w:suppressAutoHyphens w:val="false"/>
        <w:autoSpaceDE w:val="false"/>
        <w:jc w:val="center"/>
        <w:rPr>
          <w:b/>
          <w:bCs/>
          <w:sz w:val="22"/>
          <w:szCs w:val="22"/>
          <w:lang w:eastAsia="ru-RU"/>
        </w:rPr>
      </w:pPr>
      <w:r>
        <w:rPr>
          <w:b/>
          <w:bCs/>
          <w:sz w:val="22"/>
          <w:szCs w:val="22"/>
          <w:lang w:eastAsia="ru-RU"/>
        </w:rPr>
        <w:t>Регламент</w:t>
      </w:r>
    </w:p>
    <w:p>
      <w:pPr>
        <w:pStyle w:val="Normal"/>
        <w:suppressAutoHyphens w:val="false"/>
        <w:autoSpaceDE w:val="false"/>
        <w:jc w:val="center"/>
        <w:rPr>
          <w:b/>
          <w:bCs/>
          <w:sz w:val="22"/>
          <w:szCs w:val="22"/>
          <w:lang w:eastAsia="ru-RU"/>
        </w:rPr>
      </w:pPr>
      <w:r>
        <w:rPr>
          <w:b/>
          <w:bCs/>
          <w:sz w:val="22"/>
          <w:szCs w:val="22"/>
          <w:lang w:eastAsia="ru-RU"/>
        </w:rPr>
        <w:t>эксплуатационно-технического обслуживания систем пожарной автоматики</w:t>
      </w:r>
    </w:p>
    <w:p>
      <w:pPr>
        <w:pStyle w:val="Normal"/>
        <w:suppressAutoHyphens w:val="false"/>
        <w:autoSpaceDE w:val="false"/>
        <w:jc w:val="center"/>
        <w:rPr>
          <w:b/>
          <w:bCs/>
          <w:sz w:val="22"/>
          <w:szCs w:val="22"/>
          <w:lang w:eastAsia="ru-RU"/>
        </w:rPr>
      </w:pPr>
      <w:r>
        <w:rPr>
          <w:b/>
          <w:bCs/>
          <w:sz w:val="22"/>
          <w:szCs w:val="22"/>
          <w:lang w:eastAsia="ru-RU"/>
        </w:rPr>
        <w:t>(АПС и СОУЭ, объектовая станция Стрелец-Мониторинг)</w:t>
      </w:r>
    </w:p>
    <w:p>
      <w:pPr>
        <w:pStyle w:val="Normal"/>
        <w:suppressAutoHyphens w:val="false"/>
        <w:autoSpaceDE w:val="false"/>
        <w:jc w:val="both"/>
        <w:rPr>
          <w:b/>
          <w:bCs/>
          <w:sz w:val="22"/>
          <w:szCs w:val="22"/>
          <w:lang w:eastAsia="ru-RU"/>
        </w:rPr>
      </w:pPr>
      <w:r>
        <w:rPr>
          <w:b/>
          <w:bCs/>
          <w:sz w:val="22"/>
          <w:szCs w:val="22"/>
          <w:lang w:eastAsia="ru-RU"/>
        </w:rPr>
      </w:r>
    </w:p>
    <w:p>
      <w:pPr>
        <w:pStyle w:val="Normal"/>
        <w:widowControl w:val="false"/>
        <w:numPr>
          <w:ilvl w:val="0"/>
          <w:numId w:val="1"/>
        </w:numPr>
        <w:shd w:fill="FFFFFF" w:val="clear"/>
        <w:suppressAutoHyphens w:val="false"/>
        <w:autoSpaceDE w:val="false"/>
        <w:spacing w:before="0" w:after="0"/>
        <w:contextualSpacing/>
        <w:jc w:val="both"/>
        <w:rPr>
          <w:sz w:val="22"/>
          <w:szCs w:val="22"/>
          <w:lang w:eastAsia="ru-RU"/>
        </w:rPr>
      </w:pPr>
      <w:r>
        <w:rPr>
          <w:iCs/>
          <w:color w:val="000000"/>
          <w:sz w:val="22"/>
          <w:szCs w:val="22"/>
          <w:lang w:eastAsia="ru-RU"/>
        </w:rPr>
        <w:t xml:space="preserve">Настоящее Приложение является неотъемлемой частью Договора и обязательно для исполнения «Сторонами». Определения основных понятий, принятых </w:t>
      </w:r>
      <w:r>
        <w:rPr>
          <w:color w:val="000000"/>
          <w:sz w:val="22"/>
          <w:szCs w:val="22"/>
          <w:lang w:eastAsia="ru-RU"/>
        </w:rPr>
        <w:t xml:space="preserve">в </w:t>
      </w:r>
      <w:r>
        <w:rPr>
          <w:iCs/>
          <w:color w:val="000000"/>
          <w:sz w:val="22"/>
          <w:szCs w:val="22"/>
          <w:lang w:eastAsia="ru-RU"/>
        </w:rPr>
        <w:t>Договоре, распространяются также и на настоящие условия.</w:t>
      </w:r>
    </w:p>
    <w:p>
      <w:pPr>
        <w:pStyle w:val="Normal"/>
        <w:widowControl w:val="false"/>
        <w:numPr>
          <w:ilvl w:val="0"/>
          <w:numId w:val="1"/>
        </w:numPr>
        <w:suppressAutoHyphens w:val="false"/>
        <w:autoSpaceDE w:val="false"/>
        <w:jc w:val="both"/>
        <w:rPr>
          <w:sz w:val="22"/>
          <w:szCs w:val="22"/>
          <w:lang w:eastAsia="ru-RU"/>
        </w:rPr>
      </w:pPr>
      <w:r>
        <w:rPr>
          <w:sz w:val="22"/>
          <w:szCs w:val="22"/>
          <w:lang w:eastAsia="ru-RU"/>
        </w:rPr>
        <w:t>Эксплуатационно-техническое обслуживание системы пожарной автоматики объекта защиты должно осуществляться в соответствии с требованиями руководящих документов:</w:t>
      </w:r>
    </w:p>
    <w:p>
      <w:pPr>
        <w:pStyle w:val="Normal"/>
        <w:widowControl w:val="false"/>
        <w:suppressAutoHyphens w:val="false"/>
        <w:autoSpaceDE w:val="false"/>
        <w:jc w:val="both"/>
        <w:rPr>
          <w:sz w:val="22"/>
          <w:szCs w:val="22"/>
          <w:lang w:eastAsia="ru-RU"/>
        </w:rPr>
      </w:pPr>
      <w:r>
        <w:rPr>
          <w:sz w:val="22"/>
          <w:szCs w:val="22"/>
          <w:lang w:eastAsia="ru-RU"/>
        </w:rPr>
        <w:t>- ГОСТ Р 54101-2010 «СРЕДСТВА АВТОМАТИЗАЦИИ И СИСТЕМЫ УПРАВЛЕНИЯ.</w:t>
      </w:r>
    </w:p>
    <w:p>
      <w:pPr>
        <w:pStyle w:val="Normal"/>
        <w:widowControl w:val="false"/>
        <w:suppressAutoHyphens w:val="false"/>
        <w:autoSpaceDE w:val="false"/>
        <w:jc w:val="both"/>
        <w:rPr>
          <w:sz w:val="22"/>
          <w:szCs w:val="22"/>
          <w:lang w:eastAsia="ru-RU"/>
        </w:rPr>
      </w:pPr>
      <w:r>
        <w:rPr>
          <w:sz w:val="22"/>
          <w:szCs w:val="22"/>
          <w:lang w:eastAsia="ru-RU"/>
        </w:rPr>
        <w:t>Средства и системы обеспечения безопасности. Техническое обслуживание и текущий ремонт»;</w:t>
      </w:r>
    </w:p>
    <w:p>
      <w:pPr>
        <w:pStyle w:val="Normal"/>
        <w:widowControl w:val="false"/>
        <w:suppressAutoHyphens w:val="false"/>
        <w:autoSpaceDE w:val="false"/>
        <w:jc w:val="both"/>
        <w:rPr>
          <w:sz w:val="22"/>
          <w:szCs w:val="22"/>
          <w:lang w:eastAsia="ru-RU"/>
        </w:rPr>
      </w:pPr>
      <w:r>
        <w:rPr>
          <w:sz w:val="22"/>
          <w:szCs w:val="22"/>
          <w:lang w:eastAsia="ru-RU"/>
        </w:rPr>
        <w:t xml:space="preserve"> </w:t>
      </w:r>
      <w:r>
        <w:rPr>
          <w:sz w:val="22"/>
          <w:szCs w:val="22"/>
          <w:lang w:eastAsia="ru-RU"/>
        </w:rPr>
        <w:t xml:space="preserve">- РД-009-02-96 «Установки пожарной автоматики. Техническое обслуживание и планово- предупредительный ремонт»; </w:t>
      </w:r>
    </w:p>
    <w:p>
      <w:pPr>
        <w:pStyle w:val="Normal"/>
        <w:widowControl w:val="false"/>
        <w:suppressAutoHyphens w:val="false"/>
        <w:autoSpaceDE w:val="false"/>
        <w:jc w:val="both"/>
        <w:rPr>
          <w:sz w:val="22"/>
          <w:szCs w:val="22"/>
        </w:rPr>
      </w:pPr>
      <w:r>
        <w:rPr>
          <w:sz w:val="22"/>
          <w:szCs w:val="22"/>
          <w:lang w:eastAsia="ru-RU"/>
        </w:rPr>
        <w:t xml:space="preserve">- РД -009-01-96 </w:t>
      </w:r>
      <w:r>
        <w:rPr>
          <w:sz w:val="22"/>
          <w:szCs w:val="22"/>
        </w:rPr>
        <w:t>"Установки пожарной автоматики. Правила технического содержания.»;</w:t>
      </w:r>
    </w:p>
    <w:p>
      <w:pPr>
        <w:pStyle w:val="Normal"/>
        <w:widowControl w:val="false"/>
        <w:suppressAutoHyphens w:val="false"/>
        <w:autoSpaceDE w:val="false"/>
        <w:jc w:val="both"/>
        <w:rPr>
          <w:sz w:val="22"/>
          <w:szCs w:val="22"/>
          <w:lang w:eastAsia="ru-RU"/>
        </w:rPr>
      </w:pPr>
      <w:r>
        <w:rPr>
          <w:sz w:val="22"/>
          <w:szCs w:val="22"/>
        </w:rPr>
        <w:t xml:space="preserve">- техническая документация заводов-изготовителей оборудования. </w:t>
      </w:r>
    </w:p>
    <w:p>
      <w:pPr>
        <w:pStyle w:val="Normal"/>
        <w:widowControl w:val="false"/>
        <w:numPr>
          <w:ilvl w:val="0"/>
          <w:numId w:val="1"/>
        </w:numPr>
        <w:suppressAutoHyphens w:val="false"/>
        <w:autoSpaceDE w:val="false"/>
        <w:jc w:val="both"/>
        <w:rPr>
          <w:b/>
          <w:bCs/>
          <w:sz w:val="22"/>
          <w:szCs w:val="22"/>
          <w:lang w:eastAsia="ru-RU"/>
        </w:rPr>
      </w:pPr>
      <w:r>
        <w:rPr>
          <w:sz w:val="22"/>
          <w:szCs w:val="22"/>
          <w:lang w:eastAsia="ru-RU"/>
        </w:rPr>
        <w:t>Принятию на ТО системы пожарной автоматики предшествует первичное обследование установки с целью определения ее состояния. На установку пожарной автоматики, находящуюся в неработоспособном состоянии, оформляется дефектная ведомость.</w:t>
      </w:r>
    </w:p>
    <w:p>
      <w:pPr>
        <w:pStyle w:val="Normal"/>
        <w:suppressAutoHyphens w:val="false"/>
        <w:spacing w:lineRule="auto" w:line="276" w:before="0" w:after="200"/>
        <w:ind w:start="170" w:end="0"/>
        <w:jc w:val="both"/>
        <w:rPr>
          <w:bCs/>
          <w:sz w:val="22"/>
          <w:szCs w:val="22"/>
          <w:lang w:eastAsia="ru-RU"/>
        </w:rPr>
      </w:pPr>
      <w:r>
        <w:rPr>
          <w:b/>
          <w:bCs/>
          <w:sz w:val="22"/>
          <w:szCs w:val="22"/>
          <w:lang w:eastAsia="ru-RU"/>
        </w:rPr>
        <w:t xml:space="preserve">           </w:t>
      </w:r>
      <w:r>
        <w:rPr>
          <w:sz w:val="24"/>
          <w:szCs w:val="24"/>
        </w:rPr>
        <w:t>Регламент работ по техническому обслуживанию оборудования системы АПС</w:t>
      </w:r>
    </w:p>
    <w:tbl>
      <w:tblPr>
        <w:tblW w:w="9319" w:type="dxa"/>
        <w:jc w:val="start"/>
        <w:tblInd w:w="534" w:type="dxa"/>
        <w:tblLayout w:type="fixed"/>
        <w:tblCellMar>
          <w:top w:w="0" w:type="dxa"/>
          <w:start w:w="108" w:type="dxa"/>
          <w:bottom w:w="0" w:type="dxa"/>
          <w:end w:w="108" w:type="dxa"/>
        </w:tblCellMar>
      </w:tblPr>
      <w:tblGrid>
        <w:gridCol w:w="803"/>
        <w:gridCol w:w="5399"/>
        <w:gridCol w:w="3117"/>
      </w:tblGrid>
      <w:tr>
        <w:trPr>
          <w:trHeight w:val="60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pPr>
            <w:r>
              <w:rPr>
                <w:bCs/>
                <w:sz w:val="22"/>
                <w:szCs w:val="22"/>
                <w:lang w:eastAsia="ru-RU"/>
              </w:rPr>
              <w:t xml:space="preserve">№ </w:t>
            </w:r>
            <w:r>
              <w:rPr>
                <w:bCs/>
                <w:sz w:val="22"/>
                <w:szCs w:val="22"/>
                <w:lang w:eastAsia="ru-RU"/>
              </w:rPr>
              <w:t>п/п</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Наименование услуг</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Периодичность</w:t>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1.</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pPr>
              <w:pStyle w:val="Normal"/>
              <w:suppressAutoHyphens w:val="false"/>
              <w:jc w:val="both"/>
              <w:rPr>
                <w:bCs/>
                <w:sz w:val="22"/>
                <w:szCs w:val="22"/>
                <w:lang w:eastAsia="ru-RU"/>
              </w:rPr>
            </w:pPr>
            <w:r>
              <w:rPr>
                <w:bCs/>
                <w:sz w:val="22"/>
                <w:szCs w:val="22"/>
                <w:lang w:eastAsia="ru-RU"/>
              </w:rPr>
              <w:t xml:space="preserve">     </w:t>
            </w:r>
            <w:r>
              <w:rPr>
                <w:bCs/>
                <w:sz w:val="22"/>
                <w:szCs w:val="22"/>
                <w:lang w:eastAsia="ru-RU"/>
              </w:rPr>
              <w:t>1.1. Устранение недостатков (обрывов, замыканий, датчиков) - приведение системы в рабочее состояние;</w:t>
            </w:r>
          </w:p>
          <w:p>
            <w:pPr>
              <w:pStyle w:val="Normal"/>
              <w:suppressAutoHyphens w:val="false"/>
              <w:jc w:val="both"/>
              <w:rPr>
                <w:bCs/>
                <w:sz w:val="22"/>
                <w:szCs w:val="22"/>
                <w:lang w:eastAsia="ru-RU"/>
              </w:rPr>
            </w:pPr>
            <w:r>
              <w:rPr>
                <w:bCs/>
                <w:sz w:val="22"/>
                <w:szCs w:val="22"/>
                <w:lang w:eastAsia="ru-RU"/>
              </w:rPr>
              <w:t xml:space="preserve">     </w:t>
            </w:r>
            <w:r>
              <w:rPr>
                <w:bCs/>
                <w:sz w:val="22"/>
                <w:szCs w:val="22"/>
                <w:lang w:eastAsia="ru-RU"/>
              </w:rPr>
              <w:t>1.2. Разработка инструкций, распределения шлейфов пожарной сигнализации по помещениям;</w:t>
            </w:r>
          </w:p>
          <w:p>
            <w:pPr>
              <w:pStyle w:val="Normal"/>
              <w:suppressAutoHyphens w:val="false"/>
              <w:jc w:val="both"/>
              <w:rPr/>
            </w:pPr>
            <w:r>
              <w:rPr>
                <w:bCs/>
                <w:sz w:val="22"/>
                <w:szCs w:val="22"/>
                <w:lang w:eastAsia="ru-RU"/>
              </w:rPr>
              <w:t xml:space="preserve">    </w:t>
            </w:r>
            <w:r>
              <w:rPr>
                <w:bCs/>
                <w:sz w:val="22"/>
                <w:szCs w:val="22"/>
                <w:lang w:eastAsia="ru-RU"/>
              </w:rPr>
              <w:t>1.3. Обучение охранников по использованию пульта пожарной сигнализации с записью в журнале.</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Единожды при заключении договора на техническое обслуживание</w:t>
            </w:r>
          </w:p>
        </w:tc>
      </w:tr>
      <w:tr>
        <w:trPr>
          <w:trHeight w:val="270"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2.</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Внешний осмотр частей системы (приемно-контрольного прибора извещателей, шлейфов сигнализации, оповещателей) на отсутствие механических повреждений, коррозии, грязи, прочности крепления и т.д.</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3.</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Контроль рабочего положения выключателей и переключателей, исправности световой индикации, наличие пломб на приемно-контрольных приборах</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70"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4.</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Контроль основного и резервного источников питания и проверка автоматического переключения питания с рабочего ввода на резервный</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5.</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Проверка работоспособности составных частей системы (приемно-контрольных приборов, извещателей, оповещателей, измерение параметров шлейфов сигнализации и т.п.)</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6.</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Ведение документации по техническому обслуживанию</w:t>
            </w:r>
          </w:p>
          <w:p>
            <w:pPr>
              <w:pStyle w:val="Normal"/>
              <w:suppressAutoHyphens w:val="false"/>
              <w:jc w:val="both"/>
              <w:rPr>
                <w:bCs/>
                <w:sz w:val="22"/>
                <w:szCs w:val="22"/>
                <w:lang w:eastAsia="ru-RU"/>
              </w:rPr>
            </w:pPr>
            <w:r>
              <w:rPr>
                <w:bCs/>
                <w:sz w:val="22"/>
                <w:szCs w:val="22"/>
                <w:lang w:eastAsia="ru-RU"/>
              </w:rPr>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7.</w:t>
            </w:r>
          </w:p>
        </w:tc>
        <w:tc>
          <w:tcPr>
            <w:tcW w:w="5399"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Проверка работоспособности системы в целом (комплексно)</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Раз в квартал</w:t>
            </w:r>
          </w:p>
        </w:tc>
      </w:tr>
      <w:tr>
        <w:trPr>
          <w:trHeight w:val="286" w:hRule="atLeast"/>
        </w:trPr>
        <w:tc>
          <w:tcPr>
            <w:tcW w:w="80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8.</w:t>
            </w:r>
          </w:p>
        </w:tc>
        <w:tc>
          <w:tcPr>
            <w:tcW w:w="5399" w:type="dxa"/>
            <w:tcBorders>
              <w:top w:val="single" w:sz="6" w:space="0" w:color="000000"/>
              <w:start w:val="single" w:sz="6" w:space="0" w:color="000000"/>
              <w:bottom w:val="single" w:sz="6" w:space="0" w:color="000000"/>
              <w:end w:val="single" w:sz="6" w:space="0" w:color="000000"/>
            </w:tcBorders>
          </w:tcPr>
          <w:p>
            <w:pPr>
              <w:pStyle w:val="Normal"/>
              <w:widowControl w:val="false"/>
              <w:suppressAutoHyphens w:val="false"/>
              <w:autoSpaceDE w:val="false"/>
              <w:spacing w:before="0" w:after="0"/>
              <w:contextualSpacing/>
              <w:jc w:val="both"/>
              <w:rPr>
                <w:sz w:val="22"/>
                <w:szCs w:val="22"/>
                <w:lang w:eastAsia="ru-RU"/>
              </w:rPr>
            </w:pPr>
            <w:r>
              <w:rPr>
                <w:bCs/>
                <w:color w:val="000000"/>
                <w:sz w:val="22"/>
                <w:szCs w:val="22"/>
                <w:lang w:eastAsia="ru-RU"/>
              </w:rPr>
              <w:t>Осуществление круглосуточного контроля состояния оборудования системы АПС</w:t>
            </w:r>
          </w:p>
          <w:p>
            <w:pPr>
              <w:pStyle w:val="Normal"/>
              <w:suppressAutoHyphens w:val="false"/>
              <w:spacing w:before="0" w:after="0"/>
              <w:contextualSpacing/>
              <w:jc w:val="both"/>
              <w:rPr>
                <w:sz w:val="22"/>
                <w:szCs w:val="22"/>
                <w:lang w:eastAsia="ru-RU"/>
              </w:rPr>
            </w:pPr>
            <w:r>
              <w:rPr>
                <w:sz w:val="22"/>
                <w:szCs w:val="22"/>
                <w:lang w:eastAsia="ru-RU"/>
              </w:rPr>
              <w:t>для идентификация неисправного извещателя с помощью световой индикации и возможностью его замены дежурным персоналом за установленное время</w:t>
            </w:r>
          </w:p>
        </w:tc>
        <w:tc>
          <w:tcPr>
            <w:tcW w:w="31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Круглосуточно</w:t>
            </w:r>
          </w:p>
        </w:tc>
      </w:tr>
    </w:tbl>
    <w:p>
      <w:pPr>
        <w:pStyle w:val="Normal"/>
        <w:tabs>
          <w:tab w:val="clear" w:pos="708"/>
          <w:tab w:val="left" w:pos="3544" w:leader="none"/>
        </w:tabs>
        <w:suppressAutoHyphens w:val="false"/>
        <w:spacing w:lineRule="auto" w:line="360" w:before="0" w:after="0"/>
        <w:ind w:start="170" w:end="0"/>
        <w:contextualSpacing/>
        <w:jc w:val="both"/>
        <w:rPr>
          <w:bCs/>
          <w:sz w:val="22"/>
          <w:szCs w:val="22"/>
          <w:lang w:eastAsia="ru-RU"/>
        </w:rPr>
      </w:pPr>
      <w:r>
        <w:rPr>
          <w:b/>
          <w:bCs/>
          <w:sz w:val="22"/>
          <w:szCs w:val="22"/>
          <w:lang w:eastAsia="ru-RU"/>
        </w:rPr>
        <w:t xml:space="preserve">                </w:t>
      </w:r>
      <w:r>
        <w:rPr/>
        <w:t>Регламент работ по техническому обслуживанию оборудования СОУЭ</w:t>
      </w:r>
    </w:p>
    <w:tbl>
      <w:tblPr>
        <w:tblW w:w="9556" w:type="dxa"/>
        <w:jc w:val="start"/>
        <w:tblInd w:w="534" w:type="dxa"/>
        <w:tblLayout w:type="fixed"/>
        <w:tblCellMar>
          <w:top w:w="0" w:type="dxa"/>
          <w:start w:w="108" w:type="dxa"/>
          <w:bottom w:w="0" w:type="dxa"/>
          <w:end w:w="108" w:type="dxa"/>
        </w:tblCellMar>
      </w:tblPr>
      <w:tblGrid>
        <w:gridCol w:w="817"/>
        <w:gridCol w:w="5553"/>
        <w:gridCol w:w="3186"/>
      </w:tblGrid>
      <w:tr>
        <w:trPr>
          <w:trHeight w:val="606"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pPr>
            <w:r>
              <w:rPr>
                <w:bCs/>
                <w:sz w:val="22"/>
                <w:szCs w:val="22"/>
                <w:lang w:eastAsia="ru-RU"/>
              </w:rPr>
              <w:t xml:space="preserve">№ </w:t>
            </w:r>
            <w:r>
              <w:rPr>
                <w:bCs/>
                <w:sz w:val="22"/>
                <w:szCs w:val="22"/>
                <w:lang w:eastAsia="ru-RU"/>
              </w:rPr>
              <w:t>п/п</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Наименование услуг</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Периодичность</w:t>
            </w:r>
          </w:p>
        </w:tc>
      </w:tr>
      <w:tr>
        <w:trPr>
          <w:trHeight w:val="286"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1.</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pPr>
              <w:pStyle w:val="Normal"/>
              <w:suppressAutoHyphens w:val="false"/>
              <w:jc w:val="both"/>
              <w:rPr>
                <w:bCs/>
                <w:sz w:val="22"/>
                <w:szCs w:val="22"/>
                <w:lang w:eastAsia="ru-RU"/>
              </w:rPr>
            </w:pPr>
            <w:r>
              <w:rPr>
                <w:bCs/>
                <w:sz w:val="22"/>
                <w:szCs w:val="22"/>
                <w:lang w:eastAsia="ru-RU"/>
              </w:rPr>
              <w:t xml:space="preserve">     </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Единожды при заключении договора на техническое обслуживание</w:t>
            </w:r>
          </w:p>
        </w:tc>
      </w:tr>
      <w:tr>
        <w:trPr>
          <w:trHeight w:val="270"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2.</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Внешний осмотр частей системы (оповещатели речевые, оповещатели световые, прибор управления, вызывная панель) на отсутствие механических повреждений, коррозии, грязи, прочности крепления и т.д.</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86"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3.</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Контроль основного и резервного источников питания</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p>
            <w:pPr>
              <w:pStyle w:val="Normal"/>
              <w:suppressAutoHyphens w:val="false"/>
              <w:jc w:val="both"/>
              <w:rPr>
                <w:bCs/>
                <w:sz w:val="22"/>
                <w:szCs w:val="22"/>
                <w:lang w:eastAsia="ru-RU"/>
              </w:rPr>
            </w:pPr>
            <w:r>
              <w:rPr>
                <w:bCs/>
                <w:sz w:val="22"/>
                <w:szCs w:val="22"/>
                <w:lang w:eastAsia="ru-RU"/>
              </w:rPr>
            </w:r>
          </w:p>
        </w:tc>
      </w:tr>
      <w:tr>
        <w:trPr>
          <w:trHeight w:val="270"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4.</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Проверка работоспособности составных частей системы (оповещатели речевые, оповещатели световые, прибор управления, вызывная панель)</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snapToGrid w:val="false"/>
              <w:jc w:val="both"/>
              <w:rPr>
                <w:bCs/>
                <w:sz w:val="22"/>
                <w:szCs w:val="22"/>
                <w:lang w:eastAsia="ru-RU"/>
              </w:rPr>
            </w:pPr>
            <w:r>
              <w:rPr>
                <w:bCs/>
                <w:sz w:val="22"/>
                <w:szCs w:val="22"/>
                <w:lang w:eastAsia="ru-RU"/>
              </w:rPr>
            </w:r>
          </w:p>
        </w:tc>
      </w:tr>
      <w:tr>
        <w:trPr>
          <w:trHeight w:val="286"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5.</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Ведение документации по техническому обслуживанию</w:t>
            </w:r>
          </w:p>
          <w:p>
            <w:pPr>
              <w:pStyle w:val="Normal"/>
              <w:suppressAutoHyphens w:val="false"/>
              <w:jc w:val="both"/>
              <w:rPr>
                <w:bCs/>
                <w:sz w:val="22"/>
                <w:szCs w:val="22"/>
                <w:lang w:eastAsia="ru-RU"/>
              </w:rPr>
            </w:pPr>
            <w:r>
              <w:rPr>
                <w:bCs/>
                <w:sz w:val="22"/>
                <w:szCs w:val="22"/>
                <w:lang w:eastAsia="ru-RU"/>
              </w:rPr>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Ежемесячно</w:t>
            </w:r>
          </w:p>
        </w:tc>
      </w:tr>
      <w:tr>
        <w:trPr>
          <w:trHeight w:val="286" w:hRule="atLeast"/>
        </w:trPr>
        <w:tc>
          <w:tcPr>
            <w:tcW w:w="817"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6.</w:t>
            </w:r>
          </w:p>
        </w:tc>
        <w:tc>
          <w:tcPr>
            <w:tcW w:w="5553"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Проверка работоспособности системы в целом (комплексно)</w:t>
            </w:r>
          </w:p>
        </w:tc>
        <w:tc>
          <w:tcPr>
            <w:tcW w:w="3186" w:type="dxa"/>
            <w:tcBorders>
              <w:top w:val="single" w:sz="4" w:space="0" w:color="000000"/>
              <w:start w:val="single" w:sz="4" w:space="0" w:color="000000"/>
              <w:bottom w:val="single" w:sz="4" w:space="0" w:color="000000"/>
              <w:end w:val="single" w:sz="4" w:space="0" w:color="000000"/>
            </w:tcBorders>
          </w:tcPr>
          <w:p>
            <w:pPr>
              <w:pStyle w:val="Normal"/>
              <w:suppressAutoHyphens w:val="false"/>
              <w:jc w:val="both"/>
              <w:rPr>
                <w:bCs/>
                <w:sz w:val="22"/>
                <w:szCs w:val="22"/>
                <w:lang w:eastAsia="ru-RU"/>
              </w:rPr>
            </w:pPr>
            <w:r>
              <w:rPr>
                <w:bCs/>
                <w:sz w:val="22"/>
                <w:szCs w:val="22"/>
                <w:lang w:eastAsia="ru-RU"/>
              </w:rPr>
              <w:t>Раз в квартал</w:t>
            </w:r>
          </w:p>
        </w:tc>
      </w:tr>
    </w:tbl>
    <w:p>
      <w:pPr>
        <w:pStyle w:val="Normal"/>
        <w:widowControl w:val="false"/>
        <w:tabs>
          <w:tab w:val="clear" w:pos="708"/>
          <w:tab w:val="left" w:pos="4032" w:leader="none"/>
        </w:tabs>
        <w:suppressAutoHyphens w:val="false"/>
        <w:autoSpaceDE w:val="false"/>
        <w:jc w:val="both"/>
        <w:rPr>
          <w:b/>
          <w:sz w:val="22"/>
          <w:szCs w:val="22"/>
          <w:lang w:eastAsia="ru-RU"/>
        </w:rPr>
      </w:pPr>
      <w:r>
        <w:rPr>
          <w:rFonts w:eastAsia="Times New Roman"/>
          <w:caps/>
          <w:sz w:val="22"/>
          <w:szCs w:val="22"/>
          <w:lang w:eastAsia="en-US"/>
        </w:rPr>
        <w:t xml:space="preserve">        </w:t>
      </w:r>
      <w:r>
        <w:rPr>
          <w:rFonts w:eastAsia="Calibri"/>
          <w:caps/>
          <w:sz w:val="22"/>
          <w:szCs w:val="22"/>
          <w:lang w:eastAsia="en-US"/>
        </w:rPr>
        <w:t>ТО  – проводится 1 раз в месяц</w:t>
      </w:r>
    </w:p>
    <w:p>
      <w:pPr>
        <w:pStyle w:val="Normal"/>
        <w:suppressAutoHyphens w:val="false"/>
        <w:autoSpaceDE w:val="false"/>
        <w:spacing w:before="211" w:after="0"/>
        <w:jc w:val="both"/>
        <w:rPr>
          <w:b/>
          <w:sz w:val="22"/>
          <w:szCs w:val="22"/>
          <w:lang w:eastAsia="ru-RU"/>
        </w:rPr>
      </w:pPr>
      <w:r>
        <w:rPr>
          <w:b/>
          <w:sz w:val="22"/>
          <w:szCs w:val="22"/>
          <w:lang w:eastAsia="ru-RU"/>
        </w:rPr>
        <w:t xml:space="preserve">Перечень </w:t>
      </w:r>
      <w:r>
        <w:rPr>
          <w:b/>
          <w:color w:val="000000"/>
          <w:sz w:val="22"/>
          <w:szCs w:val="22"/>
          <w:lang w:eastAsia="ru-RU"/>
        </w:rPr>
        <w:t>ежемесячных регламентных работ по техническому обслуживанию объектовой станции РСПИ «Стрелец-Мониторинг»</w:t>
      </w:r>
    </w:p>
    <w:p>
      <w:pPr>
        <w:pStyle w:val="Normal"/>
        <w:spacing w:lineRule="exact" w:line="1" w:before="0" w:after="192"/>
        <w:jc w:val="both"/>
        <w:rPr>
          <w:b/>
          <w:sz w:val="22"/>
          <w:szCs w:val="22"/>
          <w:lang w:eastAsia="ru-RU"/>
        </w:rPr>
      </w:pPr>
      <w:r>
        <w:rPr>
          <w:b/>
          <w:sz w:val="22"/>
          <w:szCs w:val="22"/>
          <w:lang w:eastAsia="ru-RU"/>
        </w:rPr>
      </w:r>
    </w:p>
    <w:tbl>
      <w:tblPr>
        <w:tblW w:w="9702" w:type="dxa"/>
        <w:jc w:val="start"/>
        <w:tblInd w:w="392" w:type="dxa"/>
        <w:tblLayout w:type="fixed"/>
        <w:tblCellMar>
          <w:top w:w="0" w:type="dxa"/>
          <w:start w:w="108" w:type="dxa"/>
          <w:bottom w:w="0" w:type="dxa"/>
          <w:end w:w="108" w:type="dxa"/>
        </w:tblCellMar>
      </w:tblPr>
      <w:tblGrid>
        <w:gridCol w:w="1276"/>
        <w:gridCol w:w="5024"/>
        <w:gridCol w:w="1701"/>
        <w:gridCol w:w="851"/>
        <w:gridCol w:w="850"/>
      </w:tblGrid>
      <w:tr>
        <w:trPr>
          <w:trHeight w:val="115" w:hRule="atLeast"/>
        </w:trPr>
        <w:tc>
          <w:tcPr>
            <w:tcW w:w="1276"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ind w:firstLine="34" w:end="0"/>
              <w:jc w:val="both"/>
              <w:rPr>
                <w:rFonts w:eastAsia="Calibri"/>
                <w:sz w:val="22"/>
                <w:szCs w:val="22"/>
                <w:lang w:eastAsia="en-US"/>
              </w:rPr>
            </w:pPr>
            <w:r>
              <w:rPr>
                <w:rFonts w:eastAsia="Calibri"/>
                <w:sz w:val="22"/>
                <w:szCs w:val="22"/>
                <w:lang w:eastAsia="en-US"/>
              </w:rPr>
              <w:t>Содержание работ</w:t>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ind w:firstLine="709" w:end="0"/>
              <w:jc w:val="both"/>
              <w:rPr>
                <w:rFonts w:eastAsia="Calibri"/>
                <w:sz w:val="22"/>
                <w:szCs w:val="22"/>
                <w:lang w:eastAsia="en-US"/>
              </w:rPr>
            </w:pPr>
            <w:r>
              <w:rPr>
                <w:rFonts w:eastAsia="Calibri"/>
                <w:sz w:val="22"/>
                <w:szCs w:val="22"/>
                <w:lang w:eastAsia="en-US"/>
              </w:rPr>
              <w:t>Порядок выполнения работ</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Нормы и наблюдаемые явления</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ТО1</w:t>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ТО2</w:t>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tc>
      </w:tr>
      <w:tr>
        <w:trPr>
          <w:trHeight w:val="109" w:hRule="atLeast"/>
        </w:trPr>
        <w:tc>
          <w:tcPr>
            <w:tcW w:w="1276" w:type="dxa"/>
            <w:vMerge w:val="restart"/>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
                <w:bCs/>
                <w:sz w:val="22"/>
                <w:szCs w:val="22"/>
                <w:lang w:eastAsia="en-US"/>
              </w:rPr>
            </w:pPr>
            <w:r>
              <w:rPr>
                <w:rFonts w:eastAsia="Calibri"/>
                <w:b/>
                <w:bCs/>
                <w:sz w:val="22"/>
                <w:szCs w:val="22"/>
                <w:lang w:eastAsia="en-US"/>
              </w:rPr>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p>
            <w:pPr>
              <w:pStyle w:val="Normal"/>
              <w:suppressAutoHyphens w:val="false"/>
              <w:autoSpaceDE w:val="false"/>
              <w:jc w:val="both"/>
              <w:rPr>
                <w:rFonts w:eastAsia="Calibri"/>
                <w:b/>
                <w:bCs/>
                <w:sz w:val="22"/>
                <w:szCs w:val="22"/>
                <w:lang w:eastAsia="en-US"/>
              </w:rPr>
            </w:pPr>
            <w:r>
              <w:rPr>
                <w:rFonts w:eastAsia="Calibri"/>
                <w:b/>
                <w:bCs/>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t>Внешний осмотр приборов.</w:t>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Отключить прибор от сети переменного тока и удалить с оборудования пыль и грязь</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Не должно быть механических повреждений</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Снять крышку с прибора и удалить с поверхности клемм, контактов перемычек пыль и грязь</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Не должно быть следов грязи</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Проверить соответствие номиналу и исправность предохранителей.</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pPr>
            <w:r>
              <w:rPr>
                <w:rFonts w:eastAsia="Times New Roman"/>
                <w:bCs/>
                <w:sz w:val="22"/>
                <w:szCs w:val="22"/>
                <w:lang w:eastAsia="en-US"/>
              </w:rPr>
              <w:t xml:space="preserve">       </w:t>
            </w:r>
            <w:r>
              <w:rPr>
                <w:rFonts w:eastAsia="Calibri"/>
                <w:bCs/>
                <w:sz w:val="22"/>
                <w:szCs w:val="22"/>
                <w:lang w:eastAsia="en-US"/>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943"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Удалить с поверхности аккумуляторной батареи (АБ) пыль, грязь, влагу. Измерить напряжение АБ, если необходимо, заменить АБ.</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Не должно быть следов грязи. Напряжение должно быть не менее 13 В.</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 xml:space="preserve">Проверить соответствие подключения внешних цепей к клеммам приборов. </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Соответствие схеме внешних соединений</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Проверить целостности заземляющего провода.</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Подтянуть винты на клеммах, где крепление ослабло. Восстановить соединение, если провод оборван. Заменить провод, если нарушена изоляция.</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p>
            <w:pPr>
              <w:pStyle w:val="Normal"/>
              <w:spacing w:lineRule="atLeast" w:line="100"/>
              <w:jc w:val="both"/>
              <w:rPr>
                <w:sz w:val="22"/>
                <w:szCs w:val="22"/>
                <w:lang w:eastAsia="en-US"/>
              </w:rPr>
            </w:pPr>
            <w:r>
              <w:rPr>
                <w:sz w:val="22"/>
                <w:szCs w:val="22"/>
                <w:lang w:eastAsia="en-US"/>
              </w:rPr>
              <w:t>---</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
                <w:bCs/>
                <w:sz w:val="22"/>
                <w:szCs w:val="22"/>
                <w:lang w:eastAsia="en-US"/>
              </w:rPr>
            </w:pPr>
            <w:r>
              <w:rPr>
                <w:rFonts w:eastAsia="Calibri"/>
                <w:b/>
                <w:bCs/>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continue"/>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Визуальный контроль антенно-фидерного тракта (отсутствие видимых повреждений антенны, кабеля и соединителей)</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Не должно быть механических повреждений</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109" w:hRule="atLeast"/>
        </w:trPr>
        <w:tc>
          <w:tcPr>
            <w:tcW w:w="1276" w:type="dxa"/>
            <w:vMerge w:val="restart"/>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t>Проверка работоспособности</w:t>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Сформировать извещение «неисправность» от объектового оборудования, подключенного к станции, и проконтролировать поступление извещения на Пультовую станцию.</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Время доставки извещения – не более 20с</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r>
      <w:tr>
        <w:trPr>
          <w:trHeight w:val="109" w:hRule="atLeast"/>
        </w:trPr>
        <w:tc>
          <w:tcPr>
            <w:tcW w:w="1276" w:type="dxa"/>
            <w:vMerge w:val="continue"/>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Сформировать извещение «Пожар» от объектового оборудования, подключенного к объектовой станции, и проконтролировать поступления извещения на Пультовую станцию</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Время доставки извещения – не более 20с</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vMerge w:val="continue"/>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 xml:space="preserve">Контроль работоспособности станции по внешним признакам: свечение индикаторов, наличие рабочих напряжений на нагрузках, переход на питание от аккумуляторной батареи (АБ). </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bCs/>
                <w:sz w:val="22"/>
                <w:szCs w:val="22"/>
                <w:lang w:eastAsia="en-US"/>
              </w:rPr>
            </w:pPr>
            <w:r>
              <w:rPr>
                <w:rFonts w:eastAsia="Calibri"/>
                <w:bCs/>
                <w:sz w:val="22"/>
                <w:szCs w:val="22"/>
                <w:lang w:eastAsia="en-US"/>
              </w:rPr>
              <w:t>Рабочие напряжения на нагрузках не должны быть  ниже номинального</w:t>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vMerge w:val="restart"/>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p>
            <w:pPr>
              <w:pStyle w:val="Normal"/>
              <w:suppressAutoHyphens w:val="false"/>
              <w:autoSpaceDE w:val="false"/>
              <w:jc w:val="both"/>
              <w:rPr>
                <w:rFonts w:eastAsia="Calibri"/>
                <w:sz w:val="22"/>
                <w:szCs w:val="22"/>
                <w:lang w:eastAsia="en-US"/>
              </w:rPr>
            </w:pPr>
            <w:r>
              <w:rPr>
                <w:rFonts w:eastAsia="Calibri"/>
                <w:sz w:val="22"/>
                <w:szCs w:val="22"/>
                <w:lang w:eastAsia="en-US"/>
              </w:rPr>
              <w:t>Круглосуточный контроль</w:t>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Круглосуточных контроль за передачей от прибора объектового оконечного на прибор пультовой по линии/линиям связи тревожных извещений о пожаре</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vMerge w:val="continue"/>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Круглосуточных контроль за неисправностями, регистрируемыми Прибором приемно-контрольных и иными средствами пожарной автоматики объекта, взаимодействующими с прибором объектовым оконечным</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vMerge w:val="continue"/>
            <w:tcBorders>
              <w:top w:val="single" w:sz="4" w:space="0" w:color="000000"/>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 xml:space="preserve">Круглосуточных контроль за исправностью линий связи между оборудованием объекта и прибором объектовым оконечным </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tcBorders>
              <w:start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Круглосуточных контроль за исправностью линий связи между прибором объектовым оконечным и прибором пультовым</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r>
        <w:trPr>
          <w:trHeight w:val="344" w:hRule="atLeast"/>
        </w:trPr>
        <w:tc>
          <w:tcPr>
            <w:tcW w:w="1276" w:type="dxa"/>
            <w:tcBorders>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sz w:val="22"/>
                <w:szCs w:val="22"/>
                <w:lang w:eastAsia="en-US"/>
              </w:rPr>
            </w:pPr>
            <w:r>
              <w:rPr>
                <w:rFonts w:eastAsia="Calibri"/>
                <w:sz w:val="22"/>
                <w:szCs w:val="22"/>
                <w:lang w:eastAsia="en-US"/>
              </w:rPr>
            </w:r>
          </w:p>
        </w:tc>
        <w:tc>
          <w:tcPr>
            <w:tcW w:w="5024"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Круглосуточных контроль за исправностью источников питания</w:t>
            </w:r>
          </w:p>
        </w:tc>
        <w:tc>
          <w:tcPr>
            <w:tcW w:w="170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snapToGrid w:val="false"/>
              <w:jc w:val="both"/>
              <w:rPr>
                <w:rFonts w:eastAsia="Calibri"/>
                <w:bCs/>
                <w:sz w:val="22"/>
                <w:szCs w:val="22"/>
                <w:lang w:eastAsia="en-US"/>
              </w:rPr>
            </w:pPr>
            <w:r>
              <w:rPr>
                <w:rFonts w:eastAsia="Calibri"/>
                <w:bCs/>
                <w:sz w:val="22"/>
                <w:szCs w:val="22"/>
                <w:lang w:eastAsia="en-US"/>
              </w:rPr>
            </w:r>
          </w:p>
        </w:tc>
        <w:tc>
          <w:tcPr>
            <w:tcW w:w="851"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c>
          <w:tcPr>
            <w:tcW w:w="850" w:type="dxa"/>
            <w:tcBorders>
              <w:top w:val="single" w:sz="4" w:space="0" w:color="000000"/>
              <w:start w:val="single" w:sz="4" w:space="0" w:color="000000"/>
              <w:bottom w:val="single" w:sz="4" w:space="0" w:color="000000"/>
              <w:end w:val="single" w:sz="4" w:space="0" w:color="000000"/>
            </w:tcBorders>
          </w:tcPr>
          <w:p>
            <w:pPr>
              <w:pStyle w:val="Normal"/>
              <w:suppressAutoHyphens w:val="false"/>
              <w:autoSpaceDE w:val="false"/>
              <w:jc w:val="both"/>
              <w:rPr>
                <w:rFonts w:eastAsia="Calibri"/>
                <w:sz w:val="22"/>
                <w:szCs w:val="22"/>
                <w:lang w:eastAsia="en-US"/>
              </w:rPr>
            </w:pPr>
            <w:r>
              <w:rPr>
                <w:rFonts w:eastAsia="Calibri"/>
                <w:sz w:val="22"/>
                <w:szCs w:val="22"/>
                <w:lang w:eastAsia="en-US"/>
              </w:rPr>
              <w:t>*</w:t>
            </w:r>
          </w:p>
        </w:tc>
      </w:tr>
    </w:tbl>
    <w:p>
      <w:pPr>
        <w:pStyle w:val="Normal"/>
        <w:suppressAutoHyphens w:val="false"/>
        <w:autoSpaceDE w:val="false"/>
        <w:jc w:val="both"/>
        <w:rPr>
          <w:rFonts w:eastAsia="Calibri"/>
          <w:color w:val="000000"/>
          <w:sz w:val="22"/>
          <w:szCs w:val="22"/>
          <w:lang w:eastAsia="en-US"/>
        </w:rPr>
      </w:pPr>
      <w:r>
        <w:rPr>
          <w:rFonts w:eastAsia="Calibri"/>
          <w:color w:val="000000"/>
          <w:sz w:val="22"/>
          <w:szCs w:val="22"/>
          <w:lang w:eastAsia="en-US"/>
        </w:rPr>
        <w:t>Периодичность проведения работ:</w:t>
      </w:r>
    </w:p>
    <w:p>
      <w:pPr>
        <w:pStyle w:val="Normal"/>
        <w:suppressAutoHyphens w:val="false"/>
        <w:autoSpaceDE w:val="false"/>
        <w:jc w:val="both"/>
        <w:rPr>
          <w:sz w:val="22"/>
          <w:szCs w:val="22"/>
        </w:rPr>
      </w:pPr>
      <w:r>
        <w:rPr>
          <w:rFonts w:eastAsia="Calibri"/>
          <w:color w:val="000000"/>
          <w:sz w:val="22"/>
          <w:szCs w:val="22"/>
          <w:lang w:eastAsia="en-US"/>
        </w:rPr>
        <w:t xml:space="preserve">ТО1-один раз в месяц </w:t>
      </w:r>
    </w:p>
    <w:p>
      <w:pPr>
        <w:pStyle w:val="Normal"/>
        <w:spacing w:lineRule="atLeast" w:line="100"/>
        <w:jc w:val="both"/>
        <w:rPr>
          <w:rFonts w:eastAsia="Calibri"/>
          <w:sz w:val="22"/>
          <w:szCs w:val="22"/>
          <w:lang w:eastAsia="en-US"/>
        </w:rPr>
      </w:pPr>
      <w:r>
        <w:rPr>
          <w:sz w:val="22"/>
          <w:szCs w:val="22"/>
        </w:rPr>
        <w:t>ТО2-один раз в шесть месяцев или при поступлении с объекта двух или более сообщений о неисправностях в течение 30 дней.</w:t>
      </w:r>
    </w:p>
    <w:p>
      <w:pPr>
        <w:pStyle w:val="Normal"/>
        <w:jc w:val="both"/>
        <w:rPr>
          <w:rFonts w:eastAsia="Calibri"/>
          <w:sz w:val="22"/>
          <w:szCs w:val="22"/>
          <w:lang w:eastAsia="en-US"/>
        </w:rPr>
      </w:pPr>
      <w:r>
        <w:rPr>
          <w:rFonts w:eastAsia="Calibri"/>
          <w:sz w:val="22"/>
          <w:szCs w:val="22"/>
          <w:lang w:eastAsia="en-US"/>
        </w:rPr>
      </w:r>
    </w:p>
    <w:p>
      <w:pPr>
        <w:pStyle w:val="Normal"/>
        <w:rPr>
          <w:rFonts w:eastAsia="Calibri"/>
          <w:sz w:val="2"/>
          <w:szCs w:val="22"/>
          <w:lang w:eastAsia="en-US"/>
        </w:rPr>
      </w:pPr>
      <w:r>
        <w:rPr>
          <w:rFonts w:eastAsia="Calibri"/>
          <w:sz w:val="2"/>
          <w:szCs w:val="22"/>
          <w:lang w:eastAsia="en-US"/>
        </w:rPr>
      </w:r>
    </w:p>
    <w:tbl>
      <w:tblPr>
        <w:tblW w:w="23643" w:type="dxa"/>
        <w:jc w:val="start"/>
        <w:tblInd w:w="355" w:type="dxa"/>
        <w:tblLayout w:type="fixed"/>
        <w:tblCellMar>
          <w:top w:w="0" w:type="dxa"/>
          <w:start w:w="108" w:type="dxa"/>
          <w:bottom w:w="0" w:type="dxa"/>
          <w:end w:w="108" w:type="dxa"/>
        </w:tblCellMar>
      </w:tblPr>
      <w:tblGrid>
        <w:gridCol w:w="4715"/>
        <w:gridCol w:w="4536"/>
        <w:gridCol w:w="4536"/>
        <w:gridCol w:w="3263"/>
        <w:gridCol w:w="2703"/>
        <w:gridCol w:w="3890"/>
      </w:tblGrid>
      <w:tr>
        <w:trPr/>
        <w:tc>
          <w:tcPr>
            <w:tcW w:w="4715" w:type="dxa"/>
            <w:tcBorders/>
          </w:tcPr>
          <w:p>
            <w:pPr>
              <w:pStyle w:val="Normal"/>
              <w:widowControl w:val="false"/>
              <w:tabs>
                <w:tab w:val="clear" w:pos="708"/>
                <w:tab w:val="left" w:pos="4678" w:leader="none"/>
              </w:tabs>
              <w:suppressAutoHyphens w:val="false"/>
              <w:snapToGrid w:val="false"/>
              <w:ind w:end="459"/>
              <w:jc w:val="both"/>
              <w:rPr>
                <w:b/>
                <w:bCs/>
                <w:sz w:val="24"/>
                <w:szCs w:val="24"/>
              </w:rPr>
            </w:pPr>
            <w:r>
              <w:rPr>
                <w:b/>
                <w:bCs/>
                <w:sz w:val="24"/>
                <w:szCs w:val="24"/>
              </w:rPr>
              <w:t xml:space="preserve">Заказчик: </w:t>
            </w:r>
          </w:p>
        </w:tc>
        <w:tc>
          <w:tcPr>
            <w:tcW w:w="4536" w:type="dxa"/>
            <w:tcBorders/>
          </w:tcPr>
          <w:p>
            <w:pPr>
              <w:pStyle w:val="Normal"/>
              <w:suppressAutoHyphens w:val="false"/>
              <w:spacing w:before="0" w:after="120"/>
              <w:jc w:val="both"/>
              <w:rPr>
                <w:b/>
                <w:sz w:val="22"/>
                <w:szCs w:val="22"/>
                <w:lang w:eastAsia="ru-RU"/>
              </w:rPr>
            </w:pPr>
            <w:r>
              <w:rPr>
                <w:b/>
                <w:sz w:val="22"/>
                <w:szCs w:val="22"/>
                <w:lang w:eastAsia="ru-RU"/>
              </w:rPr>
              <w:t>Исполнитель:</w:t>
            </w:r>
          </w:p>
        </w:tc>
        <w:tc>
          <w:tcPr>
            <w:tcW w:w="4536" w:type="dxa"/>
            <w:tcBorders/>
          </w:tcPr>
          <w:p>
            <w:pPr>
              <w:pStyle w:val="Normal"/>
              <w:suppressAutoHyphens w:val="false"/>
              <w:snapToGrid w:val="false"/>
              <w:spacing w:before="0" w:after="120"/>
              <w:jc w:val="both"/>
              <w:rPr>
                <w:b/>
                <w:sz w:val="22"/>
                <w:szCs w:val="22"/>
                <w:lang w:eastAsia="ru-RU"/>
              </w:rPr>
            </w:pPr>
            <w:r>
              <w:rPr>
                <w:b/>
                <w:sz w:val="22"/>
                <w:szCs w:val="22"/>
                <w:lang w:eastAsia="ru-RU"/>
              </w:rPr>
            </w:r>
          </w:p>
        </w:tc>
        <w:tc>
          <w:tcPr>
            <w:tcW w:w="3263" w:type="dxa"/>
            <w:tcBorders/>
          </w:tcPr>
          <w:p>
            <w:pPr>
              <w:pStyle w:val="Normal"/>
              <w:suppressAutoHyphens w:val="false"/>
              <w:autoSpaceDE w:val="false"/>
              <w:snapToGrid w:val="false"/>
              <w:spacing w:lineRule="exact" w:line="240"/>
              <w:jc w:val="both"/>
              <w:rPr>
                <w:b/>
                <w:sz w:val="22"/>
                <w:szCs w:val="22"/>
                <w:lang w:eastAsia="ru-RU"/>
              </w:rPr>
            </w:pPr>
            <w:r>
              <w:rPr>
                <w:b/>
                <w:sz w:val="22"/>
                <w:szCs w:val="22"/>
                <w:lang w:eastAsia="ru-RU"/>
              </w:rPr>
            </w:r>
          </w:p>
        </w:tc>
        <w:tc>
          <w:tcPr>
            <w:tcW w:w="2703" w:type="dxa"/>
            <w:tcBorders/>
          </w:tcPr>
          <w:p>
            <w:pPr>
              <w:pStyle w:val="Normal"/>
              <w:suppressAutoHyphens w:val="false"/>
              <w:autoSpaceDE w:val="false"/>
              <w:snapToGrid w:val="false"/>
              <w:spacing w:lineRule="exact" w:line="240"/>
              <w:jc w:val="both"/>
              <w:rPr>
                <w:b/>
                <w:sz w:val="22"/>
                <w:szCs w:val="22"/>
                <w:lang w:eastAsia="ru-RU"/>
              </w:rPr>
            </w:pPr>
            <w:r>
              <w:rPr>
                <w:b/>
                <w:sz w:val="22"/>
                <w:szCs w:val="22"/>
                <w:lang w:eastAsia="ru-RU"/>
              </w:rPr>
            </w:r>
          </w:p>
        </w:tc>
        <w:tc>
          <w:tcPr>
            <w:tcW w:w="3890" w:type="dxa"/>
            <w:tcBorders/>
          </w:tcPr>
          <w:p>
            <w:pPr>
              <w:pStyle w:val="Normal"/>
              <w:widowControl w:val="false"/>
              <w:suppressAutoHyphens w:val="false"/>
              <w:autoSpaceDE w:val="false"/>
              <w:snapToGrid w:val="false"/>
              <w:jc w:val="both"/>
              <w:rPr>
                <w:b/>
                <w:sz w:val="22"/>
                <w:szCs w:val="22"/>
                <w:lang w:eastAsia="ru-RU"/>
              </w:rPr>
            </w:pPr>
            <w:r>
              <w:rPr>
                <w:b/>
                <w:sz w:val="22"/>
                <w:szCs w:val="22"/>
                <w:lang w:eastAsia="ru-RU"/>
              </w:rPr>
            </w:r>
          </w:p>
        </w:tc>
      </w:tr>
      <w:tr>
        <w:trPr>
          <w:trHeight w:val="752" w:hRule="atLeast"/>
        </w:trPr>
        <w:tc>
          <w:tcPr>
            <w:tcW w:w="4715" w:type="dxa"/>
            <w:tcBorders/>
          </w:tcPr>
          <w:p>
            <w:pPr>
              <w:pStyle w:val="Normal"/>
              <w:widowControl w:val="false"/>
              <w:tabs>
                <w:tab w:val="clear" w:pos="708"/>
                <w:tab w:val="left" w:pos="4678" w:leader="none"/>
              </w:tabs>
              <w:suppressAutoHyphens w:val="false"/>
              <w:snapToGrid w:val="false"/>
              <w:ind w:end="459"/>
              <w:jc w:val="both"/>
              <w:rPr>
                <w:sz w:val="22"/>
                <w:szCs w:val="22"/>
              </w:rPr>
            </w:pPr>
            <w:r>
              <w:rPr>
                <w:color w:val="000000"/>
                <w:sz w:val="22"/>
                <w:szCs w:val="22"/>
              </w:rPr>
              <w:t>Название учреждение</w:t>
            </w:r>
          </w:p>
          <w:p>
            <w:pPr>
              <w:pStyle w:val="Normal"/>
              <w:tabs>
                <w:tab w:val="clear" w:pos="708"/>
                <w:tab w:val="left" w:pos="0" w:leader="none"/>
              </w:tabs>
              <w:spacing w:lineRule="atLeast" w:line="240"/>
              <w:rPr>
                <w:sz w:val="22"/>
                <w:szCs w:val="22"/>
              </w:rPr>
            </w:pPr>
            <w:r>
              <w:rPr>
                <w:sz w:val="22"/>
                <w:szCs w:val="22"/>
              </w:rPr>
              <w:t>МБДОУ «Детский сад с. Высокое</w:t>
            </w:r>
          </w:p>
          <w:p>
            <w:pPr>
              <w:pStyle w:val="Normal"/>
              <w:snapToGrid w:val="false"/>
              <w:spacing w:lineRule="auto" w:line="276"/>
              <w:rPr/>
            </w:pPr>
            <w:r>
              <w:rPr>
                <w:sz w:val="22"/>
                <w:szCs w:val="22"/>
              </w:rPr>
              <w:t>Саратовской области Красноармейского района»</w:t>
            </w:r>
            <w:r>
              <w:rPr>
                <w:b/>
                <w:sz w:val="22"/>
                <w:szCs w:val="22"/>
              </w:rPr>
              <w:t xml:space="preserve"> </w:t>
            </w:r>
          </w:p>
        </w:tc>
        <w:tc>
          <w:tcPr>
            <w:tcW w:w="4536" w:type="dxa"/>
            <w:tcBorders/>
          </w:tcPr>
          <w:p>
            <w:pPr>
              <w:pStyle w:val="Normal"/>
              <w:widowControl w:val="false"/>
              <w:suppressAutoHyphens w:val="false"/>
              <w:snapToGrid w:val="false"/>
              <w:jc w:val="both"/>
              <w:rPr>
                <w:b/>
                <w:color w:val="000000"/>
                <w:sz w:val="22"/>
                <w:szCs w:val="22"/>
                <w:lang w:eastAsia="ru-RU" w:bidi="ru-RU"/>
              </w:rPr>
            </w:pPr>
            <w:r>
              <w:rPr>
                <w:b/>
                <w:color w:val="000000"/>
                <w:sz w:val="22"/>
                <w:szCs w:val="22"/>
                <w:lang w:eastAsia="ru-RU" w:bidi="ru-RU"/>
              </w:rPr>
            </w:r>
          </w:p>
          <w:p>
            <w:pPr>
              <w:pStyle w:val="Normal"/>
              <w:widowControl w:val="false"/>
              <w:suppressAutoHyphens w:val="false"/>
              <w:jc w:val="both"/>
              <w:rPr>
                <w:rFonts w:eastAsia="Arial Unicode MS"/>
                <w:b/>
                <w:color w:val="000000"/>
                <w:sz w:val="22"/>
                <w:szCs w:val="22"/>
                <w:lang w:eastAsia="ru-RU" w:bidi="ru-RU"/>
              </w:rPr>
            </w:pPr>
            <w:r>
              <w:rPr>
                <w:rFonts w:eastAsia="Arial Unicode MS"/>
                <w:b/>
                <w:color w:val="000000"/>
                <w:sz w:val="22"/>
                <w:szCs w:val="22"/>
                <w:lang w:eastAsia="ru-RU" w:bidi="ru-RU"/>
              </w:rPr>
            </w:r>
          </w:p>
          <w:p>
            <w:pPr>
              <w:pStyle w:val="Normal"/>
              <w:widowControl w:val="false"/>
              <w:suppressAutoHyphens w:val="false"/>
              <w:jc w:val="both"/>
              <w:rPr>
                <w:rFonts w:eastAsia="Arial Unicode MS"/>
                <w:b/>
                <w:color w:val="000000"/>
                <w:sz w:val="22"/>
                <w:szCs w:val="22"/>
                <w:lang w:eastAsia="ru-RU" w:bidi="ru-RU"/>
              </w:rPr>
            </w:pPr>
            <w:r>
              <w:rPr>
                <w:rFonts w:eastAsia="Arial Unicode MS"/>
                <w:b/>
                <w:color w:val="000000"/>
                <w:sz w:val="22"/>
                <w:szCs w:val="22"/>
                <w:lang w:eastAsia="ru-RU" w:bidi="ru-RU"/>
              </w:rPr>
            </w:r>
          </w:p>
          <w:p>
            <w:pPr>
              <w:pStyle w:val="Normal"/>
              <w:widowControl w:val="false"/>
              <w:suppressAutoHyphens w:val="false"/>
              <w:jc w:val="both"/>
              <w:rPr>
                <w:rFonts w:eastAsia="Arial Unicode MS"/>
                <w:b/>
                <w:color w:val="000000"/>
                <w:sz w:val="22"/>
                <w:szCs w:val="22"/>
                <w:lang w:eastAsia="ru-RU" w:bidi="ru-RU"/>
              </w:rPr>
            </w:pPr>
            <w:r>
              <w:rPr>
                <w:rFonts w:eastAsia="Arial Unicode MS"/>
                <w:b/>
                <w:color w:val="000000"/>
                <w:sz w:val="22"/>
                <w:szCs w:val="22"/>
                <w:lang w:eastAsia="ru-RU" w:bidi="ru-RU"/>
              </w:rPr>
            </w:r>
          </w:p>
          <w:p>
            <w:pPr>
              <w:pStyle w:val="Normal"/>
              <w:widowControl w:val="false"/>
              <w:suppressAutoHyphens w:val="false"/>
              <w:jc w:val="both"/>
              <w:rPr>
                <w:rFonts w:eastAsia="Arial Unicode MS"/>
                <w:b/>
                <w:color w:val="000000"/>
                <w:sz w:val="22"/>
                <w:szCs w:val="22"/>
                <w:lang w:eastAsia="ru-RU" w:bidi="ru-RU"/>
              </w:rPr>
            </w:pPr>
            <w:r>
              <w:rPr>
                <w:rFonts w:eastAsia="Arial Unicode MS"/>
                <w:b/>
                <w:color w:val="000000"/>
                <w:sz w:val="22"/>
                <w:szCs w:val="22"/>
                <w:lang w:eastAsia="ru-RU" w:bidi="ru-RU"/>
              </w:rPr>
            </w:r>
          </w:p>
          <w:p>
            <w:pPr>
              <w:pStyle w:val="Normal"/>
              <w:widowControl w:val="false"/>
              <w:suppressAutoHyphens w:val="false"/>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4536" w:type="dxa"/>
            <w:tcBorders/>
          </w:tcPr>
          <w:p>
            <w:pPr>
              <w:pStyle w:val="Normal"/>
              <w:widowControl w:val="false"/>
              <w:suppressAutoHyphens w:val="false"/>
              <w:snapToGrid w:val="false"/>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3263" w:type="dxa"/>
            <w:tcBorders/>
          </w:tcPr>
          <w:p>
            <w:pPr>
              <w:pStyle w:val="Normal"/>
              <w:suppressAutoHyphens w:val="false"/>
              <w:autoSpaceDE w:val="false"/>
              <w:snapToGrid w:val="false"/>
              <w:spacing w:lineRule="exact" w:line="240"/>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2703" w:type="dxa"/>
            <w:tcBorders/>
          </w:tcPr>
          <w:p>
            <w:pPr>
              <w:pStyle w:val="Normal"/>
              <w:suppressAutoHyphens w:val="false"/>
              <w:autoSpaceDE w:val="false"/>
              <w:snapToGrid w:val="false"/>
              <w:spacing w:lineRule="exact" w:line="240"/>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3890" w:type="dxa"/>
            <w:tcBorders/>
          </w:tcPr>
          <w:p>
            <w:pPr>
              <w:pStyle w:val="Normal"/>
              <w:widowControl w:val="false"/>
              <w:suppressAutoHyphens w:val="false"/>
              <w:autoSpaceDE w:val="false"/>
              <w:snapToGrid w:val="false"/>
              <w:jc w:val="both"/>
              <w:rPr>
                <w:rFonts w:eastAsia="Arial Unicode MS"/>
                <w:b/>
                <w:color w:val="000000"/>
                <w:sz w:val="22"/>
                <w:szCs w:val="22"/>
                <w:lang w:eastAsia="ru-RU" w:bidi="ru-RU"/>
              </w:rPr>
            </w:pPr>
            <w:r>
              <w:rPr>
                <w:rFonts w:eastAsia="Arial Unicode MS"/>
                <w:b/>
                <w:color w:val="000000"/>
                <w:sz w:val="22"/>
                <w:szCs w:val="22"/>
                <w:lang w:eastAsia="ru-RU" w:bidi="ru-RU"/>
              </w:rPr>
            </w:r>
          </w:p>
        </w:tc>
      </w:tr>
      <w:tr>
        <w:trPr>
          <w:trHeight w:val="113" w:hRule="atLeast"/>
        </w:trPr>
        <w:tc>
          <w:tcPr>
            <w:tcW w:w="4715" w:type="dxa"/>
            <w:tcBorders/>
          </w:tcPr>
          <w:p>
            <w:pPr>
              <w:pStyle w:val="Normal"/>
              <w:rPr>
                <w:sz w:val="22"/>
                <w:szCs w:val="22"/>
                <w:u w:val="single"/>
                <w:lang w:val="ru-RU" w:eastAsia="ru-RU"/>
              </w:rPr>
            </w:pPr>
            <w:r>
              <w:rPr>
                <w:sz w:val="22"/>
                <w:szCs w:val="22"/>
              </w:rPr>
              <w:t>Почтовый адрес:412816 Саратовская обл. Красноармейский район с. Высокое, ул. Кооперативная, д.1</w:t>
            </w:r>
          </w:p>
          <w:p>
            <w:pPr>
              <w:pStyle w:val="Normal"/>
              <w:jc w:val="both"/>
              <w:rPr>
                <w:bCs/>
                <w:sz w:val="22"/>
                <w:szCs w:val="22"/>
              </w:rPr>
            </w:pPr>
            <w:r>
              <w:rPr>
                <w:sz w:val="22"/>
                <w:szCs w:val="22"/>
                <w:u w:val="single"/>
                <w:lang w:val="ru-RU" w:eastAsia="ru-RU"/>
              </w:rPr>
              <w:t xml:space="preserve">Тел/факс 89873656220 </w:t>
            </w:r>
          </w:p>
          <w:p>
            <w:pPr>
              <w:pStyle w:val="Normal"/>
              <w:rPr>
                <w:color w:val="000000"/>
                <w:sz w:val="22"/>
                <w:szCs w:val="22"/>
              </w:rPr>
            </w:pPr>
            <w:r>
              <w:rPr>
                <w:bCs/>
                <w:sz w:val="22"/>
                <w:szCs w:val="22"/>
              </w:rPr>
              <w:t xml:space="preserve">ИНН   </w:t>
            </w:r>
            <w:r>
              <w:rPr>
                <w:sz w:val="22"/>
                <w:szCs w:val="22"/>
              </w:rPr>
              <w:t>6442008744</w:t>
            </w:r>
          </w:p>
          <w:p>
            <w:pPr>
              <w:pStyle w:val="Normal"/>
              <w:rPr>
                <w:bCs/>
                <w:sz w:val="22"/>
                <w:szCs w:val="22"/>
              </w:rPr>
            </w:pPr>
            <w:r>
              <w:rPr>
                <w:color w:val="000000"/>
                <w:sz w:val="22"/>
                <w:szCs w:val="22"/>
              </w:rPr>
              <w:t>Банк: Отделение Саратов Банка России//УФК по Саратовской области, г. Саратов</w:t>
            </w:r>
            <w:r>
              <w:rPr>
                <w:bCs/>
                <w:sz w:val="22"/>
                <w:szCs w:val="22"/>
              </w:rPr>
              <w:br/>
            </w:r>
            <w:r>
              <w:rPr>
                <w:sz w:val="22"/>
                <w:szCs w:val="22"/>
                <w:u w:val="single"/>
                <w:lang w:val="ru-RU" w:eastAsia="ru-RU"/>
              </w:rPr>
              <w:t xml:space="preserve">Банковские </w:t>
            </w:r>
            <w:r>
              <w:rPr>
                <w:sz w:val="22"/>
                <w:szCs w:val="22"/>
                <w:u w:val="single"/>
              </w:rPr>
              <w:t xml:space="preserve">реквизиты: </w:t>
              <w:br/>
            </w:r>
            <w:r>
              <w:rPr>
                <w:bCs/>
                <w:sz w:val="22"/>
                <w:szCs w:val="22"/>
                <w:lang w:val="ru-RU" w:eastAsia="ru-RU"/>
              </w:rPr>
              <w:t xml:space="preserve">Р/счет </w:t>
            </w:r>
            <w:r>
              <w:rPr>
                <w:color w:val="000000"/>
                <w:sz w:val="22"/>
                <w:szCs w:val="22"/>
              </w:rPr>
              <w:t>03234643636220006000</w:t>
            </w:r>
          </w:p>
          <w:p>
            <w:pPr>
              <w:pStyle w:val="Normal"/>
              <w:jc w:val="both"/>
              <w:rPr>
                <w:bCs/>
                <w:sz w:val="22"/>
                <w:szCs w:val="22"/>
              </w:rPr>
            </w:pPr>
            <w:r>
              <w:rPr>
                <w:bCs/>
                <w:sz w:val="22"/>
                <w:szCs w:val="22"/>
              </w:rPr>
              <w:t xml:space="preserve">К/счет </w:t>
            </w:r>
            <w:r>
              <w:rPr>
                <w:color w:val="000000"/>
                <w:sz w:val="22"/>
                <w:szCs w:val="22"/>
              </w:rPr>
              <w:t>40102810845370000052</w:t>
            </w:r>
          </w:p>
          <w:p>
            <w:pPr>
              <w:pStyle w:val="Normal"/>
              <w:jc w:val="both"/>
              <w:rPr>
                <w:color w:val="000000"/>
                <w:sz w:val="22"/>
                <w:szCs w:val="22"/>
              </w:rPr>
            </w:pPr>
            <w:r>
              <w:rPr>
                <w:bCs/>
                <w:sz w:val="22"/>
                <w:szCs w:val="22"/>
              </w:rPr>
              <w:t xml:space="preserve">БИК </w:t>
            </w:r>
            <w:r>
              <w:rPr>
                <w:color w:val="000000"/>
                <w:sz w:val="22"/>
                <w:szCs w:val="22"/>
              </w:rPr>
              <w:t>016311121</w:t>
            </w:r>
          </w:p>
          <w:p>
            <w:pPr>
              <w:pStyle w:val="Normal"/>
              <w:jc w:val="both"/>
              <w:rPr>
                <w:color w:val="000000"/>
                <w:sz w:val="22"/>
                <w:szCs w:val="22"/>
              </w:rPr>
            </w:pPr>
            <w:r>
              <w:rPr>
                <w:color w:val="000000"/>
                <w:sz w:val="22"/>
                <w:szCs w:val="22"/>
              </w:rPr>
              <w:t>КПП 644201001</w:t>
            </w:r>
          </w:p>
          <w:p>
            <w:pPr>
              <w:pStyle w:val="Normal"/>
              <w:ind w:firstLine="72" w:end="0"/>
              <w:jc w:val="both"/>
              <w:rPr>
                <w:color w:val="000000"/>
                <w:sz w:val="22"/>
                <w:szCs w:val="22"/>
              </w:rPr>
            </w:pPr>
            <w:r>
              <w:rPr>
                <w:color w:val="000000"/>
                <w:sz w:val="22"/>
                <w:szCs w:val="22"/>
              </w:rPr>
            </w:r>
          </w:p>
          <w:p>
            <w:pPr>
              <w:pStyle w:val="Normal"/>
              <w:ind w:firstLine="72" w:end="0"/>
              <w:jc w:val="both"/>
              <w:rPr>
                <w:sz w:val="22"/>
                <w:szCs w:val="22"/>
                <w:u w:val="single"/>
              </w:rPr>
            </w:pPr>
            <w:r>
              <w:rPr>
                <w:b/>
                <w:sz w:val="22"/>
                <w:szCs w:val="22"/>
              </w:rPr>
              <w:t>Руководитель</w:t>
            </w:r>
          </w:p>
          <w:p>
            <w:pPr>
              <w:pStyle w:val="Normal"/>
              <w:jc w:val="both"/>
              <w:rPr>
                <w:rFonts w:eastAsia="Arial Unicode MS"/>
                <w:b/>
                <w:sz w:val="22"/>
                <w:szCs w:val="22"/>
              </w:rPr>
            </w:pPr>
            <w:r>
              <w:rPr>
                <w:sz w:val="22"/>
                <w:szCs w:val="22"/>
                <w:u w:val="single"/>
              </w:rPr>
              <w:t>Калиева Р.И.</w:t>
            </w:r>
            <w:r>
              <w:rPr>
                <w:sz w:val="22"/>
                <w:szCs w:val="22"/>
              </w:rPr>
              <w:t xml:space="preserve">    /______________/</w:t>
            </w:r>
          </w:p>
          <w:p>
            <w:pPr>
              <w:pStyle w:val="Normal"/>
              <w:autoSpaceDE w:val="false"/>
              <w:rPr>
                <w:rFonts w:eastAsia="Arial Unicode MS"/>
                <w:b/>
                <w:sz w:val="22"/>
                <w:szCs w:val="22"/>
              </w:rPr>
            </w:pPr>
            <w:r>
              <w:rPr>
                <w:rFonts w:eastAsia="Arial Unicode MS"/>
                <w:b/>
                <w:sz w:val="22"/>
                <w:szCs w:val="22"/>
              </w:rPr>
              <w:t>М.п.</w:t>
            </w:r>
          </w:p>
        </w:tc>
        <w:tc>
          <w:tcPr>
            <w:tcW w:w="4536" w:type="dxa"/>
            <w:tcBorders/>
          </w:tcPr>
          <w:p>
            <w:pPr>
              <w:pStyle w:val="Normal"/>
              <w:widowControl w:val="false"/>
              <w:suppressAutoHyphens w:val="false"/>
              <w:snapToGrid w:val="false"/>
              <w:jc w:val="both"/>
              <w:rPr>
                <w:b/>
                <w:color w:val="000000"/>
                <w:sz w:val="22"/>
                <w:szCs w:val="22"/>
                <w:lang w:eastAsia="ru-RU" w:bidi="ru-RU"/>
              </w:rPr>
            </w:pPr>
            <w:r>
              <w:rPr>
                <w:b/>
                <w:color w:val="000000"/>
                <w:sz w:val="22"/>
                <w:szCs w:val="22"/>
                <w:lang w:eastAsia="ru-RU" w:bidi="ru-RU"/>
              </w:rPr>
            </w:r>
          </w:p>
        </w:tc>
        <w:tc>
          <w:tcPr>
            <w:tcW w:w="4536" w:type="dxa"/>
            <w:tcBorders/>
          </w:tcPr>
          <w:p>
            <w:pPr>
              <w:pStyle w:val="Normal"/>
              <w:widowControl w:val="false"/>
              <w:suppressAutoHyphens w:val="false"/>
              <w:snapToGrid w:val="false"/>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3263" w:type="dxa"/>
            <w:tcBorders/>
          </w:tcPr>
          <w:p>
            <w:pPr>
              <w:pStyle w:val="Normal"/>
              <w:suppressAutoHyphens w:val="false"/>
              <w:autoSpaceDE w:val="false"/>
              <w:snapToGrid w:val="false"/>
              <w:spacing w:lineRule="exact" w:line="240"/>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2703" w:type="dxa"/>
            <w:tcBorders/>
          </w:tcPr>
          <w:p>
            <w:pPr>
              <w:pStyle w:val="Normal"/>
              <w:suppressAutoHyphens w:val="false"/>
              <w:autoSpaceDE w:val="false"/>
              <w:snapToGrid w:val="false"/>
              <w:spacing w:lineRule="exact" w:line="240"/>
              <w:jc w:val="both"/>
              <w:rPr>
                <w:rFonts w:eastAsia="Arial Unicode MS"/>
                <w:b/>
                <w:color w:val="000000"/>
                <w:sz w:val="22"/>
                <w:szCs w:val="22"/>
                <w:lang w:eastAsia="ru-RU" w:bidi="ru-RU"/>
              </w:rPr>
            </w:pPr>
            <w:r>
              <w:rPr>
                <w:rFonts w:eastAsia="Arial Unicode MS"/>
                <w:b/>
                <w:color w:val="000000"/>
                <w:sz w:val="22"/>
                <w:szCs w:val="22"/>
                <w:lang w:eastAsia="ru-RU" w:bidi="ru-RU"/>
              </w:rPr>
            </w:r>
          </w:p>
        </w:tc>
        <w:tc>
          <w:tcPr>
            <w:tcW w:w="3890" w:type="dxa"/>
            <w:tcBorders/>
          </w:tcPr>
          <w:p>
            <w:pPr>
              <w:pStyle w:val="Normal"/>
              <w:widowControl w:val="false"/>
              <w:suppressAutoHyphens w:val="false"/>
              <w:autoSpaceDE w:val="false"/>
              <w:snapToGrid w:val="false"/>
              <w:jc w:val="both"/>
              <w:rPr>
                <w:rFonts w:eastAsia="Arial Unicode MS"/>
                <w:b/>
                <w:color w:val="000000"/>
                <w:sz w:val="22"/>
                <w:szCs w:val="22"/>
                <w:lang w:eastAsia="ru-RU" w:bidi="ru-RU"/>
              </w:rPr>
            </w:pPr>
            <w:r>
              <w:rPr>
                <w:rFonts w:eastAsia="Arial Unicode MS"/>
                <w:b/>
                <w:color w:val="000000"/>
                <w:sz w:val="22"/>
                <w:szCs w:val="22"/>
                <w:lang w:eastAsia="ru-RU" w:bidi="ru-RU"/>
              </w:rPr>
            </w:r>
          </w:p>
        </w:tc>
      </w:tr>
    </w:tbl>
    <w:p>
      <w:pPr>
        <w:pStyle w:val="Normal"/>
        <w:rPr>
          <w:rFonts w:eastAsia="Calibri"/>
          <w:sz w:val="24"/>
          <w:lang w:eastAsia="en-US"/>
        </w:rPr>
      </w:pPr>
      <w:r>
        <w:rPr>
          <w:rFonts w:eastAsia="Calibri"/>
          <w:sz w:val="24"/>
          <w:lang w:eastAsia="en-US"/>
        </w:rPr>
      </w:r>
    </w:p>
    <w:sectPr>
      <w:type w:val="nextPage"/>
      <w:pgSz w:w="11906" w:h="16838"/>
      <w:pgMar w:left="1080" w:right="850" w:gutter="0" w:header="0" w:top="426" w:footer="0" w:bottom="71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Segoe UI">
    <w:charset w:val="cc" w:characterSet="windows-1251"/>
    <w:family w:val="swiss"/>
    <w:pitch w:val="variable"/>
  </w:font>
  <w:font w:name="Arial">
    <w:charset w:val="cc" w:characterSet="windows-1251"/>
    <w:family w:val="swiss"/>
    <w:pitch w:val="variable"/>
  </w:font>
  <w:font w:name="Times New Roman">
    <w:charset w:val="01"/>
    <w:family w:val="roman"/>
    <w:pitch w:val="variable"/>
  </w:font>
  <w:font w:name="Courier New">
    <w:charset w:val="cc" w:characterSet="windows-125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firstLine="170"/>
      </w:pPr>
      <w:rPr>
        <w:sz w:val="24"/>
        <w:szCs w:val="24"/>
      </w:rPr>
    </w:lvl>
    <w:lvl w:ilvl="1">
      <w:start w:val="1"/>
      <w:isLgl/>
      <w:numFmt w:val="decimal"/>
      <w:lvlText w:val="%1.%2."/>
      <w:lvlJc w:val="start"/>
      <w:pPr>
        <w:tabs>
          <w:tab w:val="num" w:pos="0"/>
        </w:tabs>
        <w:ind w:start="0" w:firstLine="360"/>
      </w:pPr>
      <w:rPr/>
    </w:lvl>
    <w:lvl w:ilvl="2">
      <w:start w:val="1"/>
      <w:isLgl/>
      <w:numFmt w:val="decimal"/>
      <w:lvlText w:val="%1.%2.%3."/>
      <w:lvlJc w:val="start"/>
      <w:pPr>
        <w:tabs>
          <w:tab w:val="num" w:pos="0"/>
        </w:tabs>
        <w:ind w:start="1080" w:hanging="720"/>
      </w:pPr>
      <w:rPr/>
    </w:lvl>
    <w:lvl w:ilvl="3">
      <w:start w:val="1"/>
      <w:isLgl/>
      <w:numFmt w:val="decimal"/>
      <w:lvlText w:val="%1.%2.%3.%4."/>
      <w:lvlJc w:val="start"/>
      <w:pPr>
        <w:tabs>
          <w:tab w:val="num" w:pos="0"/>
        </w:tabs>
        <w:ind w:start="1080" w:hanging="720"/>
      </w:pPr>
      <w:rPr/>
    </w:lvl>
    <w:lvl w:ilvl="4">
      <w:start w:val="1"/>
      <w:isLgl/>
      <w:numFmt w:val="decimal"/>
      <w:lvlText w:val="%1.%2.%3.%4.%5."/>
      <w:lvlJc w:val="start"/>
      <w:pPr>
        <w:tabs>
          <w:tab w:val="num" w:pos="0"/>
        </w:tabs>
        <w:ind w:start="1440" w:hanging="1080"/>
      </w:pPr>
      <w:rPr/>
    </w:lvl>
    <w:lvl w:ilvl="5">
      <w:start w:val="1"/>
      <w:isLgl/>
      <w:numFmt w:val="decimal"/>
      <w:lvlText w:val="%1.%2.%3.%4.%5.%6."/>
      <w:lvlJc w:val="start"/>
      <w:pPr>
        <w:tabs>
          <w:tab w:val="num" w:pos="0"/>
        </w:tabs>
        <w:ind w:start="1440" w:hanging="1080"/>
      </w:pPr>
      <w:rPr/>
    </w:lvl>
    <w:lvl w:ilvl="6">
      <w:start w:val="1"/>
      <w:isLgl/>
      <w:numFmt w:val="decimal"/>
      <w:lvlText w:val="%1.%2.%3.%4.%5.%6.%7."/>
      <w:lvlJc w:val="start"/>
      <w:pPr>
        <w:tabs>
          <w:tab w:val="num" w:pos="0"/>
        </w:tabs>
        <w:ind w:start="1800" w:hanging="1440"/>
      </w:pPr>
      <w:rPr/>
    </w:lvl>
    <w:lvl w:ilvl="7">
      <w:start w:val="1"/>
      <w:isLgl/>
      <w:numFmt w:val="decimal"/>
      <w:lvlText w:val="%1.%2.%3.%4.%5.%6.%7.%8."/>
      <w:lvlJc w:val="start"/>
      <w:pPr>
        <w:tabs>
          <w:tab w:val="num" w:pos="0"/>
        </w:tabs>
        <w:ind w:start="1800" w:hanging="1440"/>
      </w:pPr>
      <w:rPr/>
    </w:lvl>
    <w:lvl w:ilvl="8">
      <w:start w:val="1"/>
      <w:isLgl/>
      <w:numFmt w:val="decimal"/>
      <w:lvlText w:val="%1.%2.%3.%4.%5.%6.%7.%8.%9."/>
      <w:lvlJc w:val="start"/>
      <w:pPr>
        <w:tabs>
          <w:tab w:val="num" w:pos="0"/>
        </w:tabs>
        <w:ind w:start="2160" w:hanging="1800"/>
      </w:pPr>
      <w:rPr/>
    </w:lvl>
  </w:abstractNum>
  <w:abstractNum w:abstractNumId="2">
    <w:lvl w:ilvl="0">
      <w:start w:val="5"/>
      <w:numFmt w:val="decimal"/>
      <w:lvlText w:val="%1."/>
      <w:lvlJc w:val="start"/>
      <w:pPr>
        <w:tabs>
          <w:tab w:val="num" w:pos="708"/>
        </w:tabs>
        <w:ind w:start="450" w:hanging="450"/>
      </w:pPr>
      <w:rPr/>
    </w:lvl>
    <w:lvl w:ilvl="1">
      <w:start w:val="1"/>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800" w:hanging="180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2160" w:hanging="2160"/>
      </w:pPr>
      <w:rPr/>
    </w:lvl>
  </w:abstractNum>
  <w:abstractNum w:abstractNumId="3">
    <w:lvl w:ilvl="0">
      <w:start w:val="1"/>
      <w:numFmt w:val="decimal"/>
      <w:lvlText w:val="%1."/>
      <w:lvlJc w:val="start"/>
      <w:pPr>
        <w:tabs>
          <w:tab w:val="num" w:pos="708"/>
        </w:tabs>
        <w:ind w:start="720" w:hanging="360"/>
      </w:pPr>
      <w:rPr/>
    </w:lvl>
    <w:lvl w:ilvl="1">
      <w:start w:val="1"/>
      <w:isLgl/>
      <w:numFmt w:val="decimal"/>
      <w:lvlText w:val="%1.%2."/>
      <w:lvlJc w:val="start"/>
      <w:pPr>
        <w:tabs>
          <w:tab w:val="num" w:pos="708"/>
        </w:tabs>
        <w:ind w:start="1080" w:hanging="720"/>
      </w:pPr>
      <w:rPr/>
    </w:lvl>
    <w:lvl w:ilvl="2">
      <w:start w:val="1"/>
      <w:isLgl/>
      <w:numFmt w:val="decimal"/>
      <w:lvlText w:val="%1.%2.%3."/>
      <w:lvlJc w:val="start"/>
      <w:pPr>
        <w:tabs>
          <w:tab w:val="num" w:pos="0"/>
        </w:tabs>
        <w:ind w:start="1080" w:hanging="720"/>
      </w:pPr>
      <w:rPr/>
    </w:lvl>
    <w:lvl w:ilvl="3">
      <w:start w:val="1"/>
      <w:isLgl/>
      <w:numFmt w:val="decimal"/>
      <w:lvlText w:val="%1.%2.%3.%4."/>
      <w:lvlJc w:val="start"/>
      <w:pPr>
        <w:tabs>
          <w:tab w:val="num" w:pos="0"/>
        </w:tabs>
        <w:ind w:start="1440" w:hanging="1080"/>
      </w:pPr>
      <w:rPr/>
    </w:lvl>
    <w:lvl w:ilvl="4">
      <w:start w:val="1"/>
      <w:isLgl/>
      <w:numFmt w:val="decimal"/>
      <w:lvlText w:val="%1.%2.%3.%4.%5."/>
      <w:lvlJc w:val="start"/>
      <w:pPr>
        <w:tabs>
          <w:tab w:val="num" w:pos="0"/>
        </w:tabs>
        <w:ind w:start="1440" w:hanging="1080"/>
      </w:pPr>
      <w:rPr/>
    </w:lvl>
    <w:lvl w:ilvl="5">
      <w:start w:val="1"/>
      <w:isLgl/>
      <w:numFmt w:val="decimal"/>
      <w:lvlText w:val="%1.%2.%3.%4.%5.%6."/>
      <w:lvlJc w:val="start"/>
      <w:pPr>
        <w:tabs>
          <w:tab w:val="num" w:pos="0"/>
        </w:tabs>
        <w:ind w:start="1800" w:hanging="1440"/>
      </w:pPr>
      <w:rPr/>
    </w:lvl>
    <w:lvl w:ilvl="6">
      <w:start w:val="1"/>
      <w:isLgl/>
      <w:numFmt w:val="decimal"/>
      <w:lvlText w:val="%1.%2.%3.%4.%5.%6.%7."/>
      <w:lvlJc w:val="start"/>
      <w:pPr>
        <w:tabs>
          <w:tab w:val="num" w:pos="0"/>
        </w:tabs>
        <w:ind w:start="2160" w:hanging="1800"/>
      </w:pPr>
      <w:rPr/>
    </w:lvl>
    <w:lvl w:ilvl="7">
      <w:start w:val="1"/>
      <w:isLgl/>
      <w:numFmt w:val="decimal"/>
      <w:lvlText w:val="%1.%2.%3.%4.%5.%6.%7.%8."/>
      <w:lvlJc w:val="start"/>
      <w:pPr>
        <w:tabs>
          <w:tab w:val="num" w:pos="0"/>
        </w:tabs>
        <w:ind w:start="2160" w:hanging="1800"/>
      </w:pPr>
      <w:rPr/>
    </w:lvl>
    <w:lvl w:ilvl="8">
      <w:start w:val="1"/>
      <w:isLgl/>
      <w:numFmt w:val="decimal"/>
      <w:lvlText w:val="%1.%2.%3.%4.%5.%6.%7.%8.%9."/>
      <w:lvlJc w:val="start"/>
      <w:pPr>
        <w:tabs>
          <w:tab w:val="num" w:pos="0"/>
        </w:tabs>
        <w:ind w:start="2520" w:hanging="2160"/>
      </w:pPr>
      <w:rPr/>
    </w:lvl>
  </w:abstractNum>
  <w:abstractNum w:abstractNumId="4">
    <w:lvl w:ilvl="0">
      <w:numFmt w:val="bullet"/>
      <w:lvlText w:val="-"/>
      <w:lvlJc w:val="start"/>
      <w:pPr>
        <w:tabs>
          <w:tab w:val="num" w:pos="0"/>
        </w:tabs>
        <w:ind w:start="0" w:hanging="0"/>
      </w:pPr>
      <w:rPr>
        <w:rFonts w:ascii="Times New Roman" w:hAnsi="Times New Roman" w:cs="Times New Roman" w:hint="default"/>
      </w:rPr>
    </w:lvl>
    <w:lvl w:ilvl="1">
      <w:start w:val="0"/>
      <w:numFmt w:val="bullet"/>
      <w:lvlText w:val="o"/>
      <w:lvlJc w:val="start"/>
      <w:pPr>
        <w:tabs>
          <w:tab w:val="num" w:pos="0"/>
        </w:tabs>
        <w:ind w:start="0" w:hanging="0"/>
      </w:pPr>
      <w:rPr>
        <w:rFonts w:ascii="Courier New" w:hAnsi="Courier New" w:cs="Courier New" w:hint="default"/>
      </w:rPr>
    </w:lvl>
    <w:lvl w:ilvl="2">
      <w:start w:val="0"/>
      <w:numFmt w:val="bullet"/>
      <w:lvlText w:val=""/>
      <w:lvlJc w:val="start"/>
      <w:pPr>
        <w:tabs>
          <w:tab w:val="num" w:pos="0"/>
        </w:tabs>
        <w:ind w:start="0" w:hanging="0"/>
      </w:pPr>
      <w:rPr>
        <w:rFonts w:ascii="Wingdings" w:hAnsi="Wingdings" w:cs="Wingdings" w:hint="default"/>
      </w:rPr>
    </w:lvl>
    <w:lvl w:ilvl="3">
      <w:start w:val="0"/>
      <w:numFmt w:val="bullet"/>
      <w:lvlText w:val=""/>
      <w:lvlJc w:val="start"/>
      <w:pPr>
        <w:tabs>
          <w:tab w:val="num" w:pos="0"/>
        </w:tabs>
        <w:ind w:start="0" w:hanging="0"/>
      </w:pPr>
      <w:rPr>
        <w:rFonts w:ascii="Symbol" w:hAnsi="Symbol" w:cs="Symbol" w:hint="default"/>
      </w:rPr>
    </w:lvl>
    <w:lvl w:ilvl="4">
      <w:start w:val="0"/>
      <w:numFmt w:val="bullet"/>
      <w:lvlText w:val="o"/>
      <w:lvlJc w:val="start"/>
      <w:pPr>
        <w:tabs>
          <w:tab w:val="num" w:pos="0"/>
        </w:tabs>
        <w:ind w:start="0" w:hanging="0"/>
      </w:pPr>
      <w:rPr>
        <w:rFonts w:ascii="Courier New" w:hAnsi="Courier New" w:cs="Courier New" w:hint="default"/>
      </w:rPr>
    </w:lvl>
    <w:lvl w:ilvl="5">
      <w:start w:val="0"/>
      <w:numFmt w:val="bullet"/>
      <w:lvlText w:val=""/>
      <w:lvlJc w:val="start"/>
      <w:pPr>
        <w:tabs>
          <w:tab w:val="num" w:pos="0"/>
        </w:tabs>
        <w:ind w:start="0" w:hanging="0"/>
      </w:pPr>
      <w:rPr>
        <w:rFonts w:ascii="Wingdings" w:hAnsi="Wingdings" w:cs="Wingdings" w:hint="default"/>
      </w:rPr>
    </w:lvl>
    <w:lvl w:ilvl="6">
      <w:start w:val="0"/>
      <w:numFmt w:val="bullet"/>
      <w:lvlText w:val=""/>
      <w:lvlJc w:val="start"/>
      <w:pPr>
        <w:tabs>
          <w:tab w:val="num" w:pos="0"/>
        </w:tabs>
        <w:ind w:start="0" w:hanging="0"/>
      </w:pPr>
      <w:rPr>
        <w:rFonts w:ascii="Symbol" w:hAnsi="Symbol" w:cs="Symbol" w:hint="default"/>
      </w:rPr>
    </w:lvl>
    <w:lvl w:ilvl="7">
      <w:start w:val="0"/>
      <w:numFmt w:val="bullet"/>
      <w:lvlText w:val="o"/>
      <w:lvlJc w:val="start"/>
      <w:pPr>
        <w:tabs>
          <w:tab w:val="num" w:pos="0"/>
        </w:tabs>
        <w:ind w:start="0" w:hanging="0"/>
      </w:pPr>
      <w:rPr>
        <w:rFonts w:ascii="Courier New" w:hAnsi="Courier New" w:cs="Courier New" w:hint="default"/>
      </w:rPr>
    </w:lvl>
    <w:lvl w:ilvl="8">
      <w:start w:val="0"/>
      <w:numFmt w:val="bullet"/>
      <w:lvlText w:val=""/>
      <w:lvlJc w:val="start"/>
      <w:pPr>
        <w:tabs>
          <w:tab w:val="num" w:pos="0"/>
        </w:tabs>
        <w:ind w:start="0" w:hanging="0"/>
      </w:pPr>
      <w:rPr>
        <w:rFonts w:ascii="Wingdings" w:hAnsi="Wingdings" w:cs="Wingdings" w:hint="default"/>
      </w:rPr>
    </w:lvl>
  </w:abstractNum>
  <w:abstractNum w:abstractNumId="5">
    <w:lvl w:ilvl="0">
      <w:start w:val="8"/>
      <w:numFmt w:val="decimal"/>
      <w:lvlText w:val="%1."/>
      <w:lvlJc w:val="start"/>
      <w:pPr>
        <w:tabs>
          <w:tab w:val="num" w:pos="0"/>
        </w:tabs>
        <w:ind w:start="390" w:hanging="390"/>
      </w:pPr>
      <w:rPr>
        <w:color w:val="000000"/>
      </w:rPr>
    </w:lvl>
    <w:lvl w:ilvl="1">
      <w:start w:val="1"/>
      <w:numFmt w:val="decimal"/>
      <w:lvlText w:val="%1.%2."/>
      <w:lvlJc w:val="start"/>
      <w:pPr>
        <w:tabs>
          <w:tab w:val="num" w:pos="708"/>
        </w:tabs>
        <w:ind w:start="720" w:hanging="720"/>
      </w:pPr>
      <w:rPr>
        <w:color w:val="000000"/>
      </w:rPr>
    </w:lvl>
    <w:lvl w:ilvl="2">
      <w:start w:val="1"/>
      <w:numFmt w:val="decimal"/>
      <w:lvlText w:val="%1.%2.%3."/>
      <w:lvlJc w:val="start"/>
      <w:pPr>
        <w:tabs>
          <w:tab w:val="num" w:pos="0"/>
        </w:tabs>
        <w:ind w:start="720" w:hanging="720"/>
      </w:pPr>
      <w:rPr>
        <w:color w:val="000000"/>
      </w:rPr>
    </w:lvl>
    <w:lvl w:ilvl="3">
      <w:start w:val="1"/>
      <w:numFmt w:val="decimal"/>
      <w:lvlText w:val="%1.%2.%3.%4."/>
      <w:lvlJc w:val="start"/>
      <w:pPr>
        <w:tabs>
          <w:tab w:val="num" w:pos="0"/>
        </w:tabs>
        <w:ind w:start="1080" w:hanging="1080"/>
      </w:pPr>
      <w:rPr>
        <w:color w:val="000000"/>
      </w:rPr>
    </w:lvl>
    <w:lvl w:ilvl="4">
      <w:start w:val="1"/>
      <w:numFmt w:val="decimal"/>
      <w:lvlText w:val="%1.%2.%3.%4.%5."/>
      <w:lvlJc w:val="start"/>
      <w:pPr>
        <w:tabs>
          <w:tab w:val="num" w:pos="0"/>
        </w:tabs>
        <w:ind w:start="1080" w:hanging="1080"/>
      </w:pPr>
      <w:rPr>
        <w:color w:val="000000"/>
      </w:rPr>
    </w:lvl>
    <w:lvl w:ilvl="5">
      <w:start w:val="1"/>
      <w:numFmt w:val="decimal"/>
      <w:lvlText w:val="%1.%2.%3.%4.%5.%6."/>
      <w:lvlJc w:val="start"/>
      <w:pPr>
        <w:tabs>
          <w:tab w:val="num" w:pos="0"/>
        </w:tabs>
        <w:ind w:start="1440" w:hanging="1440"/>
      </w:pPr>
      <w:rPr>
        <w:color w:val="000000"/>
      </w:rPr>
    </w:lvl>
    <w:lvl w:ilvl="6">
      <w:start w:val="1"/>
      <w:numFmt w:val="decimal"/>
      <w:lvlText w:val="%1.%2.%3.%4.%5.%6.%7."/>
      <w:lvlJc w:val="start"/>
      <w:pPr>
        <w:tabs>
          <w:tab w:val="num" w:pos="0"/>
        </w:tabs>
        <w:ind w:start="1440" w:hanging="1440"/>
      </w:pPr>
      <w:rPr>
        <w:color w:val="000000"/>
      </w:rPr>
    </w:lvl>
    <w:lvl w:ilvl="7">
      <w:start w:val="1"/>
      <w:numFmt w:val="decimal"/>
      <w:lvlText w:val="%1.%2.%3.%4.%5.%6.%7.%8."/>
      <w:lvlJc w:val="start"/>
      <w:pPr>
        <w:tabs>
          <w:tab w:val="num" w:pos="0"/>
        </w:tabs>
        <w:ind w:start="1800" w:hanging="1800"/>
      </w:pPr>
      <w:rPr>
        <w:color w:val="000000"/>
      </w:rPr>
    </w:lvl>
    <w:lvl w:ilvl="8">
      <w:start w:val="1"/>
      <w:numFmt w:val="decimal"/>
      <w:lvlText w:val="%1.%2.%3.%4.%5.%6.%7.%8.%9."/>
      <w:lvlJc w:val="start"/>
      <w:pPr>
        <w:tabs>
          <w:tab w:val="num" w:pos="0"/>
        </w:tabs>
        <w:ind w:start="2160" w:hanging="2160"/>
      </w:pPr>
      <w:rPr>
        <w:color w:val="000000"/>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8"/>
  <w:autoHyphenation w:val="true"/>
  <w:compat>
    <w:doNotExpandShiftReturn/>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8"/>
      <w:szCs w:val="24"/>
      <w:lang w:val="ru-RU" w:eastAsia="zh-CN" w:bidi="ar-SA"/>
    </w:rPr>
  </w:style>
  <w:style w:type="character" w:styleId="WW8Num1z0">
    <w:name w:val="WW8Num1z0"/>
    <w:qFormat/>
    <w:rPr>
      <w:sz w:val="24"/>
      <w:szCs w:val="24"/>
    </w:rPr>
  </w:style>
  <w:style w:type="character" w:styleId="WW8Num1z1">
    <w:name w:val="WW8Num1z1"/>
    <w:qFormat/>
    <w:rPr/>
  </w:style>
  <w:style w:type="character" w:styleId="WW8Num2z0">
    <w:name w:val="WW8Num2z0"/>
    <w:qFormat/>
    <w:rPr/>
  </w:style>
  <w:style w:type="character" w:styleId="WW8Num3z0">
    <w:name w:val="WW8Num3z0"/>
    <w:qFormat/>
    <w:rPr/>
  </w:style>
  <w:style w:type="character" w:styleId="WW8Num4z0">
    <w:name w:val="WW8Num4z0"/>
    <w:qFormat/>
    <w:rPr>
      <w:rFonts w:ascii="Times New Roman" w:hAnsi="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color w:val="00000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6z0">
    <w:name w:val="WW8Num6z0"/>
    <w:qFormat/>
    <w:rPr/>
  </w:style>
  <w:style w:type="character" w:styleId="WW8Num7z0">
    <w:name w:val="WW8Num7z0"/>
    <w:qFormat/>
    <w:rPr/>
  </w:style>
  <w:style w:type="character" w:styleId="WW8Num8z0">
    <w:name w:val="WW8Num8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2"/>
      <w:sz w:val="22"/>
      <w:szCs w:val="22"/>
      <w:u w:val="none"/>
      <w:vertAlign w:val="baseline"/>
      <w:lang w:val="ru-RU" w:bidi="ru-RU"/>
    </w:rPr>
  </w:style>
  <w:style w:type="character" w:styleId="WW8Num8z1">
    <w:name w:val="WW8Num8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2"/>
      <w:sz w:val="22"/>
      <w:szCs w:val="22"/>
      <w:u w:val="none"/>
      <w:vertAlign w:val="baseline"/>
      <w:lang w:val="ru-RU" w:bidi="ru-RU"/>
    </w:rPr>
  </w:style>
  <w:style w:type="character" w:styleId="WW8Num8z3">
    <w:name w:val="WW8Num8z3"/>
    <w:qFormat/>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style>
  <w:style w:type="character" w:styleId="WW8Num11z0">
    <w:name w:val="WW8Num11z0"/>
    <w:qFormat/>
    <w:rPr>
      <w:color w:val="000000"/>
    </w:rPr>
  </w:style>
  <w:style w:type="character" w:styleId="Style14">
    <w:name w:val="Основной шрифт абзаца"/>
    <w:qFormat/>
    <w:rPr/>
  </w:style>
  <w:style w:type="character" w:styleId="1">
    <w:name w:val="Основной шрифт абзаца1"/>
    <w:qFormat/>
    <w:rPr/>
  </w:style>
  <w:style w:type="character" w:styleId="s1">
    <w:name w:val="s1"/>
    <w:basedOn w:val="Style14"/>
    <w:qFormat/>
    <w:rPr/>
  </w:style>
  <w:style w:type="character" w:styleId="s2">
    <w:name w:val="s2"/>
    <w:basedOn w:val="Style14"/>
    <w:qFormat/>
    <w:rPr/>
  </w:style>
  <w:style w:type="character" w:styleId="apple-converted-space">
    <w:name w:val="apple-converted-space"/>
    <w:basedOn w:val="Style14"/>
    <w:qFormat/>
    <w:rPr/>
  </w:style>
  <w:style w:type="character" w:styleId="s3">
    <w:name w:val="s3"/>
    <w:basedOn w:val="Style14"/>
    <w:qFormat/>
    <w:rPr/>
  </w:style>
  <w:style w:type="character" w:styleId="s4">
    <w:name w:val="s4"/>
    <w:basedOn w:val="Style14"/>
    <w:qFormat/>
    <w:rPr/>
  </w:style>
  <w:style w:type="character" w:styleId="s5">
    <w:name w:val="s5"/>
    <w:basedOn w:val="Style14"/>
    <w:qFormat/>
    <w:rPr/>
  </w:style>
  <w:style w:type="character" w:styleId="s6">
    <w:name w:val="s6"/>
    <w:basedOn w:val="Style14"/>
    <w:qFormat/>
    <w:rPr/>
  </w:style>
  <w:style w:type="character" w:styleId="Style15">
    <w:name w:val="Верхний колонтитул Знак"/>
    <w:qFormat/>
    <w:rPr>
      <w:sz w:val="28"/>
      <w:szCs w:val="24"/>
    </w:rPr>
  </w:style>
  <w:style w:type="character" w:styleId="Style16">
    <w:name w:val="Нижний колонтитул Знак"/>
    <w:qFormat/>
    <w:rPr>
      <w:sz w:val="28"/>
      <w:szCs w:val="24"/>
    </w:rPr>
  </w:style>
  <w:style w:type="character" w:styleId="Style17">
    <w:name w:val="Текст выноски Знак"/>
    <w:qFormat/>
    <w:rPr>
      <w:rFonts w:ascii="Segoe UI" w:hAnsi="Segoe UI" w:cs="Segoe UI"/>
      <w:sz w:val="18"/>
      <w:szCs w:val="18"/>
    </w:rPr>
  </w:style>
  <w:style w:type="character" w:styleId="Hyperlink">
    <w:name w:val="Hyperlink"/>
    <w:rPr>
      <w:color w:val="0563C1"/>
      <w:u w:val="single"/>
    </w:rPr>
  </w:style>
  <w:style w:type="character" w:styleId="Style18">
    <w:name w:val="Упомянуть"/>
    <w:qFormat/>
    <w:rPr>
      <w:color w:val="2B579A"/>
      <w:shd w:fill="E6E6E6" w:val="clear"/>
    </w:rPr>
  </w:style>
  <w:style w:type="character" w:styleId="Style19">
    <w:name w:val="Неразрешенное упоминание"/>
    <w:qFormat/>
    <w:rPr>
      <w:color w:val="808080"/>
      <w:shd w:fill="E6E6E6" w:val="clear"/>
    </w:rPr>
  </w:style>
  <w:style w:type="character" w:styleId="blk">
    <w:name w:val="blk"/>
    <w:qFormat/>
    <w:rPr/>
  </w:style>
  <w:style w:type="character" w:styleId="FollowedHyperlink">
    <w:name w:val="FollowedHyperlink"/>
    <w:rPr>
      <w:color w:val="800080"/>
      <w:u w:val="single"/>
    </w:rPr>
  </w:style>
  <w:style w:type="paragraph" w:styleId="Style20">
    <w:name w:val="Заголовок"/>
    <w:basedOn w:val="Normal"/>
    <w:next w:val="BodyText"/>
    <w:qFormat/>
    <w:pPr>
      <w:keepNext w:val="true"/>
      <w:spacing w:before="240" w:after="120"/>
    </w:pPr>
    <w:rPr>
      <w:rFonts w:ascii="Arial" w:hAnsi="Arial" w:eastAsia="Lucida Sans Unicode" w:cs="Tahoma"/>
      <w:sz w:val="28"/>
      <w:szCs w:val="28"/>
    </w:rPr>
  </w:style>
  <w:style w:type="paragraph" w:styleId="BodyText">
    <w:name w:val="Body Text"/>
    <w:basedOn w:val="Normal"/>
    <w:pPr>
      <w:spacing w:before="0" w:after="120"/>
    </w:pPr>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11">
    <w:name w:val="Название1"/>
    <w:basedOn w:val="Normal"/>
    <w:qFormat/>
    <w:pPr>
      <w:suppressLineNumbers/>
      <w:spacing w:before="120" w:after="120"/>
    </w:pPr>
    <w:rPr>
      <w:rFonts w:ascii="Arial" w:hAnsi="Arial" w:cs="Tahoma"/>
      <w:i/>
      <w:iCs/>
      <w:sz w:val="24"/>
      <w:szCs w:val="24"/>
    </w:rPr>
  </w:style>
  <w:style w:type="paragraph" w:styleId="12">
    <w:name w:val="Указатель1"/>
    <w:basedOn w:val="Normal"/>
    <w:qFormat/>
    <w:pPr>
      <w:suppressLineNumbers/>
    </w:pPr>
    <w:rPr>
      <w:rFonts w:ascii="Arial" w:hAnsi="Arial" w:cs="Tahoma"/>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p1">
    <w:name w:val="p1"/>
    <w:basedOn w:val="Normal"/>
    <w:qFormat/>
    <w:pPr>
      <w:suppressAutoHyphens w:val="false"/>
      <w:spacing w:before="280" w:after="280"/>
    </w:pPr>
    <w:rPr>
      <w:sz w:val="24"/>
    </w:rPr>
  </w:style>
  <w:style w:type="paragraph" w:styleId="p2">
    <w:name w:val="p2"/>
    <w:basedOn w:val="Normal"/>
    <w:qFormat/>
    <w:pPr>
      <w:suppressAutoHyphens w:val="false"/>
      <w:spacing w:before="280" w:after="280"/>
    </w:pPr>
    <w:rPr>
      <w:sz w:val="24"/>
    </w:rPr>
  </w:style>
  <w:style w:type="paragraph" w:styleId="p3">
    <w:name w:val="p3"/>
    <w:basedOn w:val="Normal"/>
    <w:qFormat/>
    <w:pPr>
      <w:suppressAutoHyphens w:val="false"/>
      <w:spacing w:before="280" w:after="280"/>
    </w:pPr>
    <w:rPr>
      <w:sz w:val="24"/>
    </w:rPr>
  </w:style>
  <w:style w:type="paragraph" w:styleId="p4">
    <w:name w:val="p4"/>
    <w:basedOn w:val="Normal"/>
    <w:qFormat/>
    <w:pPr>
      <w:suppressAutoHyphens w:val="false"/>
      <w:spacing w:before="280" w:after="280"/>
    </w:pPr>
    <w:rPr>
      <w:sz w:val="24"/>
    </w:rPr>
  </w:style>
  <w:style w:type="paragraph" w:styleId="p5">
    <w:name w:val="p5"/>
    <w:basedOn w:val="Normal"/>
    <w:qFormat/>
    <w:pPr>
      <w:suppressAutoHyphens w:val="false"/>
      <w:spacing w:before="280" w:after="280"/>
    </w:pPr>
    <w:rPr>
      <w:sz w:val="24"/>
    </w:rPr>
  </w:style>
  <w:style w:type="paragraph" w:styleId="p6">
    <w:name w:val="p6"/>
    <w:basedOn w:val="Normal"/>
    <w:qFormat/>
    <w:pPr>
      <w:suppressAutoHyphens w:val="false"/>
      <w:spacing w:before="280" w:after="280"/>
    </w:pPr>
    <w:rPr>
      <w:sz w:val="24"/>
    </w:rPr>
  </w:style>
  <w:style w:type="paragraph" w:styleId="p7">
    <w:name w:val="p7"/>
    <w:basedOn w:val="Normal"/>
    <w:qFormat/>
    <w:pPr>
      <w:suppressAutoHyphens w:val="false"/>
      <w:spacing w:before="280" w:after="280"/>
    </w:pPr>
    <w:rPr>
      <w:sz w:val="24"/>
    </w:rPr>
  </w:style>
  <w:style w:type="paragraph" w:styleId="p8">
    <w:name w:val="p8"/>
    <w:basedOn w:val="Normal"/>
    <w:qFormat/>
    <w:pPr>
      <w:suppressAutoHyphens w:val="false"/>
      <w:spacing w:before="280" w:after="280"/>
    </w:pPr>
    <w:rPr>
      <w:sz w:val="24"/>
    </w:rPr>
  </w:style>
  <w:style w:type="paragraph" w:styleId="p9">
    <w:name w:val="p9"/>
    <w:basedOn w:val="Normal"/>
    <w:qFormat/>
    <w:pPr>
      <w:suppressAutoHyphens w:val="false"/>
      <w:spacing w:before="280" w:after="280"/>
    </w:pPr>
    <w:rPr>
      <w:sz w:val="24"/>
    </w:rPr>
  </w:style>
  <w:style w:type="paragraph" w:styleId="p10">
    <w:name w:val="p10"/>
    <w:basedOn w:val="Normal"/>
    <w:qFormat/>
    <w:pPr>
      <w:suppressAutoHyphens w:val="false"/>
      <w:spacing w:before="280" w:after="280"/>
    </w:pPr>
    <w:rPr>
      <w:sz w:val="24"/>
    </w:rPr>
  </w:style>
  <w:style w:type="paragraph" w:styleId="p11">
    <w:name w:val="p11"/>
    <w:basedOn w:val="Normal"/>
    <w:qFormat/>
    <w:pPr>
      <w:suppressAutoHyphens w:val="false"/>
      <w:spacing w:before="280" w:after="280"/>
    </w:pPr>
    <w:rPr>
      <w:sz w:val="24"/>
    </w:rPr>
  </w:style>
  <w:style w:type="paragraph" w:styleId="p12">
    <w:name w:val="p12"/>
    <w:basedOn w:val="Normal"/>
    <w:qFormat/>
    <w:pPr>
      <w:suppressAutoHyphens w:val="false"/>
      <w:spacing w:before="280" w:after="280"/>
    </w:pPr>
    <w:rPr>
      <w:sz w:val="24"/>
    </w:rPr>
  </w:style>
  <w:style w:type="paragraph" w:styleId="Style2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lang w:val="ru-RU"/>
    </w:rPr>
  </w:style>
  <w:style w:type="paragraph" w:styleId="Footer">
    <w:name w:val="Footer"/>
    <w:basedOn w:val="Normal"/>
    <w:pPr>
      <w:tabs>
        <w:tab w:val="clear" w:pos="708"/>
        <w:tab w:val="center" w:pos="4677" w:leader="none"/>
        <w:tab w:val="right" w:pos="9355" w:leader="none"/>
      </w:tabs>
    </w:pPr>
    <w:rPr>
      <w:lang w:val="ru-RU"/>
    </w:rPr>
  </w:style>
  <w:style w:type="paragraph" w:styleId="Standard">
    <w:name w:val="Standard"/>
    <w:qFormat/>
    <w:pPr>
      <w:widowControl/>
      <w:suppressAutoHyphens w:val="true"/>
      <w:bidi w:val="0"/>
      <w:textAlignment w:val="baseline"/>
    </w:pPr>
    <w:rPr>
      <w:rFonts w:ascii="Times New Roman" w:hAnsi="Times New Roman" w:eastAsia="Times New Roman" w:cs="Times New Roman"/>
      <w:color w:val="auto"/>
      <w:kern w:val="2"/>
      <w:sz w:val="24"/>
      <w:szCs w:val="24"/>
      <w:lang w:val="ru-RU" w:eastAsia="zh-CN" w:bidi="ar-SA"/>
    </w:rPr>
  </w:style>
  <w:style w:type="paragraph" w:styleId="Style25">
    <w:name w:val="Текст выноски"/>
    <w:basedOn w:val="Normal"/>
    <w:qFormat/>
    <w:pPr/>
    <w:rPr>
      <w:rFonts w:ascii="Segoe UI" w:hAnsi="Segoe UI" w:cs="Segoe UI"/>
      <w:sz w:val="18"/>
      <w:szCs w:val="18"/>
      <w:lang w:val="ru-RU"/>
    </w:rPr>
  </w:style>
  <w:style w:type="paragraph" w:styleId="ConsPlusNormal">
    <w:name w:val="ConsPlusNormal"/>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21">
    <w:name w:val="Основной текст 21"/>
    <w:basedOn w:val="Normal"/>
    <w:qFormat/>
    <w:pPr>
      <w:jc w:val="both"/>
    </w:pPr>
    <w:rPr>
      <w:sz w:val="24"/>
      <w:szCs w:val="20"/>
    </w:rPr>
  </w:style>
  <w:style w:type="paragraph" w:styleId="Style26">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499011838"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98</TotalTime>
  <Application>LibreOffice/24.2.4.2$Windows_X86_64 LibreOffice_project/51a6219feb6075d9a4c46691dcfe0cd9c4fff3c2</Application>
  <AppVersion>15.0000</AppVersion>
  <Pages>17</Pages>
  <Words>4444</Words>
  <Characters>32862</Characters>
  <CharactersWithSpaces>37501</CharactersWithSpaces>
  <Paragraphs>350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2023-12-04T12:04:00Z</dcterms:created>
  <dc:creator>Артемов В.В.</dc:creator>
  <dc:description/>
  <dc:language>ru-RU</dc:language>
  <cp:lastModifiedBy/>
  <cp:lastPrinted>2024-12-24T13:20:00Z</cp:lastPrinted>
  <dcterms:modified xsi:type="dcterms:W3CDTF">2026-08-13T10:11:23Z</dcterms:modified>
  <cp:revision>28</cp:revision>
  <dc:subject/>
  <dc:title>Действительна по «______» __________________ 200____ г</dc:title>
</cp:coreProperties>
</file>