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90FA8" w14:textId="52DA6398" w:rsidR="006375EC" w:rsidRDefault="00992B42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b/>
          <w:color w:val="000000"/>
          <w:sz w:val="20"/>
          <w:szCs w:val="20"/>
          <w:lang w:eastAsia="ru-RU"/>
        </w:rPr>
        <w:t xml:space="preserve">ДОГОВОР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174"/>
      </w:tblGrid>
      <w:tr w:rsidR="00110181" w14:paraId="34E2E013" w14:textId="77777777" w:rsidTr="00110181">
        <w:tc>
          <w:tcPr>
            <w:tcW w:w="5352" w:type="dxa"/>
          </w:tcPr>
          <w:p w14:paraId="3F8A58E7" w14:textId="3E36121E" w:rsidR="00110181" w:rsidRPr="00110181" w:rsidRDefault="00C538D8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Барнаул</w:t>
            </w:r>
            <w:r w:rsidR="001B3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5353" w:type="dxa"/>
          </w:tcPr>
          <w:p w14:paraId="39816A96" w14:textId="46761020" w:rsidR="00110181" w:rsidRPr="00110181" w:rsidRDefault="00983F17" w:rsidP="0009443D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  <w:r w:rsidR="00C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9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EBAFBBC" w14:textId="77777777" w:rsidR="006375EC" w:rsidRPr="008339CF" w:rsidRDefault="006375EC" w:rsidP="0097309B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66585C65" w14:textId="289178AF" w:rsidR="00111DC4" w:rsidRPr="008339CF" w:rsidRDefault="00992B42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</w:t>
      </w:r>
      <w:r w:rsidR="00FF5362" w:rsidRPr="00FF5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именуемое в дальнейшем «Поставщик», </w:t>
      </w:r>
      <w:r w:rsidR="001B3990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</w:t>
      </w:r>
      <w:r w:rsidR="00266ED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F5362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________________________</w:t>
      </w:r>
      <w:r w:rsidR="0061523E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375EC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</w:t>
      </w:r>
      <w:r w:rsidR="006375EC" w:rsidRPr="00FF53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B39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</w:t>
      </w:r>
      <w:r w:rsidR="001B39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етное учреждение «Федеральный центр травматологии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1B39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ортопедии и </w:t>
      </w:r>
      <w:proofErr w:type="spellStart"/>
      <w:r w:rsidR="001B39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эндопротезирования</w:t>
      </w:r>
      <w:proofErr w:type="spellEnd"/>
      <w:r w:rsidR="001B39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Барнаул)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заместителя главного врача по экономическим вопросам</w:t>
      </w:r>
      <w:r w:rsid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Рощипкина</w:t>
      </w:r>
      <w:proofErr w:type="spellEnd"/>
      <w:r w:rsid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Николая Николаевича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установленном п. 4 ч. 1 ст. 93 Федерального</w:t>
      </w:r>
      <w:proofErr w:type="gramEnd"/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0F1B" w:rsidRP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на основании п.4 ч.1 ст.93 44-ФЗ от 05.04.2013г. «О контрактной системе в сфере закупок товаров, работ, услуг для обеспечения государственных и 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униципальных нужд» (ИКЗ 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261222513070022250100100040000000000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="00620F1B" w:rsidRPr="00620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заключили договор о нижеследующем:</w:t>
      </w:r>
      <w:proofErr w:type="gramEnd"/>
    </w:p>
    <w:p w14:paraId="66DD8DB1" w14:textId="77777777"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14:paraId="5C91BAEE" w14:textId="77777777"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браслетов идентификационных для пациентов </w:t>
      </w:r>
      <w:r w:rsidRPr="00122B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5DBD316C" w14:textId="77777777" w:rsidR="00122B8E" w:rsidRPr="000831E9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14:paraId="3E1DEAD4" w14:textId="77777777"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C6A4C1" w14:textId="77777777"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14:paraId="0BAB3C82" w14:textId="77777777" w:rsidR="00E33632" w:rsidRDefault="00E33632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14:paraId="433D0A23" w14:textId="77777777" w:rsidR="00E33632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7BAC26D" w14:textId="77777777" w:rsidR="00EB26E1" w:rsidRP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14:paraId="72C17DAD" w14:textId="77777777" w:rsid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14:paraId="03FF4AE4" w14:textId="77777777" w:rsid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3E8B5D0" w14:textId="77777777" w:rsidR="00EB26E1" w:rsidRDefault="00EB26E1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14:paraId="4193D41D" w14:textId="77777777" w:rsidR="00EB26E1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бязуется поставить Товар для Заказчика надлежащего качества в объеме, сроки, ус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</w:p>
    <w:p w14:paraId="5F3D3792" w14:textId="77777777" w:rsidR="004705B7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14:paraId="4A89D07A" w14:textId="77777777" w:rsidR="004705B7" w:rsidRPr="000831E9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14:paraId="240FBC80" w14:textId="77777777"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BF4EB9" w14:textId="77777777"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14:paraId="683BC8FA" w14:textId="77777777" w:rsidR="004705B7" w:rsidRDefault="004705B7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 поставляется на склад Заказчика транспортом Поставщика. Риск утраты или порчи Товара в процессе его поставки несет Поставщик до перехода права собственности на Товар Заказчику.</w:t>
      </w:r>
    </w:p>
    <w:p w14:paraId="5899FA62" w14:textId="77777777" w:rsidR="004705B7" w:rsidRDefault="004705B7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="00CF1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Барнаул, ул. </w:t>
      </w:r>
      <w:proofErr w:type="spellStart"/>
      <w:r w:rsidR="00CF1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Ляпидевского</w:t>
      </w:r>
      <w:proofErr w:type="spellEnd"/>
      <w:r w:rsidR="00CF1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1/3.</w:t>
      </w:r>
    </w:p>
    <w:p w14:paraId="26275A18" w14:textId="77777777" w:rsidR="004705B7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EB8120D" w14:textId="33A2D8E6" w:rsidR="00E05A25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 поставля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</w:t>
      </w:r>
      <w:r w:rsidR="008D52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41E6A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936384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="008D2448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16CC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</w:t>
      </w:r>
      <w:r w:rsidR="00CF13EC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>их</w:t>
      </w:r>
      <w:r w:rsidR="00741E6A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</w:t>
      </w:r>
      <w:r w:rsidR="00CF13EC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741E6A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заключения договора</w:t>
      </w:r>
      <w:r w:rsidR="00926CE8" w:rsidRP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F63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рабочее время</w:t>
      </w:r>
      <w:r w:rsidR="00CF1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15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:00 (время местное).</w:t>
      </w:r>
    </w:p>
    <w:p w14:paraId="06995392" w14:textId="77777777" w:rsidR="00E05A25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</w:t>
      </w:r>
      <w:r w:rsidR="00CF13EC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Поставщик обязан предоставить с  Товаром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327A928" w14:textId="77777777" w:rsidR="00E05A25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391484F" w14:textId="77777777" w:rsidR="00B95029" w:rsidRDefault="00872927" w:rsidP="00B9502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14:paraId="578FE44D" w14:textId="77777777" w:rsidR="00C009B2" w:rsidRPr="00B95029" w:rsidRDefault="0013797D" w:rsidP="00B9502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F7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дней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14:paraId="46364380" w14:textId="77777777"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</w:t>
      </w:r>
      <w:r w:rsidR="00314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универсальный передаточный документ,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 – фактуру</w:t>
      </w:r>
      <w:r w:rsidR="00314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, счет с обязательным указание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14:paraId="2AC86410" w14:textId="77777777"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B37621" w14:textId="77777777"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14:paraId="53C7B24B" w14:textId="77777777"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14:paraId="2F0FCD13" w14:textId="7C06DCD9"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proofErr w:type="gramStart"/>
      <w:r w:rsidR="00992B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_______________________</w:t>
      </w:r>
      <w:r w:rsidR="00C538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992B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</w:t>
      </w:r>
      <w:r w:rsidR="00C538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proofErr w:type="gramEnd"/>
      <w:r w:rsidR="00C538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рублей 00</w:t>
      </w:r>
      <w:r w:rsidR="00CF13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копеек, </w:t>
      </w:r>
      <w:r w:rsidR="00CF13EC" w:rsidRPr="00C538D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НДС не облагается/с НДС.</w:t>
      </w:r>
    </w:p>
    <w:p w14:paraId="0C3B25FA" w14:textId="77777777"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14:paraId="542C93A7" w14:textId="77777777"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Заказчик осуществляет оплату путем перечисления денежных средств </w:t>
      </w:r>
      <w:proofErr w:type="gramStart"/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расчетный счет Поставщика по факту поставки Товара в полном объеме на склад Заказчика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</w:t>
      </w:r>
      <w:proofErr w:type="gramEnd"/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14:paraId="4D295179" w14:textId="77777777"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52766B3" w14:textId="77777777"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39BAF68" w14:textId="77777777"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6A4DC1B" w14:textId="77777777"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14:paraId="0D9CE1E9" w14:textId="77777777" w:rsidR="00D927B1" w:rsidRPr="00D927B1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14:paraId="569362E9" w14:textId="77777777" w:rsidR="00926CE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14:paraId="6F46787B" w14:textId="77777777" w:rsidR="00926CE8" w:rsidRPr="00926CE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14:paraId="7D88FFD7" w14:textId="77777777" w:rsidR="0039279D" w:rsidRPr="0039279D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14:paraId="0BCBD05F" w14:textId="77777777" w:rsidR="000A49BC" w:rsidRPr="0037077A" w:rsidRDefault="0039279D" w:rsidP="00CF13E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14:paraId="25058A54" w14:textId="77777777" w:rsidR="0039279D" w:rsidRPr="00D7279A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988CBC" w14:textId="77777777"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14:paraId="575BE86E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 несут ответственность  в соответствии с действующим законодательством Российской Федерации.</w:t>
      </w:r>
    </w:p>
    <w:p w14:paraId="7BF09F85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5924B02B" w14:textId="77777777"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истечения 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14:paraId="6F874F63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 и составляет 1000 (одна) тысяча рублей 00 копеек. </w:t>
      </w:r>
    </w:p>
    <w:p w14:paraId="34FD8D24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14:paraId="7E1C616F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  <w:proofErr w:type="gramEnd"/>
    </w:p>
    <w:p w14:paraId="21D2EAD8" w14:textId="64AB4484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 устанавливается в размере 10% от цены Договора за каждый факт неисполнения 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proofErr w:type="gramStart"/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2B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92B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33673C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</w:t>
      </w:r>
      <w:r w:rsidR="005D0904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C538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</w:t>
      </w:r>
      <w:r w:rsidR="00FF3D48"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587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14:paraId="33881C56" w14:textId="77777777"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7B3EE1B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1CC233A3" w14:textId="77777777"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143C609" w14:textId="77777777"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0112E9A" w14:textId="77777777"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2E356991" w14:textId="77777777"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1FAC2E" w14:textId="77777777"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14:paraId="241D3349" w14:textId="0869B4F7"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992B4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14:paraId="0F453171" w14:textId="77777777"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14:paraId="6C867F2F" w14:textId="77777777"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вправе подать иск о расторжении Договора в суд, а также направить Поставщику письменное уведомление о невыполнении обязатель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</w:t>
      </w:r>
      <w:proofErr w:type="gramEnd"/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14:paraId="7ECA24AF" w14:textId="77777777"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BEE3C18" w14:textId="77777777"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14:paraId="6D843B8F" w14:textId="77777777"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14:paraId="04EDCACC" w14:textId="77777777"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14:paraId="3189B2AD" w14:textId="77777777"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986407" w14:textId="77777777"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14:paraId="13421778" w14:textId="77777777" w:rsidR="005262BE" w:rsidRPr="0037077A" w:rsidRDefault="0037077A" w:rsidP="0037077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07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 заключен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настоящий Контракт в письменном виде в 2 (двух) экземплярах, по одному для каждой из Сторон.</w:t>
      </w:r>
    </w:p>
    <w:p w14:paraId="698B0F89" w14:textId="77777777"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возникновения споров Стороны обязуются принять все меры для их разрешения путем договорённости. При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по спорному вопросу, спор по инициативе одной из Сторон разрешается в Арбитражном </w:t>
      </w:r>
      <w:r w:rsidR="0037077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 Алтайского края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соблюдением досудебного порядка урегулирования споров. Срок ответа на претензию – 10 календарных дней.</w:t>
      </w:r>
    </w:p>
    <w:p w14:paraId="16DFFCC6" w14:textId="77777777"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14:paraId="29F0F107" w14:textId="77777777"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5B5CC2" w14:textId="77777777"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5221"/>
      </w:tblGrid>
      <w:tr w:rsidR="00634EEC" w:rsidRPr="0033673C" w14:paraId="4BAAA56A" w14:textId="77777777" w:rsidTr="00E35C98">
        <w:trPr>
          <w:trHeight w:val="2409"/>
        </w:trPr>
        <w:tc>
          <w:tcPr>
            <w:tcW w:w="5352" w:type="dxa"/>
          </w:tcPr>
          <w:p w14:paraId="1B022F55" w14:textId="77777777"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14:paraId="28B970C2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«ФЦТОЭ» Минздрава России (г. Барнаул)</w:t>
            </w:r>
          </w:p>
          <w:p w14:paraId="6D278E3A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2188396A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656045, РФ, Алтайский край, г. Барнаул, </w:t>
            </w:r>
          </w:p>
          <w:p w14:paraId="020F5208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Ляпидевского</w:t>
            </w:r>
            <w:proofErr w:type="spellEnd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1/3</w:t>
            </w:r>
          </w:p>
          <w:p w14:paraId="20CAAB10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 (3852)297-501, 297-510, koral010@yandex.ru</w:t>
            </w:r>
          </w:p>
          <w:p w14:paraId="1A115A76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получателя: УФК по Новосибирской области  (ФГБУ «ФЦТОЭ» Минздрава России (г. Барнаул), </w:t>
            </w:r>
            <w:proofErr w:type="gramStart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/c 20176Ш58250, 22176Ш58250, 21176Ш58250) </w:t>
            </w:r>
          </w:p>
          <w:p w14:paraId="26C81C96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2225130700</w:t>
            </w:r>
          </w:p>
          <w:p w14:paraId="65FD776A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222501001</w:t>
            </w:r>
          </w:p>
          <w:p w14:paraId="47DAFDF1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01701000</w:t>
            </w:r>
          </w:p>
          <w:p w14:paraId="374CD7A0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03214643000000015104</w:t>
            </w:r>
          </w:p>
          <w:p w14:paraId="19F8DD22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40102810445370000043</w:t>
            </w:r>
          </w:p>
          <w:p w14:paraId="7B482A2E" w14:textId="77777777" w:rsidR="00992B42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015004950</w:t>
            </w:r>
          </w:p>
          <w:p w14:paraId="02A9481E" w14:textId="1A8715D5" w:rsidR="002E1D43" w:rsidRPr="00261B8C" w:rsidRDefault="00992B42" w:rsidP="00261B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ОКЦ № 1 </w:t>
            </w:r>
            <w:proofErr w:type="spellStart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СибГУ</w:t>
            </w:r>
            <w:proofErr w:type="spellEnd"/>
            <w:r w:rsidRPr="00261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Новосибирской области  г. Новосибирск                                                                                                                </w:t>
            </w:r>
          </w:p>
        </w:tc>
        <w:tc>
          <w:tcPr>
            <w:tcW w:w="5353" w:type="dxa"/>
          </w:tcPr>
          <w:p w14:paraId="33406AB6" w14:textId="77777777" w:rsidR="00634EEC" w:rsidRPr="0037077A" w:rsidRDefault="00DE24B6" w:rsidP="003707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37077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37077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14:paraId="494A8A5B" w14:textId="77777777" w:rsidR="0033673C" w:rsidRPr="00A2221C" w:rsidRDefault="0033673C" w:rsidP="00992B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EEC" w14:paraId="7B2747BB" w14:textId="77777777" w:rsidTr="00E35C98">
        <w:tc>
          <w:tcPr>
            <w:tcW w:w="10705" w:type="dxa"/>
            <w:gridSpan w:val="2"/>
          </w:tcPr>
          <w:p w14:paraId="6C98C3F9" w14:textId="77777777"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14:paraId="3BA319F3" w14:textId="77777777"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14:paraId="4E252540" w14:textId="77777777" w:rsidTr="00E35C98">
        <w:trPr>
          <w:trHeight w:val="1176"/>
        </w:trPr>
        <w:tc>
          <w:tcPr>
            <w:tcW w:w="5352" w:type="dxa"/>
          </w:tcPr>
          <w:p w14:paraId="2CF7C393" w14:textId="77777777"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14:paraId="3816B4F2" w14:textId="29B40599" w:rsidR="00634EEC" w:rsidRDefault="00992B42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Заместитель главного врача по экономическим вопросам</w:t>
            </w:r>
          </w:p>
          <w:p w14:paraId="5A2879E2" w14:textId="77777777"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14:paraId="5DD8C85D" w14:textId="77777777" w:rsidR="00634EEC" w:rsidRPr="00634EEC" w:rsidRDefault="003B13E7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</w:t>
            </w: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 w:rsidR="00370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Н.Н. </w:t>
            </w:r>
            <w:proofErr w:type="spellStart"/>
            <w:r w:rsidR="00370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Рощипкин</w:t>
            </w:r>
            <w:proofErr w:type="spellEnd"/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14:paraId="608B7BE3" w14:textId="77777777"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14:paraId="621CA714" w14:textId="77777777"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14:paraId="14625F82" w14:textId="77777777" w:rsidR="00634EEC" w:rsidRDefault="00634EEC" w:rsidP="00266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14:paraId="1CF6B3E1" w14:textId="4CFA1FE4" w:rsidR="0093760C" w:rsidRPr="00D3230B" w:rsidRDefault="0033673C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266E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266EDD">
              <w:t xml:space="preserve"> </w:t>
            </w:r>
            <w:r w:rsidR="00992B4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</w:t>
            </w:r>
          </w:p>
          <w:p w14:paraId="3F5F82AE" w14:textId="02130AFB"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</w:t>
            </w:r>
            <w:r w:rsidR="00266E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14:paraId="0212F281" w14:textId="77777777" w:rsidR="00122B8E" w:rsidRPr="0085540E" w:rsidRDefault="00122B8E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EDE1B5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F8A1FD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6B5175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20DA96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6E613E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955C91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0D06BC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C82EE4" w14:textId="3CFD8626" w:rsidR="000831E9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102F74" w14:textId="38F95234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D35F4B" w14:textId="7AFBA83E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725739" w14:textId="7488F38E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F48439" w14:textId="73815F70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3738A2" w14:textId="72847CE2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B7E8BB" w14:textId="2D6826E0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A82A28" w14:textId="4165FEA6" w:rsidR="00266EDD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E6F00A" w14:textId="77777777" w:rsidR="00266EDD" w:rsidRPr="0085540E" w:rsidRDefault="00266EDD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BBBD71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5F5F02" w14:textId="77777777" w:rsidR="000831E9" w:rsidRPr="0085540E" w:rsidRDefault="000831E9" w:rsidP="003707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CCAA18" w14:textId="77777777"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02E78D" w14:textId="77777777" w:rsidR="00C538D8" w:rsidRDefault="00C538D8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79C432" w14:textId="77777777" w:rsidR="00C538D8" w:rsidRDefault="00C538D8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A61071" w14:textId="77777777"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 № 1</w:t>
      </w:r>
    </w:p>
    <w:p w14:paraId="0ED1A1F6" w14:textId="1003F64E"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</w:t>
      </w:r>
      <w:r w:rsidR="002259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3707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26A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</w:t>
      </w:r>
      <w:bookmarkStart w:id="0" w:name="_GoBack"/>
      <w:bookmarkEnd w:id="0"/>
      <w:r w:rsidR="00C538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F26AAC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14:paraId="1B3F04DB" w14:textId="77777777" w:rsidR="006375EC" w:rsidRPr="008339CF" w:rsidRDefault="006375EC" w:rsidP="003707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A9F8A9" w14:textId="77777777"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54097" w14:textId="77777777" w:rsidR="0037077A" w:rsidRPr="006D5564" w:rsidRDefault="0037077A" w:rsidP="0037077A">
      <w:pPr>
        <w:pStyle w:val="1"/>
        <w:spacing w:before="0" w:after="0" w:line="240" w:lineRule="auto"/>
        <w:ind w:firstLine="0"/>
        <w:jc w:val="center"/>
        <w:rPr>
          <w:rStyle w:val="aa"/>
          <w:rFonts w:ascii="Times New Roman" w:hAnsi="Times New Roman"/>
          <w:b w:val="0"/>
          <w:i w:val="0"/>
          <w:sz w:val="18"/>
          <w:szCs w:val="18"/>
        </w:rPr>
      </w:pPr>
      <w:r w:rsidRPr="006D5564">
        <w:rPr>
          <w:rStyle w:val="aa"/>
          <w:rFonts w:ascii="Times New Roman" w:hAnsi="Times New Roman"/>
          <w:b w:val="0"/>
          <w:sz w:val="18"/>
          <w:szCs w:val="18"/>
        </w:rPr>
        <w:t>СПЕЦИФИКАЦИЯ</w:t>
      </w:r>
    </w:p>
    <w:p w14:paraId="1E7BA87D" w14:textId="77777777" w:rsidR="0037077A" w:rsidRPr="006D5564" w:rsidRDefault="0037077A" w:rsidP="0037077A">
      <w:pPr>
        <w:pStyle w:val="ConsPlusNormal"/>
        <w:widowControl/>
        <w:tabs>
          <w:tab w:val="left" w:pos="426"/>
          <w:tab w:val="left" w:pos="993"/>
        </w:tabs>
        <w:contextualSpacing/>
        <w:rPr>
          <w:rFonts w:ascii="Times New Roman" w:hAnsi="Times New Roman" w:cs="Times New Roman"/>
          <w:bCs/>
          <w:i/>
          <w:strike/>
          <w:sz w:val="18"/>
          <w:szCs w:val="18"/>
        </w:rPr>
      </w:pPr>
    </w:p>
    <w:tbl>
      <w:tblPr>
        <w:tblW w:w="5084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717"/>
        <w:gridCol w:w="1897"/>
        <w:gridCol w:w="1000"/>
        <w:gridCol w:w="1668"/>
        <w:gridCol w:w="757"/>
        <w:gridCol w:w="943"/>
        <w:gridCol w:w="1083"/>
      </w:tblGrid>
      <w:tr w:rsidR="0037077A" w14:paraId="2AE51611" w14:textId="77777777" w:rsidTr="00C538D8">
        <w:trPr>
          <w:cantSplit/>
          <w:trHeight w:val="20"/>
          <w:jc w:val="center"/>
        </w:trPr>
        <w:tc>
          <w:tcPr>
            <w:tcW w:w="251" w:type="pct"/>
            <w:vMerge w:val="restart"/>
          </w:tcPr>
          <w:p w14:paraId="08FB8FC4" w14:textId="77777777" w:rsidR="0037077A" w:rsidRPr="002218C4" w:rsidRDefault="0037077A" w:rsidP="00627C4B">
            <w:pPr>
              <w:jc w:val="center"/>
              <w:rPr>
                <w:sz w:val="16"/>
                <w:szCs w:val="16"/>
              </w:rPr>
            </w:pPr>
            <w:r w:rsidRPr="002218C4">
              <w:rPr>
                <w:sz w:val="16"/>
                <w:szCs w:val="16"/>
              </w:rPr>
              <w:t xml:space="preserve">№ </w:t>
            </w:r>
            <w:proofErr w:type="gramStart"/>
            <w:r w:rsidRPr="002218C4">
              <w:rPr>
                <w:sz w:val="16"/>
                <w:szCs w:val="16"/>
              </w:rPr>
              <w:t>п</w:t>
            </w:r>
            <w:proofErr w:type="gramEnd"/>
            <w:r w:rsidRPr="002218C4">
              <w:rPr>
                <w:sz w:val="16"/>
                <w:szCs w:val="16"/>
              </w:rPr>
              <w:t>/п</w:t>
            </w:r>
          </w:p>
        </w:tc>
        <w:tc>
          <w:tcPr>
            <w:tcW w:w="1282" w:type="pct"/>
          </w:tcPr>
          <w:p w14:paraId="35C70934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895" w:type="pct"/>
            <w:vMerge w:val="restart"/>
          </w:tcPr>
          <w:p w14:paraId="2FB8CFCE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8D8">
              <w:rPr>
                <w:color w:val="FF0000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472" w:type="pct"/>
            <w:vMerge w:val="restart"/>
          </w:tcPr>
          <w:p w14:paraId="6008E95A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787" w:type="pct"/>
            <w:vMerge w:val="restart"/>
          </w:tcPr>
          <w:p w14:paraId="50ED0187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Количество в единицах измерения, шт.</w:t>
            </w:r>
          </w:p>
        </w:tc>
        <w:tc>
          <w:tcPr>
            <w:tcW w:w="357" w:type="pct"/>
            <w:vMerge w:val="restart"/>
          </w:tcPr>
          <w:p w14:paraId="2F607E19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Цена за ед.,  руб.</w:t>
            </w:r>
            <w:r w:rsidRPr="0081457D">
              <w:rPr>
                <w:sz w:val="16"/>
                <w:szCs w:val="16"/>
              </w:rPr>
              <w:br/>
            </w:r>
          </w:p>
        </w:tc>
        <w:tc>
          <w:tcPr>
            <w:tcW w:w="445" w:type="pct"/>
            <w:vMerge w:val="restart"/>
          </w:tcPr>
          <w:p w14:paraId="23D247B2" w14:textId="77777777" w:rsidR="0037077A" w:rsidRPr="0081457D" w:rsidRDefault="0037077A" w:rsidP="00627C4B">
            <w:pPr>
              <w:spacing w:line="240" w:lineRule="auto"/>
              <w:ind w:firstLine="2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НДС, %</w:t>
            </w:r>
          </w:p>
        </w:tc>
        <w:tc>
          <w:tcPr>
            <w:tcW w:w="511" w:type="pct"/>
            <w:vMerge w:val="restart"/>
          </w:tcPr>
          <w:p w14:paraId="55153D7F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Общая стоимость, руб.</w:t>
            </w:r>
            <w:r w:rsidRPr="0081457D">
              <w:rPr>
                <w:sz w:val="16"/>
                <w:szCs w:val="16"/>
              </w:rPr>
              <w:br/>
            </w:r>
          </w:p>
        </w:tc>
      </w:tr>
      <w:tr w:rsidR="0037077A" w14:paraId="3E61F796" w14:textId="77777777" w:rsidTr="00C538D8">
        <w:trPr>
          <w:cantSplit/>
          <w:trHeight w:val="20"/>
          <w:jc w:val="center"/>
        </w:trPr>
        <w:tc>
          <w:tcPr>
            <w:tcW w:w="251" w:type="pct"/>
            <w:vMerge/>
          </w:tcPr>
          <w:p w14:paraId="318C575A" w14:textId="77777777" w:rsidR="0037077A" w:rsidRPr="002218C4" w:rsidRDefault="0037077A" w:rsidP="00627C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pct"/>
          </w:tcPr>
          <w:p w14:paraId="6FFFF4FA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1457D">
              <w:rPr>
                <w:sz w:val="16"/>
                <w:szCs w:val="16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895" w:type="pct"/>
            <w:vMerge/>
          </w:tcPr>
          <w:p w14:paraId="4966207E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DF95D69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vMerge/>
          </w:tcPr>
          <w:p w14:paraId="1281649B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08FD51AC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7932F245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vMerge/>
          </w:tcPr>
          <w:p w14:paraId="32854983" w14:textId="77777777" w:rsidR="0037077A" w:rsidRPr="0081457D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077A" w14:paraId="609496B8" w14:textId="77777777" w:rsidTr="00C538D8">
        <w:trPr>
          <w:cantSplit/>
          <w:trHeight w:val="20"/>
          <w:jc w:val="center"/>
        </w:trPr>
        <w:tc>
          <w:tcPr>
            <w:tcW w:w="251" w:type="pct"/>
          </w:tcPr>
          <w:p w14:paraId="4F641CE5" w14:textId="77777777" w:rsidR="0037077A" w:rsidRPr="002218C4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2" w:type="pct"/>
          </w:tcPr>
          <w:p w14:paraId="4EB54A24" w14:textId="244D6511" w:rsidR="0037077A" w:rsidRPr="002218C4" w:rsidRDefault="0037077A" w:rsidP="00627C4B">
            <w:pPr>
              <w:spacing w:line="240" w:lineRule="auto"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Браслет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идентификационный</w:t>
            </w:r>
            <w:r w:rsidR="00C85F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pct"/>
          </w:tcPr>
          <w:p w14:paraId="1BEA35D3" w14:textId="77777777" w:rsidR="0037077A" w:rsidRPr="002218C4" w:rsidRDefault="0037077A" w:rsidP="00627C4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031FA4F7" w14:textId="77777777" w:rsidR="0037077A" w:rsidRPr="002218C4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787" w:type="pct"/>
          </w:tcPr>
          <w:p w14:paraId="70084BE1" w14:textId="77777777" w:rsidR="0037077A" w:rsidRPr="002218C4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357" w:type="pct"/>
          </w:tcPr>
          <w:p w14:paraId="0953E0C5" w14:textId="22B59122" w:rsidR="0037077A" w:rsidRPr="002218C4" w:rsidRDefault="0037077A" w:rsidP="0037077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14:paraId="71E28A81" w14:textId="77777777" w:rsidR="0037077A" w:rsidRPr="002218C4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</w:tcPr>
          <w:p w14:paraId="1AE865C2" w14:textId="2A8D8711" w:rsidR="0037077A" w:rsidRPr="002218C4" w:rsidRDefault="0037077A" w:rsidP="00627C4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077A" w14:paraId="27830457" w14:textId="77777777" w:rsidTr="00C538D8">
        <w:trPr>
          <w:cantSplit/>
          <w:trHeight w:val="20"/>
          <w:jc w:val="center"/>
        </w:trPr>
        <w:tc>
          <w:tcPr>
            <w:tcW w:w="4489" w:type="pct"/>
            <w:gridSpan w:val="7"/>
          </w:tcPr>
          <w:p w14:paraId="3F67097B" w14:textId="77777777" w:rsidR="0037077A" w:rsidRPr="002218C4" w:rsidRDefault="0037077A" w:rsidP="00627C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</w:tcPr>
          <w:p w14:paraId="6EE37817" w14:textId="1283561E" w:rsidR="0037077A" w:rsidRPr="00C538D8" w:rsidRDefault="0037077A" w:rsidP="00627C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84A4C5A" w14:textId="77777777" w:rsidR="0037077A" w:rsidRPr="006D5564" w:rsidRDefault="0037077A" w:rsidP="0037077A">
      <w:pPr>
        <w:pStyle w:val="ConsPlusNormal"/>
        <w:widowControl/>
        <w:tabs>
          <w:tab w:val="left" w:pos="426"/>
          <w:tab w:val="left" w:pos="993"/>
        </w:tabs>
        <w:contextualSpacing/>
        <w:rPr>
          <w:rFonts w:ascii="Times New Roman" w:hAnsi="Times New Roman" w:cs="Times New Roman"/>
          <w:bCs/>
          <w:sz w:val="18"/>
          <w:szCs w:val="18"/>
        </w:rPr>
      </w:pPr>
    </w:p>
    <w:p w14:paraId="0560153B" w14:textId="77777777" w:rsidR="0037077A" w:rsidRDefault="0037077A" w:rsidP="0037077A">
      <w:pPr>
        <w:pStyle w:val="ConsPlusNormal"/>
        <w:widowControl/>
        <w:tabs>
          <w:tab w:val="left" w:pos="426"/>
          <w:tab w:val="left" w:pos="993"/>
        </w:tabs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6D5564">
        <w:rPr>
          <w:rFonts w:ascii="Times New Roman" w:hAnsi="Times New Roman" w:cs="Times New Roman"/>
          <w:bCs/>
          <w:sz w:val="18"/>
          <w:szCs w:val="18"/>
        </w:rPr>
        <w:t>Функциональные, технические, качественные, эксплуатационные характеристики товара:</w:t>
      </w:r>
    </w:p>
    <w:tbl>
      <w:tblPr>
        <w:tblW w:w="5369" w:type="pct"/>
        <w:jc w:val="center"/>
        <w:tblLayout w:type="fixed"/>
        <w:tblLook w:val="00A0" w:firstRow="1" w:lastRow="0" w:firstColumn="1" w:lastColumn="0" w:noHBand="0" w:noVBand="0"/>
      </w:tblPr>
      <w:tblGrid>
        <w:gridCol w:w="465"/>
        <w:gridCol w:w="477"/>
        <w:gridCol w:w="1437"/>
        <w:gridCol w:w="1831"/>
        <w:gridCol w:w="850"/>
        <w:gridCol w:w="535"/>
        <w:gridCol w:w="3643"/>
        <w:gridCol w:w="900"/>
        <w:gridCol w:w="895"/>
        <w:gridCol w:w="157"/>
      </w:tblGrid>
      <w:tr w:rsidR="0037077A" w:rsidRPr="00B22456" w14:paraId="3C892C98" w14:textId="77777777" w:rsidTr="00627C4B">
        <w:trPr>
          <w:gridBefore w:val="1"/>
          <w:gridAfter w:val="1"/>
          <w:wBefore w:w="208" w:type="pct"/>
          <w:wAfter w:w="70" w:type="pct"/>
          <w:trHeight w:val="17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B2790" w14:textId="77777777" w:rsidR="0037077A" w:rsidRPr="00B22456" w:rsidRDefault="0037077A" w:rsidP="00627C4B">
            <w:pPr>
              <w:pStyle w:val="a5"/>
              <w:ind w:left="21" w:hanging="21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№</w:t>
            </w:r>
            <w:proofErr w:type="gramStart"/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9A2D0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товара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80E2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показателя (характеристики) товара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3F37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Единица измерения показателя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FFB63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Значение показателя </w:t>
            </w: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(характеристики) товара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BF907" w14:textId="77777777" w:rsidR="0037077A" w:rsidRPr="00B22456" w:rsidRDefault="0037077A" w:rsidP="00627C4B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</w:t>
            </w:r>
          </w:p>
          <w:p w14:paraId="60CD693E" w14:textId="77777777" w:rsidR="0037077A" w:rsidRPr="00B22456" w:rsidRDefault="0037077A" w:rsidP="00627C4B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spellStart"/>
            <w:r w:rsidRPr="00B2245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ца</w:t>
            </w:r>
            <w:proofErr w:type="spellEnd"/>
            <w:r w:rsidRPr="00B2245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измерения товара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B5859" w14:textId="77777777" w:rsidR="0037077A" w:rsidRPr="00B22456" w:rsidRDefault="0037077A" w:rsidP="00627C4B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Количество товара</w:t>
            </w:r>
          </w:p>
        </w:tc>
      </w:tr>
      <w:tr w:rsidR="0037077A" w:rsidRPr="00B22456" w14:paraId="112D8810" w14:textId="77777777" w:rsidTr="00627C4B">
        <w:trPr>
          <w:gridBefore w:val="1"/>
          <w:gridAfter w:val="1"/>
          <w:wBefore w:w="208" w:type="pct"/>
          <w:wAfter w:w="70" w:type="pct"/>
          <w:trHeight w:val="17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08A0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BFAF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7E06D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97163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FE13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FFDBB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5C75A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22456">
              <w:rPr>
                <w:rFonts w:ascii="Times New Roman" w:hAnsi="Times New Roman"/>
                <w:b/>
                <w:i/>
                <w:sz w:val="16"/>
                <w:szCs w:val="16"/>
              </w:rPr>
              <w:t>9</w:t>
            </w:r>
          </w:p>
        </w:tc>
      </w:tr>
      <w:tr w:rsidR="0037077A" w:rsidRPr="00B22456" w14:paraId="3C0EC63E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 w:val="restart"/>
            <w:vAlign w:val="center"/>
          </w:tcPr>
          <w:p w14:paraId="1AC9826A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42" w:type="pct"/>
            <w:vMerge w:val="restart"/>
            <w:vAlign w:val="center"/>
          </w:tcPr>
          <w:p w14:paraId="3F9CE39D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eastAsia="Times New Roman" w:hAnsi="Times New Roman"/>
                <w:color w:val="000000"/>
                <w:spacing w:val="-2"/>
                <w:sz w:val="16"/>
                <w:szCs w:val="16"/>
              </w:rPr>
              <w:t>Браслет идентификационный</w:t>
            </w:r>
          </w:p>
        </w:tc>
        <w:tc>
          <w:tcPr>
            <w:tcW w:w="818" w:type="pct"/>
            <w:vAlign w:val="center"/>
          </w:tcPr>
          <w:p w14:paraId="00D4E657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Характеристика браслета</w:t>
            </w:r>
          </w:p>
        </w:tc>
        <w:tc>
          <w:tcPr>
            <w:tcW w:w="380" w:type="pct"/>
            <w:vAlign w:val="center"/>
          </w:tcPr>
          <w:p w14:paraId="02954517" w14:textId="77777777" w:rsidR="0037077A" w:rsidRPr="00B22456" w:rsidRDefault="0037077A" w:rsidP="00627C4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338840A6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Изделие, предназначенное для ношения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пациентом с целью его идентификации. На нем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написаны фамилия, имя, дата рождения или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другая информация, благодаря которой пациента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невозможно перепутать с другим человеком.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Данное изделие может быть, например,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браслетом на руке, на запястье, на щиколотке</w:t>
            </w:r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 xml:space="preserve">или на шее. Браслет обладает </w:t>
            </w:r>
            <w:proofErr w:type="spellStart"/>
            <w:r w:rsidRPr="00B22456">
              <w:rPr>
                <w:sz w:val="16"/>
                <w:szCs w:val="16"/>
              </w:rPr>
              <w:t>гипоаллергенными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22456">
              <w:rPr>
                <w:sz w:val="16"/>
                <w:szCs w:val="16"/>
              </w:rPr>
              <w:t>свойствами. Устойчивость к воде, горячей воде, обезжиривающим средствам</w:t>
            </w:r>
          </w:p>
        </w:tc>
        <w:tc>
          <w:tcPr>
            <w:tcW w:w="402" w:type="pct"/>
            <w:vMerge w:val="restart"/>
          </w:tcPr>
          <w:p w14:paraId="0D24F59D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400" w:type="pct"/>
            <w:vMerge w:val="restart"/>
          </w:tcPr>
          <w:p w14:paraId="5DEF2FEF" w14:textId="77777777" w:rsidR="0037077A" w:rsidRPr="00B22456" w:rsidRDefault="0054044E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37077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</w:tr>
      <w:tr w:rsidR="0037077A" w:rsidRPr="00B22456" w14:paraId="29766DBB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1DD8159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05C0E5E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pct"/>
            <w:vAlign w:val="center"/>
          </w:tcPr>
          <w:p w14:paraId="54406A31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Метод печати</w:t>
            </w:r>
          </w:p>
        </w:tc>
        <w:tc>
          <w:tcPr>
            <w:tcW w:w="380" w:type="pct"/>
            <w:vAlign w:val="center"/>
          </w:tcPr>
          <w:p w14:paraId="4636B823" w14:textId="77777777" w:rsidR="0037077A" w:rsidRPr="00B22456" w:rsidRDefault="0037077A" w:rsidP="00627C4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3C42E47E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термопечать</w:t>
            </w:r>
          </w:p>
        </w:tc>
        <w:tc>
          <w:tcPr>
            <w:tcW w:w="402" w:type="pct"/>
            <w:vMerge/>
          </w:tcPr>
          <w:p w14:paraId="6D447E14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77A5A9F7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386C8ACB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3F5C624B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5633BC6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pct"/>
            <w:vAlign w:val="center"/>
          </w:tcPr>
          <w:p w14:paraId="19CF7723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Материал изготовления</w:t>
            </w:r>
          </w:p>
        </w:tc>
        <w:tc>
          <w:tcPr>
            <w:tcW w:w="380" w:type="pct"/>
            <w:vAlign w:val="center"/>
          </w:tcPr>
          <w:p w14:paraId="471A4AA3" w14:textId="77777777" w:rsidR="0037077A" w:rsidRPr="00B22456" w:rsidRDefault="0037077A" w:rsidP="00627C4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56AE2FA6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полистирол</w:t>
            </w:r>
          </w:p>
        </w:tc>
        <w:tc>
          <w:tcPr>
            <w:tcW w:w="402" w:type="pct"/>
            <w:vMerge/>
          </w:tcPr>
          <w:p w14:paraId="7366C460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4888853F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38B1164C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37155D7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49AFA89F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8" w:type="pct"/>
            <w:vAlign w:val="center"/>
          </w:tcPr>
          <w:p w14:paraId="72E4C868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Тип застёжки</w:t>
            </w:r>
          </w:p>
        </w:tc>
        <w:tc>
          <w:tcPr>
            <w:tcW w:w="380" w:type="pct"/>
            <w:vAlign w:val="center"/>
          </w:tcPr>
          <w:p w14:paraId="4DE92628" w14:textId="77777777" w:rsidR="0037077A" w:rsidRPr="00B22456" w:rsidRDefault="0037077A" w:rsidP="00627C4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0469A76C" w14:textId="77777777" w:rsidR="0037077A" w:rsidRPr="00B22456" w:rsidRDefault="0037077A" w:rsidP="00627C4B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B22456">
              <w:rPr>
                <w:sz w:val="16"/>
                <w:szCs w:val="16"/>
              </w:rPr>
              <w:t>клейкая застежка с системой защиты от несанкционированного вскрытия</w:t>
            </w:r>
          </w:p>
        </w:tc>
        <w:tc>
          <w:tcPr>
            <w:tcW w:w="402" w:type="pct"/>
            <w:vMerge/>
          </w:tcPr>
          <w:p w14:paraId="64489A5F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50571AEF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7BDEEE85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7CB1226B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328267A5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4FCEF9AF" w14:textId="77777777" w:rsidR="0037077A" w:rsidRPr="00B22456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Цветовая гамма браслета</w:t>
            </w:r>
          </w:p>
        </w:tc>
        <w:tc>
          <w:tcPr>
            <w:tcW w:w="380" w:type="pct"/>
            <w:vAlign w:val="center"/>
          </w:tcPr>
          <w:p w14:paraId="524D991F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05F81F58" w14:textId="77777777" w:rsidR="0037077A" w:rsidRPr="00B22456" w:rsidRDefault="0037077A" w:rsidP="00627C4B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Белый</w:t>
            </w:r>
          </w:p>
        </w:tc>
        <w:tc>
          <w:tcPr>
            <w:tcW w:w="402" w:type="pct"/>
            <w:vMerge/>
          </w:tcPr>
          <w:p w14:paraId="1AD727B9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4B1B92E3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7F90CEB8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32715F4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4260DD1E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190F95D4" w14:textId="77777777" w:rsidR="0037077A" w:rsidRPr="00B22456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Ширина</w:t>
            </w:r>
            <w:r w:rsidRPr="00B22456">
              <w:rPr>
                <w:rFonts w:ascii="Times New Roman" w:hAnsi="Times New Roman"/>
                <w:sz w:val="16"/>
                <w:szCs w:val="16"/>
              </w:rPr>
              <w:t xml:space="preserve"> браслета </w:t>
            </w:r>
          </w:p>
        </w:tc>
        <w:tc>
          <w:tcPr>
            <w:tcW w:w="380" w:type="pct"/>
            <w:vAlign w:val="center"/>
          </w:tcPr>
          <w:p w14:paraId="05F395E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67" w:type="pct"/>
            <w:gridSpan w:val="2"/>
            <w:vAlign w:val="center"/>
          </w:tcPr>
          <w:p w14:paraId="6CCA4EA7" w14:textId="77777777" w:rsidR="0037077A" w:rsidRPr="00B22456" w:rsidRDefault="0037077A" w:rsidP="00627C4B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02" w:type="pct"/>
            <w:vMerge/>
          </w:tcPr>
          <w:p w14:paraId="28383C0E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1064A16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2D14000A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71577508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4331AE6A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63FCF1BF" w14:textId="77777777" w:rsidR="0037077A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Длина браслета</w:t>
            </w:r>
          </w:p>
        </w:tc>
        <w:tc>
          <w:tcPr>
            <w:tcW w:w="380" w:type="pct"/>
            <w:vAlign w:val="center"/>
          </w:tcPr>
          <w:p w14:paraId="79D31309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67" w:type="pct"/>
            <w:gridSpan w:val="2"/>
            <w:vAlign w:val="center"/>
          </w:tcPr>
          <w:p w14:paraId="318E3AA1" w14:textId="77777777" w:rsidR="0037077A" w:rsidRPr="00B22456" w:rsidRDefault="0037077A" w:rsidP="00627C4B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</w:t>
            </w:r>
          </w:p>
        </w:tc>
        <w:tc>
          <w:tcPr>
            <w:tcW w:w="402" w:type="pct"/>
            <w:vMerge/>
          </w:tcPr>
          <w:p w14:paraId="386BFDCB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21F41D47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020AA4C0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735251E7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381CF5B1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4A0A5AFF" w14:textId="77777777" w:rsidR="0037077A" w:rsidRPr="00B22456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Совместимость</w:t>
            </w:r>
          </w:p>
        </w:tc>
        <w:tc>
          <w:tcPr>
            <w:tcW w:w="380" w:type="pct"/>
            <w:vAlign w:val="center"/>
          </w:tcPr>
          <w:p w14:paraId="0A51BE5C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7D007B1A" w14:textId="77777777" w:rsidR="0037077A" w:rsidRPr="00B22456" w:rsidRDefault="0037077A" w:rsidP="00627C4B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 xml:space="preserve">Браслеты для принтера штрих кодов, совместимые с </w:t>
            </w:r>
            <w:proofErr w:type="gramStart"/>
            <w:r w:rsidRPr="00B22456">
              <w:rPr>
                <w:rFonts w:ascii="Times New Roman" w:hAnsi="Times New Roman"/>
                <w:sz w:val="16"/>
                <w:szCs w:val="16"/>
              </w:rPr>
              <w:t>имеющимися</w:t>
            </w:r>
            <w:proofErr w:type="gramEnd"/>
            <w:r w:rsidRPr="00B22456">
              <w:rPr>
                <w:rFonts w:ascii="Times New Roman" w:hAnsi="Times New Roman"/>
                <w:sz w:val="16"/>
                <w:szCs w:val="16"/>
              </w:rPr>
              <w:t xml:space="preserve"> у заказчика: TDP-225W</w:t>
            </w:r>
          </w:p>
        </w:tc>
        <w:tc>
          <w:tcPr>
            <w:tcW w:w="402" w:type="pct"/>
            <w:vMerge/>
          </w:tcPr>
          <w:p w14:paraId="167F90AE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36DE1CFB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69605719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346"/>
          <w:jc w:val="center"/>
        </w:trPr>
        <w:tc>
          <w:tcPr>
            <w:tcW w:w="213" w:type="pct"/>
            <w:vMerge/>
            <w:vAlign w:val="center"/>
          </w:tcPr>
          <w:p w14:paraId="6D5F0BE0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72577E12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218C6676" w14:textId="77777777" w:rsidR="0037077A" w:rsidRPr="00B22456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Количество браслетов в одном ролике</w:t>
            </w:r>
          </w:p>
        </w:tc>
        <w:tc>
          <w:tcPr>
            <w:tcW w:w="380" w:type="pct"/>
            <w:vAlign w:val="center"/>
          </w:tcPr>
          <w:p w14:paraId="22438254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12EB929B" w14:textId="2F008451" w:rsidR="0037077A" w:rsidRPr="00B22456" w:rsidRDefault="00E83F10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402" w:type="pct"/>
            <w:vMerge/>
          </w:tcPr>
          <w:p w14:paraId="7263FFB9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01565DFD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B22456" w14:paraId="44D96990" w14:textId="77777777" w:rsidTr="0062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08" w:type="pct"/>
          <w:wAfter w:w="70" w:type="pct"/>
          <w:trHeight w:val="60"/>
          <w:jc w:val="center"/>
        </w:trPr>
        <w:tc>
          <w:tcPr>
            <w:tcW w:w="213" w:type="pct"/>
            <w:vMerge/>
            <w:vAlign w:val="center"/>
          </w:tcPr>
          <w:p w14:paraId="2FFA500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vAlign w:val="center"/>
          </w:tcPr>
          <w:p w14:paraId="30DCB160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Style w:val="cardmaininfocontent2"/>
                <w:rFonts w:ascii="Times New Roman" w:hAnsi="Times New Roman"/>
                <w:color w:val="212529"/>
                <w:sz w:val="16"/>
                <w:szCs w:val="16"/>
              </w:rPr>
            </w:pPr>
          </w:p>
        </w:tc>
        <w:tc>
          <w:tcPr>
            <w:tcW w:w="818" w:type="pct"/>
          </w:tcPr>
          <w:p w14:paraId="1D8D7663" w14:textId="77777777" w:rsidR="0037077A" w:rsidRPr="00B22456" w:rsidRDefault="0037077A" w:rsidP="00627C4B">
            <w:pPr>
              <w:pStyle w:val="a5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Форма выпуска</w:t>
            </w:r>
          </w:p>
        </w:tc>
        <w:tc>
          <w:tcPr>
            <w:tcW w:w="380" w:type="pct"/>
            <w:vAlign w:val="center"/>
          </w:tcPr>
          <w:p w14:paraId="57036484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7" w:type="pct"/>
            <w:gridSpan w:val="2"/>
            <w:vAlign w:val="center"/>
          </w:tcPr>
          <w:p w14:paraId="383410C4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2456">
              <w:rPr>
                <w:rFonts w:ascii="Times New Roman" w:hAnsi="Times New Roman"/>
                <w:sz w:val="16"/>
                <w:szCs w:val="16"/>
              </w:rPr>
              <w:t>ролик</w:t>
            </w:r>
          </w:p>
        </w:tc>
        <w:tc>
          <w:tcPr>
            <w:tcW w:w="402" w:type="pct"/>
            <w:vMerge/>
          </w:tcPr>
          <w:p w14:paraId="40740FDC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14:paraId="3F9150E6" w14:textId="77777777" w:rsidR="0037077A" w:rsidRPr="00B22456" w:rsidRDefault="0037077A" w:rsidP="00627C4B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077A" w:rsidRPr="006D5564" w14:paraId="0E25A585" w14:textId="77777777" w:rsidTr="00627C4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500" w:type="pct"/>
            <w:gridSpan w:val="6"/>
          </w:tcPr>
          <w:p w14:paraId="63B38344" w14:textId="77777777" w:rsidR="0037077A" w:rsidRPr="006D5564" w:rsidRDefault="0037077A" w:rsidP="00627C4B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64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14:paraId="78BFAC41" w14:textId="77777777" w:rsidR="0037077A" w:rsidRPr="006D5564" w:rsidRDefault="0037077A" w:rsidP="00627C4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64">
              <w:rPr>
                <w:rFonts w:ascii="Times New Roman" w:hAnsi="Times New Roman" w:cs="Times New Roman"/>
                <w:b/>
                <w:sz w:val="18"/>
                <w:szCs w:val="18"/>
              </w:rPr>
              <w:t>ФГБУ "ФЦТОЭ" Минздрава России</w:t>
            </w:r>
          </w:p>
          <w:p w14:paraId="6C4030AC" w14:textId="77777777" w:rsidR="0037077A" w:rsidRPr="006D5564" w:rsidRDefault="0037077A" w:rsidP="00627C4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64">
              <w:rPr>
                <w:rFonts w:ascii="Times New Roman" w:hAnsi="Times New Roman" w:cs="Times New Roman"/>
                <w:b/>
                <w:sz w:val="18"/>
                <w:szCs w:val="18"/>
              </w:rPr>
              <w:t>(г. Барнаул)</w:t>
            </w:r>
          </w:p>
          <w:p w14:paraId="75982873" w14:textId="77777777" w:rsidR="0037077A" w:rsidRPr="006D5564" w:rsidRDefault="0037077A" w:rsidP="00627C4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4A841" w14:textId="77777777" w:rsidR="0037077A" w:rsidRPr="0081457D" w:rsidRDefault="0054044E" w:rsidP="00627C4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 и аудита</w:t>
            </w:r>
          </w:p>
          <w:p w14:paraId="6FC7B5C7" w14:textId="77777777" w:rsidR="0037077A" w:rsidRPr="006D5564" w:rsidRDefault="0054044E" w:rsidP="00627C4B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Рощипкин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2500" w:type="pct"/>
            <w:gridSpan w:val="4"/>
          </w:tcPr>
          <w:p w14:paraId="5B959046" w14:textId="1820B12A" w:rsidR="0037077A" w:rsidRDefault="0037077A" w:rsidP="00627C4B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64">
              <w:rPr>
                <w:rFonts w:ascii="Times New Roman" w:hAnsi="Times New Roman" w:cs="Times New Roman"/>
                <w:b/>
                <w:sz w:val="18"/>
                <w:szCs w:val="18"/>
              </w:rPr>
              <w:t>Поставщик</w:t>
            </w:r>
          </w:p>
          <w:p w14:paraId="04CE3CE9" w14:textId="77777777" w:rsidR="00266EDD" w:rsidRDefault="00266EDD" w:rsidP="00266ED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AEFD12" w14:textId="77777777" w:rsidR="00266EDD" w:rsidRDefault="00266EDD" w:rsidP="00266ED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7554B" w14:textId="3F319520" w:rsidR="0037077A" w:rsidRDefault="00266EDD" w:rsidP="00627C4B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6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</w:t>
            </w:r>
          </w:p>
          <w:p w14:paraId="732FDC5C" w14:textId="77777777" w:rsidR="0037077A" w:rsidRPr="006D5564" w:rsidRDefault="0037077A" w:rsidP="00627C4B">
            <w:pPr>
              <w:pStyle w:val="ConsPlusNormal"/>
              <w:widowControl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4B889A" w14:textId="77777777"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C45901" w14:textId="77777777"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976C22" w14:textId="77777777" w:rsidR="005042F3" w:rsidRDefault="005042F3" w:rsidP="0097309B">
      <w:pPr>
        <w:spacing w:line="240" w:lineRule="auto"/>
      </w:pPr>
    </w:p>
    <w:p w14:paraId="4C1C15FD" w14:textId="77777777" w:rsidR="005042F3" w:rsidRPr="005042F3" w:rsidRDefault="005042F3" w:rsidP="005042F3"/>
    <w:p w14:paraId="6C84693E" w14:textId="51A6D2E1" w:rsidR="005042F3" w:rsidRDefault="005042F3" w:rsidP="005042F3"/>
    <w:p w14:paraId="07F4E672" w14:textId="59395BAF" w:rsidR="00266EDD" w:rsidRDefault="00266EDD" w:rsidP="005042F3"/>
    <w:p w14:paraId="087F323A" w14:textId="12B692E5" w:rsidR="00266EDD" w:rsidRDefault="00266EDD" w:rsidP="005042F3"/>
    <w:p w14:paraId="012E1B09" w14:textId="60CFD274" w:rsidR="00266EDD" w:rsidRDefault="00266EDD" w:rsidP="005042F3"/>
    <w:p w14:paraId="1FC99019" w14:textId="12A9D9DD" w:rsidR="00266EDD" w:rsidRDefault="00266EDD" w:rsidP="005042F3"/>
    <w:p w14:paraId="6B046E28" w14:textId="77777777" w:rsidR="00C538D8" w:rsidRDefault="00C538D8" w:rsidP="005042F3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14:paraId="52F8BC51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Приложение  № 2</w:t>
      </w:r>
    </w:p>
    <w:p w14:paraId="2B5D5315" w14:textId="2AB5BE45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к договору № </w:t>
      </w:r>
      <w:r w:rsidR="0054044E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         </w:t>
      </w: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от «</w:t>
      </w:r>
      <w:r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____</w:t>
      </w: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» </w:t>
      </w:r>
      <w:r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__________</w:t>
      </w: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202</w:t>
      </w:r>
      <w:r w:rsidR="00E83F10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6</w:t>
      </w: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г.</w:t>
      </w:r>
    </w:p>
    <w:p w14:paraId="3649166F" w14:textId="77777777" w:rsidR="0054044E" w:rsidRPr="00266EDD" w:rsidRDefault="0054044E" w:rsidP="005042F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14:paraId="2CEE76F1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Декларация соответствия поставщика (подрядчика, исполнителя)</w:t>
      </w:r>
    </w:p>
    <w:p w14:paraId="5355D47D" w14:textId="4C6C2E61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Настоящим поставщик (подрядчик, исполнитель) </w:t>
      </w:r>
      <w:r w:rsidR="00E83F10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>___________________</w:t>
      </w:r>
    </w:p>
    <w:p w14:paraId="1EC5B08E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декларирует, что соответствует требованиям, предусмотренным ст. 31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а именно:</w:t>
      </w:r>
    </w:p>
    <w:p w14:paraId="2112F5B4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1) соответствие </w:t>
      </w:r>
      <w:hyperlink r:id="rId7" w:anchor="/document/10164072/entry/49013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требованиям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являющихся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объектом закупки;</w:t>
      </w:r>
    </w:p>
    <w:p w14:paraId="6F68C41E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2) </w:t>
      </w:r>
      <w:proofErr w:type="spell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непроведение</w:t>
      </w:r>
      <w:proofErr w:type="spell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ликвидации поставщика (подрядчика, исполнителя) – юридического лица и отсутствие решения арбитражного суда о признании поставщика (подрядчика, исполнителя) –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2138A8EA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3) </w:t>
      </w:r>
      <w:proofErr w:type="spell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неприостановление</w:t>
      </w:r>
      <w:proofErr w:type="spell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деятельности поставщика (подрядчика, исполнителя) в порядке, установленном </w:t>
      </w:r>
      <w:hyperlink r:id="rId8" w:anchor="/document/12125267/entry/3012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Кодексом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Российской Федерации об административных правонарушениях;</w:t>
      </w:r>
    </w:p>
    <w:p w14:paraId="15B4CFC9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4) отсутствие у поставщика (подрядчика, исполнителя)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9" w:anchor="/document/10900200/entry/1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законодательством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</w:t>
      </w: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.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п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оставщик (подрядчик, исполнитель)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указанных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493FD07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5) отсутствие у поставщика (подрядчика, исполнителя)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поставщика (подрядчика, исполнителя) судимости за преступления в сфере экономики и (или) преступления, предусмотренные </w:t>
      </w:r>
      <w:hyperlink r:id="rId10" w:anchor="/document/10108000/entry/289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статьями 289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</w:t>
      </w:r>
      <w:hyperlink r:id="rId11" w:anchor="/document/10108000/entry/290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290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</w:t>
      </w:r>
      <w:hyperlink r:id="rId12" w:anchor="/document/10108000/entry/291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291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</w:t>
      </w:r>
      <w:hyperlink r:id="rId13" w:anchor="/document/10108000/entry/2911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291.1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Уголовного кодекса Российской Федерации (за исключением лиц, у которых такая судимость погашена или снята), а также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C5ED96C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6) поставщик (подрядчик, исполнитель)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14" w:anchor="/document/12125267/entry/1928" w:history="1">
        <w:r w:rsidRPr="00F75AC8">
          <w:rPr>
            <w:rFonts w:ascii="Times New Roman" w:eastAsia="MS Mincho" w:hAnsi="Times New Roman" w:cs="Times New Roman"/>
            <w:color w:val="0066CC"/>
            <w:sz w:val="20"/>
            <w:szCs w:val="20"/>
            <w:u w:val="single"/>
            <w:lang w:eastAsia="ru-RU"/>
          </w:rPr>
          <w:t>статьей 19.28</w:t>
        </w:r>
      </w:hyperlink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правонарушениях;</w:t>
      </w:r>
    </w:p>
    <w:p w14:paraId="6DC7E2F1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7) обладание поставщиком (подрядчиком, исполнителем)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285A282B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8) отсутствие между поставщиком (подрядчиком, исполнителем)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или унитарного предприятия либо иными органами управления юридических лиц – поставщика (подрядчика, исполнителя), с физическими лицами, в том числе зарегистрированными в качестве индивидуального предпринимателя, – поставщиком (подрядчиком, исполнителем)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неполнородными</w:t>
      </w:r>
      <w:proofErr w:type="spell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14:paraId="25C3D3C3" w14:textId="77777777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proofErr w:type="gramStart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>9) поставщик (подрядчик, исполнитель)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</w:t>
      </w:r>
      <w:proofErr w:type="gramEnd"/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в уставном (складочном) капитале хозяйственного товарищества или общества;</w:t>
      </w:r>
    </w:p>
    <w:p w14:paraId="6D3C1242" w14:textId="77777777" w:rsidR="00E83F10" w:rsidRDefault="00E83F10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49551B5" w14:textId="77777777" w:rsidR="00E83F10" w:rsidRDefault="00E83F10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F6C5D9A" w14:textId="77777777" w:rsidR="00E83F10" w:rsidRDefault="00E83F10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B4FB669" w14:textId="77777777" w:rsidR="00E83F10" w:rsidRDefault="00E83F10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BD75A15" w14:textId="40687FF1" w:rsidR="005042F3" w:rsidRPr="00F75AC8" w:rsidRDefault="005042F3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F75AC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10) отсутствие у поставщика (подрядчика, исполнителя) ограничений для участия в закупках, установленных законодательством Российской Федерации.</w:t>
      </w:r>
    </w:p>
    <w:p w14:paraId="6FA7CDB7" w14:textId="3FF81B3D" w:rsidR="005042F3" w:rsidRPr="00C538D8" w:rsidRDefault="0054044E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Поставщик</w:t>
      </w:r>
      <w:r w:rsidRPr="00C538D8">
        <w:rPr>
          <w:rFonts w:ascii="Times New Roman" w:eastAsia="MS Mincho" w:hAnsi="Times New Roman" w:cs="Times New Roman"/>
          <w:sz w:val="20"/>
          <w:szCs w:val="20"/>
          <w:lang w:eastAsia="ru-RU"/>
        </w:rPr>
        <w:t>:</w:t>
      </w:r>
    </w:p>
    <w:p w14:paraId="12FC6E23" w14:textId="77777777" w:rsidR="00266EDD" w:rsidRPr="00266EDD" w:rsidRDefault="00266EDD" w:rsidP="005042F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138BC983" w14:textId="540988A6" w:rsidR="005042F3" w:rsidRPr="005042F3" w:rsidRDefault="00E83F10" w:rsidP="005042F3">
      <w:r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_________________ /______________</w:t>
      </w:r>
      <w:r w:rsidR="005042F3" w:rsidRPr="00F75AC8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>/</w:t>
      </w:r>
    </w:p>
    <w:sectPr w:rsidR="005042F3" w:rsidRPr="005042F3" w:rsidSect="00266EDD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7E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A51EE"/>
    <w:rsid w:val="001A663C"/>
    <w:rsid w:val="001B0922"/>
    <w:rsid w:val="001B225D"/>
    <w:rsid w:val="001B3990"/>
    <w:rsid w:val="001C433C"/>
    <w:rsid w:val="001C5F51"/>
    <w:rsid w:val="001D6CFE"/>
    <w:rsid w:val="001E2FA7"/>
    <w:rsid w:val="001E6B6C"/>
    <w:rsid w:val="00225980"/>
    <w:rsid w:val="00232E0E"/>
    <w:rsid w:val="00236B66"/>
    <w:rsid w:val="00255DF9"/>
    <w:rsid w:val="00261B8C"/>
    <w:rsid w:val="00266EDD"/>
    <w:rsid w:val="00275040"/>
    <w:rsid w:val="002A2819"/>
    <w:rsid w:val="002B6633"/>
    <w:rsid w:val="002C2639"/>
    <w:rsid w:val="002D657E"/>
    <w:rsid w:val="002E1D43"/>
    <w:rsid w:val="0031477D"/>
    <w:rsid w:val="0032015D"/>
    <w:rsid w:val="003253A2"/>
    <w:rsid w:val="00330B8A"/>
    <w:rsid w:val="00331B0F"/>
    <w:rsid w:val="003332B4"/>
    <w:rsid w:val="0033673C"/>
    <w:rsid w:val="0037077A"/>
    <w:rsid w:val="0039279D"/>
    <w:rsid w:val="003B13E7"/>
    <w:rsid w:val="003C0A2F"/>
    <w:rsid w:val="003D667E"/>
    <w:rsid w:val="003F1FDB"/>
    <w:rsid w:val="00400023"/>
    <w:rsid w:val="0042598F"/>
    <w:rsid w:val="00432134"/>
    <w:rsid w:val="004705B7"/>
    <w:rsid w:val="00480AE8"/>
    <w:rsid w:val="00484BDD"/>
    <w:rsid w:val="0049246A"/>
    <w:rsid w:val="004D1F86"/>
    <w:rsid w:val="005042F3"/>
    <w:rsid w:val="005262BE"/>
    <w:rsid w:val="00532488"/>
    <w:rsid w:val="005340A0"/>
    <w:rsid w:val="0054044E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20F1B"/>
    <w:rsid w:val="00634EEC"/>
    <w:rsid w:val="00636F38"/>
    <w:rsid w:val="006375EC"/>
    <w:rsid w:val="00644147"/>
    <w:rsid w:val="006475EB"/>
    <w:rsid w:val="00665D99"/>
    <w:rsid w:val="00666602"/>
    <w:rsid w:val="00690C51"/>
    <w:rsid w:val="006D629B"/>
    <w:rsid w:val="006D75E3"/>
    <w:rsid w:val="0070056F"/>
    <w:rsid w:val="00707E38"/>
    <w:rsid w:val="00725DB2"/>
    <w:rsid w:val="00736EA9"/>
    <w:rsid w:val="00740F4B"/>
    <w:rsid w:val="00741E6A"/>
    <w:rsid w:val="00742949"/>
    <w:rsid w:val="007552F3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62B8"/>
    <w:rsid w:val="008D2448"/>
    <w:rsid w:val="008D52CB"/>
    <w:rsid w:val="008E4288"/>
    <w:rsid w:val="00926CE8"/>
    <w:rsid w:val="00936384"/>
    <w:rsid w:val="0093760C"/>
    <w:rsid w:val="00944108"/>
    <w:rsid w:val="00954126"/>
    <w:rsid w:val="0097309B"/>
    <w:rsid w:val="00983F17"/>
    <w:rsid w:val="00985E20"/>
    <w:rsid w:val="00992B42"/>
    <w:rsid w:val="00994B62"/>
    <w:rsid w:val="0099566A"/>
    <w:rsid w:val="009D3801"/>
    <w:rsid w:val="00A009C3"/>
    <w:rsid w:val="00A2221C"/>
    <w:rsid w:val="00A277F6"/>
    <w:rsid w:val="00A325FE"/>
    <w:rsid w:val="00A740C3"/>
    <w:rsid w:val="00A8422E"/>
    <w:rsid w:val="00A8707B"/>
    <w:rsid w:val="00AA5E91"/>
    <w:rsid w:val="00AA75ED"/>
    <w:rsid w:val="00AC6508"/>
    <w:rsid w:val="00AD1CDE"/>
    <w:rsid w:val="00B173B4"/>
    <w:rsid w:val="00B265E6"/>
    <w:rsid w:val="00B469B0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C5877"/>
    <w:rsid w:val="00BE5B93"/>
    <w:rsid w:val="00BF7A0E"/>
    <w:rsid w:val="00C009B2"/>
    <w:rsid w:val="00C245C3"/>
    <w:rsid w:val="00C44ACC"/>
    <w:rsid w:val="00C52C8D"/>
    <w:rsid w:val="00C538D8"/>
    <w:rsid w:val="00C61B69"/>
    <w:rsid w:val="00C64E12"/>
    <w:rsid w:val="00C71DE6"/>
    <w:rsid w:val="00C77F56"/>
    <w:rsid w:val="00C85F34"/>
    <w:rsid w:val="00CB003C"/>
    <w:rsid w:val="00CC7CBA"/>
    <w:rsid w:val="00CD1130"/>
    <w:rsid w:val="00CD4D6A"/>
    <w:rsid w:val="00CE2FF2"/>
    <w:rsid w:val="00CF13EC"/>
    <w:rsid w:val="00CF14F8"/>
    <w:rsid w:val="00D13E29"/>
    <w:rsid w:val="00D27397"/>
    <w:rsid w:val="00D337CB"/>
    <w:rsid w:val="00D7279A"/>
    <w:rsid w:val="00D927B1"/>
    <w:rsid w:val="00D9345A"/>
    <w:rsid w:val="00DB3583"/>
    <w:rsid w:val="00DB6F9E"/>
    <w:rsid w:val="00DC7330"/>
    <w:rsid w:val="00DD52AD"/>
    <w:rsid w:val="00DE24B6"/>
    <w:rsid w:val="00DF1716"/>
    <w:rsid w:val="00E05A25"/>
    <w:rsid w:val="00E2353C"/>
    <w:rsid w:val="00E33632"/>
    <w:rsid w:val="00E35C98"/>
    <w:rsid w:val="00E3751A"/>
    <w:rsid w:val="00E4362D"/>
    <w:rsid w:val="00E44A39"/>
    <w:rsid w:val="00E76264"/>
    <w:rsid w:val="00E766B0"/>
    <w:rsid w:val="00E83F10"/>
    <w:rsid w:val="00EB26E1"/>
    <w:rsid w:val="00EC118A"/>
    <w:rsid w:val="00EF557E"/>
    <w:rsid w:val="00F26AAC"/>
    <w:rsid w:val="00FC7980"/>
    <w:rsid w:val="00FD4CC0"/>
    <w:rsid w:val="00FF3D48"/>
    <w:rsid w:val="00FF4A38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6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EC"/>
  </w:style>
  <w:style w:type="paragraph" w:styleId="1">
    <w:name w:val="heading 1"/>
    <w:basedOn w:val="a"/>
    <w:next w:val="a"/>
    <w:link w:val="11"/>
    <w:qFormat/>
    <w:rsid w:val="0037077A"/>
    <w:pPr>
      <w:keepNext/>
      <w:spacing w:before="240" w:after="60" w:line="288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E35C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9">
    <w:name w:val="Hyperlink"/>
    <w:aliases w:val="%Hyperlink"/>
    <w:uiPriority w:val="99"/>
    <w:unhideWhenUsed/>
    <w:rsid w:val="00FF5362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370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37077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a">
    <w:name w:val="Emphasis"/>
    <w:uiPriority w:val="20"/>
    <w:qFormat/>
    <w:rsid w:val="0037077A"/>
    <w:rPr>
      <w:rFonts w:cs="Times New Roman"/>
      <w:i/>
      <w:iCs/>
    </w:rPr>
  </w:style>
  <w:style w:type="character" w:customStyle="1" w:styleId="a6">
    <w:name w:val="Без интервала Знак"/>
    <w:link w:val="a5"/>
    <w:uiPriority w:val="1"/>
    <w:locked/>
    <w:rsid w:val="0037077A"/>
  </w:style>
  <w:style w:type="paragraph" w:customStyle="1" w:styleId="ab">
    <w:name w:val="Нормальный (таблица)"/>
    <w:basedOn w:val="a"/>
    <w:next w:val="a"/>
    <w:rsid w:val="003707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ardmaininfocontent2">
    <w:name w:val="cardmaininfo__content2"/>
    <w:rsid w:val="0037077A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EC"/>
  </w:style>
  <w:style w:type="paragraph" w:styleId="1">
    <w:name w:val="heading 1"/>
    <w:basedOn w:val="a"/>
    <w:next w:val="a"/>
    <w:link w:val="11"/>
    <w:qFormat/>
    <w:rsid w:val="0037077A"/>
    <w:pPr>
      <w:keepNext/>
      <w:spacing w:before="240" w:after="60" w:line="288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E35C9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CDE"/>
    <w:rPr>
      <w:rFonts w:ascii="Tahoma" w:hAnsi="Tahoma" w:cs="Tahoma"/>
      <w:sz w:val="16"/>
      <w:szCs w:val="16"/>
    </w:rPr>
  </w:style>
  <w:style w:type="character" w:styleId="a9">
    <w:name w:val="Hyperlink"/>
    <w:aliases w:val="%Hyperlink"/>
    <w:uiPriority w:val="99"/>
    <w:unhideWhenUsed/>
    <w:rsid w:val="00FF5362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370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37077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a">
    <w:name w:val="Emphasis"/>
    <w:uiPriority w:val="20"/>
    <w:qFormat/>
    <w:rsid w:val="0037077A"/>
    <w:rPr>
      <w:rFonts w:cs="Times New Roman"/>
      <w:i/>
      <w:iCs/>
    </w:rPr>
  </w:style>
  <w:style w:type="character" w:customStyle="1" w:styleId="a6">
    <w:name w:val="Без интервала Знак"/>
    <w:link w:val="a5"/>
    <w:uiPriority w:val="1"/>
    <w:locked/>
    <w:rsid w:val="0037077A"/>
  </w:style>
  <w:style w:type="paragraph" w:customStyle="1" w:styleId="ab">
    <w:name w:val="Нормальный (таблица)"/>
    <w:basedOn w:val="a"/>
    <w:next w:val="a"/>
    <w:rsid w:val="003707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ardmaininfocontent2">
    <w:name w:val="cardmaininfo__content2"/>
    <w:rsid w:val="0037077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C9FE-84C9-4627-85E3-C61E3A20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Соловова</cp:lastModifiedBy>
  <cp:revision>6</cp:revision>
  <cp:lastPrinted>2022-10-18T09:43:00Z</cp:lastPrinted>
  <dcterms:created xsi:type="dcterms:W3CDTF">2025-08-11T11:34:00Z</dcterms:created>
  <dcterms:modified xsi:type="dcterms:W3CDTF">2026-05-27T08:10:00Z</dcterms:modified>
</cp:coreProperties>
</file>