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8"/>
        <w:ind w:firstLine="709"/>
        <w:jc w:val="center"/>
        <w:widowControl w:val="off"/>
      </w:pPr>
      <w:r>
        <w:t xml:space="preserve">ДОГОВОР №</w:t>
      </w:r>
      <w:r>
        <w:t xml:space="preserve"> ___</w:t>
      </w:r>
      <w:r/>
    </w:p>
    <w:p>
      <w:pPr>
        <w:widowControl w:val="off"/>
      </w:pPr>
      <w:r>
        <w:rPr>
          <w:szCs w:val="24"/>
          <w:highlight w:val="none"/>
        </w:rPr>
      </w:r>
      <w:r>
        <w:rPr>
          <w:szCs w:val="24"/>
          <w:highlight w:val="none"/>
        </w:rPr>
      </w:r>
      <w:r/>
    </w:p>
    <w:p>
      <w:pPr>
        <w:widowControl w:val="off"/>
        <w:rPr>
          <w:highlight w:val="none"/>
        </w:rPr>
      </w:pPr>
      <w:r>
        <w:rPr>
          <w:szCs w:val="24"/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848"/>
        <w:widowControl w:val="off"/>
        <w:rPr>
          <w:highlight w:val="none"/>
        </w:rPr>
      </w:pPr>
      <w:r>
        <w:rPr>
          <w:szCs w:val="24"/>
        </w:rPr>
        <w:t xml:space="preserve">г. Воронеж</w:t>
        <w:tab/>
        <w:t xml:space="preserve">                                                                          </w:t>
      </w:r>
      <w:r>
        <w:rPr>
          <w:szCs w:val="24"/>
        </w:rPr>
        <w:t xml:space="preserve">     </w:t>
      </w:r>
      <w:r>
        <w:rPr>
          <w:szCs w:val="24"/>
        </w:rPr>
        <w:t xml:space="preserve">  </w:t>
      </w:r>
      <w:r>
        <w:rPr>
          <w:szCs w:val="24"/>
        </w:rPr>
        <w:t xml:space="preserve"> </w:t>
      </w:r>
      <w:r>
        <w:rPr>
          <w:szCs w:val="24"/>
        </w:rPr>
        <w:t xml:space="preserve">«</w:t>
      </w:r>
      <w:r>
        <w:rPr>
          <w:szCs w:val="24"/>
        </w:rPr>
        <w:t xml:space="preserve">____»</w:t>
      </w:r>
      <w:r>
        <w:rPr>
          <w:szCs w:val="24"/>
        </w:rPr>
        <w:t xml:space="preserve"> </w:t>
      </w:r>
      <w:r>
        <w:rPr>
          <w:szCs w:val="24"/>
        </w:rPr>
        <w:t xml:space="preserve">__________ </w:t>
      </w:r>
      <w:r>
        <w:rPr>
          <w:szCs w:val="24"/>
        </w:rPr>
        <w:t xml:space="preserve">20</w:t>
      </w:r>
      <w:r>
        <w:rPr>
          <w:szCs w:val="24"/>
        </w:rPr>
        <w:t xml:space="preserve">2</w:t>
      </w:r>
      <w:r>
        <w:rPr>
          <w:szCs w:val="24"/>
        </w:rPr>
        <w:t xml:space="preserve">6 г.</w:t>
      </w:r>
      <w:r>
        <w:rPr>
          <w:highlight w:val="none"/>
        </w:rPr>
      </w:r>
      <w:r>
        <w:rPr>
          <w:highlight w:val="none"/>
        </w:rPr>
      </w:r>
    </w:p>
    <w:p>
      <w:pPr>
        <w:pStyle w:val="848"/>
        <w:widowControl w:val="off"/>
      </w:pPr>
      <w:r/>
      <w:r/>
    </w:p>
    <w:p>
      <w:pPr>
        <w:pStyle w:val="848"/>
        <w:ind w:firstLine="708"/>
        <w:jc w:val="both"/>
        <w:rPr>
          <w:bCs/>
          <w:color w:val="000000"/>
          <w:spacing w:val="-2"/>
        </w:rPr>
      </w:pPr>
      <w:r>
        <w:rPr>
          <w:szCs w:val="24"/>
        </w:rPr>
        <w:t xml:space="preserve">Управление Федеральной службы государственной регистрации, кадастра и картографии по Воронежской области, именуемое в дальнейшем  «Покупатель», в лице   </w:t>
      </w:r>
      <w:r>
        <w:rPr>
          <w:szCs w:val="24"/>
        </w:rPr>
        <w:t xml:space="preserve">заместителя руководителя Толоконникова Юрия Васильевича</w:t>
      </w:r>
      <w:r>
        <w:rPr>
          <w:szCs w:val="24"/>
        </w:rPr>
        <w:t xml:space="preserve">, действующего на основании </w:t>
      </w:r>
      <w:r>
        <w:rPr>
          <w:szCs w:val="24"/>
        </w:rPr>
        <w:t xml:space="preserve">Приказа от 15.11.2017г. №П/369</w:t>
      </w:r>
      <w:r>
        <w:rPr>
          <w:szCs w:val="24"/>
        </w:rPr>
        <w:t xml:space="preserve">, с одной стороны и </w:t>
      </w:r>
      <w:r>
        <w:rPr>
          <w:szCs w:val="24"/>
        </w:rPr>
        <w:t xml:space="preserve">__________</w:t>
      </w:r>
      <w:r>
        <w:rPr>
          <w:szCs w:val="24"/>
        </w:rPr>
        <w:t xml:space="preserve"> именуемое в дальнейшем «Поставщик», в лице </w:t>
      </w:r>
      <w:r>
        <w:rPr>
          <w:szCs w:val="24"/>
        </w:rPr>
        <w:t xml:space="preserve">______________, действующего на основании </w:t>
      </w:r>
      <w:r>
        <w:rPr>
          <w:szCs w:val="24"/>
        </w:rPr>
        <w:t xml:space="preserve">___________, с другой стороны, </w:t>
      </w:r>
      <w:r>
        <w:t xml:space="preserve">вместе именуемые «</w:t>
      </w:r>
      <w:r>
        <w:t xml:space="preserve">Стороны</w:t>
      </w:r>
      <w:r>
        <w:t xml:space="preserve">»</w:t>
      </w:r>
      <w:r>
        <w:t xml:space="preserve">, </w:t>
      </w:r>
      <w:r>
        <w:rPr>
          <w:color w:val="000000"/>
        </w:rPr>
        <w:t xml:space="preserve">в соответствии с п.4 ч.1 ст.93 Федерального закона от 5 апреля 2013г. №44-ФЗ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bCs/>
          <w:color w:val="000000"/>
          <w:spacing w:val="-2"/>
        </w:rPr>
        <w:t xml:space="preserve">заключили настоящий договор о нижеследующем:</w:t>
      </w:r>
      <w:r>
        <w:rPr>
          <w:bCs/>
          <w:color w:val="000000"/>
          <w:spacing w:val="-2"/>
        </w:rPr>
      </w:r>
      <w:r>
        <w:rPr>
          <w:bCs/>
          <w:color w:val="000000"/>
          <w:spacing w:val="-2"/>
        </w:rPr>
      </w:r>
    </w:p>
    <w:p>
      <w:pPr>
        <w:pStyle w:val="848"/>
        <w:ind w:firstLine="708"/>
        <w:jc w:val="both"/>
        <w:rPr>
          <w:bCs/>
          <w:color w:val="000000"/>
          <w:spacing w:val="-2"/>
        </w:rPr>
      </w:pPr>
      <w:r>
        <w:rPr>
          <w:bCs/>
          <w:color w:val="000000"/>
          <w:spacing w:val="-2"/>
        </w:rPr>
      </w:r>
      <w:r>
        <w:rPr>
          <w:bCs/>
          <w:color w:val="000000"/>
          <w:spacing w:val="-2"/>
        </w:rPr>
      </w:r>
      <w:r>
        <w:rPr>
          <w:bCs/>
          <w:color w:val="000000"/>
          <w:spacing w:val="-2"/>
        </w:rPr>
      </w:r>
    </w:p>
    <w:p>
      <w:pPr>
        <w:pStyle w:val="848"/>
        <w:ind w:firstLine="720"/>
        <w:jc w:val="center"/>
        <w:rPr>
          <w:szCs w:val="24"/>
        </w:rPr>
      </w:pPr>
      <w:r>
        <w:rPr>
          <w:szCs w:val="24"/>
        </w:rPr>
        <w:t xml:space="preserve">1.</w:t>
      </w:r>
      <w:r>
        <w:rPr>
          <w:szCs w:val="24"/>
        </w:rPr>
        <w:t xml:space="preserve"> </w:t>
      </w:r>
      <w:r>
        <w:rPr>
          <w:szCs w:val="24"/>
        </w:rPr>
        <w:t xml:space="preserve">ПРЕДМЕТ ДОГОВОРА</w:t>
      </w:r>
      <w:r>
        <w:rPr>
          <w:szCs w:val="24"/>
        </w:rPr>
      </w:r>
      <w:r>
        <w:rPr>
          <w:szCs w:val="24"/>
        </w:rPr>
      </w:r>
    </w:p>
    <w:p>
      <w:pPr>
        <w:contextualSpacing/>
        <w:jc w:val="both"/>
        <w:tabs>
          <w:tab w:val="left" w:pos="3600" w:leader="none"/>
          <w:tab w:val="left" w:pos="3780" w:leader="none"/>
          <w:tab w:val="left" w:pos="5320" w:leader="none"/>
          <w:tab w:val="left" w:pos="5580" w:leader="none"/>
          <w:tab w:val="left" w:pos="6160" w:leader="none"/>
        </w:tabs>
        <w:rPr>
          <w:i/>
          <w:sz w:val="22"/>
          <w:szCs w:val="28"/>
          <w:highlight w:val="white"/>
        </w:rPr>
      </w:pPr>
      <w:r>
        <w:rPr>
          <w:rFonts w:ascii="Times New Roman" w:hAnsi="Times New Roman"/>
        </w:rPr>
        <w:t xml:space="preserve">1.1. </w:t>
      </w:r>
      <w:r>
        <w:rPr>
          <w:rFonts w:ascii="Times New Roman" w:hAnsi="Times New Roman"/>
          <w:szCs w:val="24"/>
        </w:rPr>
        <w:t xml:space="preserve">Поставщик обязуется выполнить </w:t>
      </w:r>
      <w:r>
        <w:rPr>
          <w:rFonts w:ascii="Times New Roman" w:hAnsi="Times New Roman"/>
          <w:szCs w:val="24"/>
        </w:rPr>
        <w:t xml:space="preserve">поставку прибора учета газа </w:t>
      </w:r>
      <w:r>
        <w:rPr>
          <w:rFonts w:ascii="Times New Roman" w:hAnsi="Times New Roman"/>
          <w:szCs w:val="24"/>
        </w:rPr>
        <w:t xml:space="preserve">в </w:t>
      </w:r>
      <w:r>
        <w:rPr>
          <w:rFonts w:ascii="Times New Roman" w:hAnsi="Times New Roman"/>
          <w:szCs w:val="24"/>
        </w:rPr>
        <w:t xml:space="preserve">котельной</w:t>
      </w:r>
      <w:r>
        <w:rPr>
          <w:rFonts w:ascii="Times New Roman" w:hAnsi="Times New Roman"/>
        </w:rPr>
        <w:t xml:space="preserve">, расположенн</w:t>
      </w:r>
      <w:r>
        <w:rPr>
          <w:rFonts w:ascii="Times New Roman" w:hAnsi="Times New Roman"/>
        </w:rPr>
        <w:t xml:space="preserve">ой по адресу</w:t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Воронежская обл., Острогожский р-н, г. Острогожск, ул. Карла Маркса, д.44 </w:t>
      </w:r>
      <w:r>
        <w:rPr>
          <w:rFonts w:ascii="Times New Roman" w:hAnsi="Times New Roman"/>
        </w:rPr>
        <w:t xml:space="preserve">с установкой,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Cs w:val="24"/>
        </w:rPr>
        <w:t xml:space="preserve">в соответствии со спецификацией (приложение №1), являющейся неотъемлемой частью договора</w:t>
      </w:r>
      <w:r>
        <w:rPr>
          <w:rFonts w:ascii="Times New Roman" w:hAnsi="Times New Roman"/>
        </w:rPr>
        <w:t xml:space="preserve">. </w:t>
      </w:r>
      <w:r>
        <w:rPr>
          <w:i/>
          <w:sz w:val="22"/>
          <w:szCs w:val="28"/>
          <w:highlight w:val="white"/>
        </w:rPr>
      </w:r>
      <w:r>
        <w:rPr>
          <w:i/>
          <w:sz w:val="22"/>
          <w:szCs w:val="28"/>
          <w:highlight w:val="white"/>
        </w:rPr>
      </w:r>
    </w:p>
    <w:p>
      <w:pPr>
        <w:pStyle w:val="854"/>
        <w:ind w:firstLine="709"/>
        <w:jc w:val="both"/>
        <w:widowControl/>
        <w:rPr>
          <w:rFonts w:ascii="Times New Roman" w:hAnsi="Times New Roman"/>
          <w:szCs w:val="24"/>
        </w:rPr>
      </w:pPr>
      <w:r>
        <w:rPr>
          <w:rFonts w:ascii="Times New Roman" w:hAnsi="Times New Roman"/>
        </w:rPr>
        <w:t xml:space="preserve">1.2. П</w:t>
      </w:r>
      <w:r>
        <w:rPr>
          <w:rFonts w:ascii="Times New Roman" w:hAnsi="Times New Roman"/>
          <w:szCs w:val="24"/>
        </w:rPr>
        <w:t xml:space="preserve">од установкой оборудования понимается выполнение всего необходимого комплекса работ, связанных с 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подключением согласно требованиям инструкций заводов – изготовителей</w:t>
      </w:r>
      <w:r>
        <w:rPr>
          <w:rFonts w:ascii="Times New Roman" w:hAnsi="Times New Roman"/>
          <w:szCs w:val="24"/>
        </w:rPr>
        <w:t xml:space="preserve"> и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технологических инструкций.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854"/>
        <w:ind w:firstLine="709"/>
        <w:jc w:val="both"/>
        <w:widowControl/>
        <w:tabs>
          <w:tab w:val="left" w:pos="1134" w:leader="none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1.</w:t>
      </w:r>
      <w:r>
        <w:rPr>
          <w:rFonts w:ascii="Times New Roman" w:hAnsi="Times New Roman"/>
          <w:szCs w:val="24"/>
        </w:rPr>
        <w:t xml:space="preserve">3</w:t>
      </w:r>
      <w:r>
        <w:rPr>
          <w:rFonts w:ascii="Times New Roman" w:hAnsi="Times New Roman"/>
          <w:szCs w:val="24"/>
        </w:rPr>
        <w:t xml:space="preserve">. </w:t>
      </w:r>
      <w:r>
        <w:rPr>
          <w:rFonts w:ascii="Times New Roman" w:hAnsi="Times New Roman"/>
          <w:szCs w:val="24"/>
        </w:rPr>
        <w:t xml:space="preserve">Поставляем</w:t>
      </w:r>
      <w:r>
        <w:rPr>
          <w:rFonts w:ascii="Times New Roman" w:hAnsi="Times New Roman"/>
          <w:szCs w:val="24"/>
        </w:rPr>
        <w:t xml:space="preserve">ое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оборудование</w:t>
      </w:r>
      <w:r>
        <w:rPr>
          <w:rFonts w:ascii="Times New Roman" w:hAnsi="Times New Roman"/>
          <w:szCs w:val="24"/>
        </w:rPr>
        <w:t xml:space="preserve"> должн</w:t>
      </w:r>
      <w:r>
        <w:rPr>
          <w:rFonts w:ascii="Times New Roman" w:hAnsi="Times New Roman"/>
          <w:szCs w:val="24"/>
        </w:rPr>
        <w:t xml:space="preserve">о</w:t>
      </w:r>
      <w:r>
        <w:rPr>
          <w:rFonts w:ascii="Times New Roman" w:hAnsi="Times New Roman"/>
          <w:szCs w:val="24"/>
        </w:rPr>
        <w:t xml:space="preserve"> соответствовать требованиям государственных и отраслевых стандартов, соответствующих органов Российской Федерации.</w:t>
      </w:r>
      <w:r>
        <w:rPr>
          <w:rFonts w:ascii="Times New Roman" w:hAnsi="Times New Roman"/>
          <w:szCs w:val="24"/>
        </w:rPr>
      </w:r>
      <w:r>
        <w:rPr>
          <w:rFonts w:ascii="Times New Roman" w:hAnsi="Times New Roman"/>
          <w:szCs w:val="24"/>
        </w:rPr>
      </w:r>
    </w:p>
    <w:p>
      <w:pPr>
        <w:pStyle w:val="854"/>
        <w:ind w:firstLine="709"/>
        <w:jc w:val="both"/>
        <w:widowControl/>
        <w:tabs>
          <w:tab w:val="left" w:pos="1134" w:leader="none"/>
        </w:tabs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 xml:space="preserve">1.4</w:t>
      </w:r>
      <w:r>
        <w:rPr>
          <w:rFonts w:ascii="Times New Roman" w:hAnsi="Times New Roman"/>
          <w:szCs w:val="24"/>
        </w:rPr>
        <w:t xml:space="preserve">. </w:t>
      </w:r>
      <w:r>
        <w:rPr>
          <w:rFonts w:ascii="Times New Roman" w:hAnsi="Times New Roman"/>
        </w:rPr>
        <w:t xml:space="preserve">Покупатель обязуется принять и оплатить</w:t>
      </w:r>
      <w:r>
        <w:rPr>
          <w:rFonts w:ascii="Times New Roman" w:hAnsi="Times New Roman"/>
        </w:rPr>
        <w:t xml:space="preserve">,</w:t>
      </w:r>
      <w:r>
        <w:rPr>
          <w:rFonts w:ascii="Times New Roman" w:hAnsi="Times New Roman"/>
        </w:rPr>
        <w:t xml:space="preserve"> в установленном настоящим договором порядке</w:t>
      </w:r>
      <w:r>
        <w:rPr>
          <w:rFonts w:ascii="Times New Roman" w:hAnsi="Times New Roman"/>
        </w:rPr>
        <w:t xml:space="preserve"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оборудование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4"/>
        <w:ind w:firstLine="709"/>
        <w:jc w:val="both"/>
        <w:widowControl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4"/>
        <w:ind w:firstLine="0"/>
        <w:jc w:val="center"/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КАЧЕСТВО И КОМПЛЕКТНОСТЬ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4"/>
        <w:ind w:firstLine="709"/>
        <w:jc w:val="both"/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</w:t>
      </w:r>
      <w:r>
        <w:rPr>
          <w:rFonts w:ascii="Times New Roman" w:hAnsi="Times New Roman"/>
        </w:rPr>
        <w:t xml:space="preserve">П</w:t>
      </w:r>
      <w:r>
        <w:rPr>
          <w:rFonts w:ascii="Times New Roman" w:hAnsi="Times New Roman"/>
        </w:rPr>
        <w:t xml:space="preserve">оставляемое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оборудование</w:t>
      </w:r>
      <w:r>
        <w:rPr>
          <w:rFonts w:ascii="Times New Roman" w:hAnsi="Times New Roman"/>
        </w:rPr>
        <w:t xml:space="preserve"> должн</w:t>
      </w:r>
      <w:r>
        <w:rPr>
          <w:rFonts w:ascii="Times New Roman" w:hAnsi="Times New Roman"/>
        </w:rPr>
        <w:t xml:space="preserve">о</w:t>
      </w:r>
      <w:r>
        <w:rPr>
          <w:rFonts w:ascii="Times New Roman" w:hAnsi="Times New Roman"/>
        </w:rPr>
        <w:t xml:space="preserve"> быть новым (не бы</w:t>
      </w:r>
      <w:r>
        <w:rPr>
          <w:rFonts w:ascii="Times New Roman" w:hAnsi="Times New Roman"/>
        </w:rPr>
        <w:t xml:space="preserve">вшим</w:t>
      </w:r>
      <w:r>
        <w:rPr>
          <w:rFonts w:ascii="Times New Roman" w:hAnsi="Times New Roman"/>
        </w:rPr>
        <w:t xml:space="preserve"> в употреблени</w:t>
      </w:r>
      <w:r>
        <w:rPr>
          <w:rFonts w:ascii="Times New Roman" w:hAnsi="Times New Roman"/>
        </w:rPr>
        <w:t xml:space="preserve">и, в ремонте, в том числе которое</w:t>
      </w:r>
      <w:r>
        <w:rPr>
          <w:rFonts w:ascii="Times New Roman" w:hAnsi="Times New Roman"/>
        </w:rPr>
        <w:t xml:space="preserve"> не был</w:t>
      </w:r>
      <w:r>
        <w:rPr>
          <w:rFonts w:ascii="Times New Roman" w:hAnsi="Times New Roman"/>
        </w:rPr>
        <w:t xml:space="preserve">о</w:t>
      </w:r>
      <w:r>
        <w:rPr>
          <w:rFonts w:ascii="Times New Roman" w:hAnsi="Times New Roman"/>
        </w:rPr>
        <w:t xml:space="preserve"> восстановлен</w:t>
      </w:r>
      <w:r>
        <w:rPr>
          <w:rFonts w:ascii="Times New Roman" w:hAnsi="Times New Roman"/>
        </w:rPr>
        <w:t xml:space="preserve">о</w:t>
      </w:r>
      <w:r>
        <w:rPr>
          <w:rFonts w:ascii="Times New Roman" w:hAnsi="Times New Roman"/>
        </w:rPr>
        <w:t xml:space="preserve">, у которого не была осуществлена замена составных частей, не были восстановлены потребительские свойства)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4"/>
        <w:ind w:firstLine="709"/>
        <w:jc w:val="both"/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</w:t>
      </w:r>
      <w:r>
        <w:rPr>
          <w:rFonts w:ascii="Times New Roman" w:hAnsi="Times New Roman"/>
        </w:rPr>
        <w:t xml:space="preserve">Качество и комплектность поставляемого </w:t>
      </w:r>
      <w:r>
        <w:rPr>
          <w:rFonts w:ascii="Times New Roman" w:hAnsi="Times New Roman"/>
        </w:rPr>
        <w:t xml:space="preserve">оборудования </w:t>
      </w:r>
      <w:r>
        <w:rPr>
          <w:rFonts w:ascii="Times New Roman" w:hAnsi="Times New Roman"/>
        </w:rPr>
        <w:t xml:space="preserve">должны соответствовать ГОСТ, ТУ, принятым для данного вида товаров, образцам товара.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4"/>
        <w:ind w:firstLine="709"/>
        <w:jc w:val="both"/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Оборудование долж</w:t>
      </w:r>
      <w:r>
        <w:rPr>
          <w:rFonts w:ascii="Times New Roman" w:hAnsi="Times New Roman"/>
        </w:rPr>
        <w:t xml:space="preserve">н</w:t>
      </w:r>
      <w:r>
        <w:rPr>
          <w:rFonts w:ascii="Times New Roman" w:hAnsi="Times New Roman"/>
        </w:rPr>
        <w:t xml:space="preserve">о</w:t>
      </w:r>
      <w:r>
        <w:rPr>
          <w:rFonts w:ascii="Times New Roman" w:hAnsi="Times New Roman"/>
        </w:rPr>
        <w:t xml:space="preserve"> быть снабжен</w:t>
      </w:r>
      <w:r>
        <w:rPr>
          <w:rFonts w:ascii="Times New Roman" w:hAnsi="Times New Roman"/>
        </w:rPr>
        <w:t xml:space="preserve">о</w:t>
      </w:r>
      <w:r>
        <w:rPr>
          <w:rFonts w:ascii="Times New Roman" w:hAnsi="Times New Roman"/>
        </w:rPr>
        <w:t xml:space="preserve"> соответствующими сертификатами, паспортами и/или другими документами на русском языке, надлежащим образом подтверждающими качество и/или безопасность Товара.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4"/>
        <w:ind w:firstLine="709"/>
        <w:jc w:val="both"/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</w:t>
      </w:r>
      <w:r>
        <w:rPr>
          <w:rFonts w:ascii="Times New Roman" w:hAnsi="Times New Roman"/>
        </w:rPr>
        <w:t xml:space="preserve">3</w:t>
      </w:r>
      <w:r>
        <w:rPr>
          <w:rFonts w:ascii="Times New Roman" w:hAnsi="Times New Roman"/>
        </w:rPr>
        <w:t xml:space="preserve">. Поставщик гарантирует качество и надежность поставляемого </w:t>
      </w:r>
      <w:r>
        <w:rPr>
          <w:rFonts w:ascii="Times New Roman" w:hAnsi="Times New Roman"/>
        </w:rPr>
        <w:t xml:space="preserve">оборудования</w:t>
      </w:r>
      <w:r>
        <w:rPr>
          <w:rFonts w:ascii="Times New Roman" w:hAnsi="Times New Roman"/>
        </w:rPr>
        <w:t xml:space="preserve">. Срок гарантии </w:t>
      </w:r>
      <w:r>
        <w:rPr>
          <w:rFonts w:ascii="Times New Roman" w:hAnsi="Times New Roman"/>
        </w:rPr>
        <w:t xml:space="preserve">оборудования</w:t>
      </w:r>
      <w:r>
        <w:rPr>
          <w:rFonts w:ascii="Times New Roman" w:hAnsi="Times New Roman"/>
        </w:rPr>
        <w:t xml:space="preserve"> составляет </w:t>
      </w:r>
      <w:r>
        <w:rPr>
          <w:rFonts w:ascii="Times New Roman" w:hAnsi="Times New Roman"/>
        </w:rPr>
        <w:t xml:space="preserve">12 месяцев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4"/>
        <w:ind w:firstLine="709"/>
        <w:jc w:val="both"/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</w:t>
      </w:r>
      <w:r>
        <w:rPr>
          <w:rFonts w:ascii="Times New Roman" w:hAnsi="Times New Roman"/>
        </w:rPr>
        <w:t xml:space="preserve">4</w:t>
      </w:r>
      <w:r>
        <w:rPr>
          <w:rFonts w:ascii="Times New Roman" w:hAnsi="Times New Roman"/>
        </w:rPr>
        <w:t xml:space="preserve">. При обнаружении производственных дефектов </w:t>
      </w:r>
      <w:r>
        <w:rPr>
          <w:rFonts w:ascii="Times New Roman" w:hAnsi="Times New Roman"/>
        </w:rPr>
        <w:t xml:space="preserve">оборудования</w:t>
      </w:r>
      <w:r>
        <w:rPr>
          <w:rFonts w:ascii="Times New Roman" w:hAnsi="Times New Roman"/>
        </w:rPr>
        <w:t xml:space="preserve"> при его приемке, Покупатель обязан известить Поставщика о выявленных дефектах в течение </w:t>
      </w:r>
      <w:r>
        <w:rPr>
          <w:rFonts w:ascii="Times New Roman" w:hAnsi="Times New Roman"/>
        </w:rPr>
        <w:t xml:space="preserve">тре</w:t>
      </w:r>
      <w:r>
        <w:rPr>
          <w:rFonts w:ascii="Times New Roman" w:hAnsi="Times New Roman"/>
        </w:rPr>
        <w:t xml:space="preserve">х рабочих дней, с приложением подробного перечня указанных дефектов.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4"/>
        <w:ind w:firstLine="540"/>
        <w:jc w:val="both"/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Поставщик обязуется устранить недостатки или заменить </w:t>
      </w:r>
      <w:r>
        <w:rPr>
          <w:rFonts w:ascii="Times New Roman" w:hAnsi="Times New Roman"/>
        </w:rPr>
        <w:t xml:space="preserve">оборудование</w:t>
      </w:r>
      <w:r>
        <w:rPr>
          <w:rFonts w:ascii="Times New Roman" w:hAnsi="Times New Roman"/>
        </w:rPr>
        <w:t xml:space="preserve"> ненадлежащего качества в течение </w:t>
      </w:r>
      <w:r>
        <w:rPr>
          <w:rFonts w:ascii="Times New Roman" w:hAnsi="Times New Roman"/>
        </w:rPr>
        <w:t xml:space="preserve">1</w:t>
      </w:r>
      <w:r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одного</w:t>
      </w:r>
      <w:r>
        <w:rPr>
          <w:rFonts w:ascii="Times New Roman" w:hAnsi="Times New Roman"/>
        </w:rPr>
        <w:t xml:space="preserve">)</w:t>
      </w:r>
      <w:r>
        <w:rPr>
          <w:rFonts w:ascii="Times New Roman" w:hAnsi="Times New Roman"/>
        </w:rPr>
        <w:t xml:space="preserve"> рабочего дня</w:t>
      </w:r>
      <w:r>
        <w:rPr>
          <w:rFonts w:ascii="Times New Roman" w:hAnsi="Times New Roman"/>
        </w:rPr>
        <w:t xml:space="preserve"> от даты приема - передачи </w:t>
      </w:r>
      <w:r>
        <w:rPr>
          <w:rFonts w:ascii="Times New Roman" w:hAnsi="Times New Roman"/>
        </w:rPr>
        <w:t xml:space="preserve">оборудования</w:t>
      </w:r>
      <w:r>
        <w:rPr>
          <w:rFonts w:ascii="Times New Roman" w:hAnsi="Times New Roman"/>
        </w:rPr>
        <w:t xml:space="preserve">, если дефекты были обнаружены в момент приема - передачи </w:t>
      </w:r>
      <w:r>
        <w:rPr>
          <w:rFonts w:ascii="Times New Roman" w:hAnsi="Times New Roman"/>
        </w:rPr>
        <w:t xml:space="preserve">оборудования</w:t>
      </w:r>
      <w:r>
        <w:rPr>
          <w:rFonts w:ascii="Times New Roman" w:hAnsi="Times New Roman"/>
        </w:rPr>
        <w:t xml:space="preserve">, или с момента получения уведомления об обнаружении производственных дефектов в процессе использования </w:t>
      </w:r>
      <w:r>
        <w:rPr>
          <w:rFonts w:ascii="Times New Roman" w:hAnsi="Times New Roman"/>
        </w:rPr>
        <w:t xml:space="preserve">оборудования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4"/>
        <w:ind w:firstLine="540"/>
        <w:jc w:val="both"/>
        <w:widowControl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4"/>
        <w:ind w:firstLine="0"/>
        <w:jc w:val="center"/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>
        <w:rPr>
          <w:rFonts w:ascii="Times New Roman" w:hAnsi="Times New Roman"/>
        </w:rPr>
        <w:t xml:space="preserve">СРОКИ И ПОРЯДОК ПОСТАВКИ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4"/>
        <w:ind w:firstLine="709"/>
        <w:jc w:val="both"/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3.1. </w:t>
      </w:r>
      <w:r>
        <w:rPr>
          <w:rFonts w:ascii="Times New Roman" w:hAnsi="Times New Roman"/>
        </w:rPr>
        <w:t xml:space="preserve">Оборудование</w:t>
      </w:r>
      <w:r>
        <w:rPr>
          <w:rFonts w:ascii="Times New Roman" w:hAnsi="Times New Roman"/>
        </w:rPr>
        <w:t xml:space="preserve"> в течение </w:t>
      </w:r>
      <w:r>
        <w:rPr>
          <w:rFonts w:ascii="Times New Roman" w:hAnsi="Times New Roman"/>
        </w:rPr>
        <w:t xml:space="preserve">30</w:t>
      </w:r>
      <w:r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 xml:space="preserve">тридцати)</w:t>
      </w:r>
      <w:r>
        <w:rPr>
          <w:rFonts w:ascii="Times New Roman" w:hAnsi="Times New Roman"/>
        </w:rPr>
        <w:t xml:space="preserve"> календарных</w:t>
      </w:r>
      <w:r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,</w:t>
      </w:r>
      <w:r>
        <w:rPr>
          <w:rFonts w:ascii="Times New Roman" w:hAnsi="Times New Roman"/>
        </w:rPr>
        <w:t xml:space="preserve"> со дня подписания договора, </w:t>
      </w:r>
      <w:r>
        <w:rPr>
          <w:rFonts w:ascii="Times New Roman" w:hAnsi="Times New Roman"/>
        </w:rPr>
        <w:t xml:space="preserve">д</w:t>
      </w:r>
      <w:r>
        <w:rPr>
          <w:rFonts w:ascii="Times New Roman" w:hAnsi="Times New Roman"/>
        </w:rPr>
        <w:t xml:space="preserve">оставляется </w:t>
      </w:r>
      <w:r>
        <w:rPr>
          <w:rFonts w:ascii="Times New Roman" w:hAnsi="Times New Roman"/>
        </w:rPr>
        <w:t xml:space="preserve">транспортом Поставщик</w:t>
      </w:r>
      <w:r>
        <w:rPr>
          <w:rFonts w:ascii="Times New Roman" w:hAnsi="Times New Roman"/>
        </w:rPr>
        <w:t xml:space="preserve">а за счет Поставщика</w:t>
      </w:r>
      <w:r>
        <w:rPr>
          <w:rFonts w:ascii="Times New Roman" w:hAnsi="Times New Roman"/>
        </w:rPr>
        <w:t xml:space="preserve"> и устанавливается</w:t>
      </w:r>
      <w:r>
        <w:rPr>
          <w:rFonts w:ascii="Times New Roman" w:hAnsi="Times New Roman"/>
        </w:rPr>
        <w:t xml:space="preserve"> по адрес</w:t>
      </w:r>
      <w:r>
        <w:rPr>
          <w:rFonts w:ascii="Times New Roman" w:hAnsi="Times New Roman"/>
        </w:rPr>
        <w:t xml:space="preserve">у, </w:t>
      </w:r>
      <w:r>
        <w:rPr>
          <w:rFonts w:ascii="Times New Roman" w:hAnsi="Times New Roman"/>
        </w:rPr>
        <w:t xml:space="preserve">указанн</w:t>
      </w:r>
      <w:r>
        <w:rPr>
          <w:rFonts w:ascii="Times New Roman" w:hAnsi="Times New Roman"/>
        </w:rPr>
        <w:t xml:space="preserve">ому в п.1.1.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4"/>
        <w:ind w:firstLine="709"/>
        <w:jc w:val="both"/>
        <w:widowControl/>
        <w:rPr>
          <w:rFonts w:ascii="Times New Roman" w:hAnsi="Times New Roman"/>
          <w:highlight w:val="none"/>
        </w:rPr>
      </w:pPr>
      <w:r>
        <w:rPr>
          <w:rFonts w:ascii="Times New Roman" w:hAnsi="Times New Roman"/>
        </w:rPr>
        <w:t xml:space="preserve">3.2. Товар поставляется в таре и упаковке, соответствующих стандартам</w:t>
      </w:r>
      <w:r>
        <w:rPr>
          <w:rFonts w:ascii="Times New Roman" w:hAnsi="Times New Roman"/>
        </w:rPr>
        <w:t xml:space="preserve"> и</w:t>
      </w:r>
      <w:r>
        <w:rPr>
          <w:rFonts w:ascii="Times New Roman" w:hAnsi="Times New Roman"/>
        </w:rPr>
        <w:t xml:space="preserve"> техническим условиям. 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Style w:val="854"/>
        <w:ind w:firstLine="709"/>
        <w:jc w:val="both"/>
        <w:widowControl/>
        <w:rPr>
          <w:rFonts w:ascii="Times New Roman" w:hAnsi="Times New Roman"/>
        </w:rPr>
      </w:pPr>
      <w:r>
        <w:rPr>
          <w:rFonts w:ascii="Times New Roman" w:hAnsi="Times New Roman"/>
          <w:highlight w:val="none"/>
        </w:rPr>
        <w:t xml:space="preserve">3.3.   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Заказчик в срок не более 20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рабочих дней со дня получения от Поставщика докумен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тов,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и на основании результатов экспертизы,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 подписывает  документ о приемке  или готовит мотивированный отказ от приемки, в котором указываются недостатки и сроки их устранения.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</w:rPr>
      </w:r>
    </w:p>
    <w:p>
      <w:pPr>
        <w:pStyle w:val="854"/>
        <w:ind w:firstLine="709"/>
        <w:jc w:val="both"/>
        <w:widowControl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4"/>
        <w:ind w:firstLine="0"/>
        <w:jc w:val="center"/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ЦЕНА И ПОРЯДОК РАСЧЕТОВ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4"/>
        <w:ind w:firstLine="709"/>
        <w:jc w:val="both"/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4.1. Сумма настоящего Договора составляет: </w:t>
      </w:r>
      <w:r>
        <w:rPr>
          <w:rFonts w:ascii="Times New Roman" w:hAnsi="Times New Roman"/>
        </w:rPr>
        <w:t xml:space="preserve">_____________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в т.ч.  НДС________.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4"/>
        <w:ind w:firstLine="0"/>
        <w:jc w:val="both"/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4.2. Поставщик передает Покупателю </w:t>
      </w:r>
      <w:r>
        <w:rPr>
          <w:rFonts w:ascii="Times New Roman" w:hAnsi="Times New Roman"/>
        </w:rPr>
        <w:t xml:space="preserve">счет, </w:t>
      </w:r>
      <w:r>
        <w:rPr>
          <w:rFonts w:ascii="Times New Roman" w:hAnsi="Times New Roman"/>
        </w:rPr>
        <w:t xml:space="preserve">счет-фактуру</w:t>
      </w:r>
      <w:r>
        <w:rPr>
          <w:rFonts w:ascii="Times New Roman" w:hAnsi="Times New Roman"/>
        </w:rPr>
        <w:t xml:space="preserve"> и</w:t>
      </w:r>
      <w:r>
        <w:rPr>
          <w:rFonts w:ascii="Times New Roman" w:hAnsi="Times New Roman"/>
        </w:rPr>
        <w:t xml:space="preserve"> товарную накладную</w:t>
      </w:r>
      <w:r>
        <w:rPr>
          <w:rFonts w:ascii="Times New Roman" w:hAnsi="Times New Roman"/>
        </w:rPr>
        <w:t xml:space="preserve"> (или УПД)</w:t>
      </w:r>
      <w:r>
        <w:rPr>
          <w:rFonts w:ascii="Times New Roman" w:hAnsi="Times New Roman"/>
        </w:rPr>
        <w:t xml:space="preserve"> в соответствии с действующем законодательством.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4"/>
        <w:ind w:firstLine="709"/>
        <w:jc w:val="both"/>
        <w:widowControl/>
        <w:rPr>
          <w:rFonts w:ascii="Times New Roman" w:hAnsi="Times New Roman"/>
          <w:highlight w:val="none"/>
        </w:rPr>
      </w:pPr>
      <w:r>
        <w:rPr>
          <w:rFonts w:ascii="Times New Roman" w:hAnsi="Times New Roman"/>
        </w:rPr>
        <w:t xml:space="preserve">4.3. Расчеты между сторонами производятся путем перечисления денежных средств </w:t>
      </w:r>
      <w:r>
        <w:rPr>
          <w:rFonts w:ascii="Times New Roman" w:hAnsi="Times New Roman"/>
        </w:rPr>
        <w:t xml:space="preserve">в течение </w:t>
      </w:r>
      <w:r>
        <w:rPr>
          <w:rFonts w:ascii="Times New Roman" w:hAnsi="Times New Roman"/>
        </w:rPr>
        <w:t xml:space="preserve">20</w:t>
      </w:r>
      <w:r>
        <w:rPr>
          <w:rFonts w:ascii="Times New Roman" w:hAnsi="Times New Roman"/>
        </w:rPr>
        <w:t xml:space="preserve"> рабочих дней на</w:t>
      </w:r>
      <w:r>
        <w:rPr>
          <w:rFonts w:ascii="Times New Roman" w:hAnsi="Times New Roman"/>
        </w:rPr>
        <w:t xml:space="preserve"> расчетный счет Поставщика</w:t>
      </w:r>
      <w:r>
        <w:rPr>
          <w:rFonts w:ascii="Times New Roman" w:hAnsi="Times New Roman"/>
        </w:rPr>
        <w:t xml:space="preserve"> со дня получения документов на оплату</w:t>
      </w:r>
      <w:r>
        <w:rPr>
          <w:rFonts w:ascii="Times New Roman" w:hAnsi="Times New Roman"/>
        </w:rPr>
        <w:t xml:space="preserve"> на основании </w:t>
      </w:r>
      <w:r>
        <w:rPr>
          <w:rFonts w:ascii="Times New Roman" w:hAnsi="Times New Roman"/>
        </w:rPr>
        <w:t xml:space="preserve">товарной </w:t>
      </w:r>
      <w:r>
        <w:rPr>
          <w:rFonts w:ascii="Times New Roman" w:hAnsi="Times New Roman"/>
        </w:rPr>
        <w:t xml:space="preserve">накладной</w:t>
      </w:r>
      <w:r>
        <w:rPr>
          <w:rFonts w:ascii="Times New Roman" w:hAnsi="Times New Roman"/>
        </w:rPr>
        <w:t xml:space="preserve"> (или УПД)</w:t>
      </w:r>
      <w:r>
        <w:rPr>
          <w:rFonts w:ascii="Times New Roman" w:hAnsi="Times New Roman"/>
        </w:rPr>
        <w:t xml:space="preserve"> и </w:t>
      </w:r>
      <w:r>
        <w:rPr>
          <w:rFonts w:ascii="Times New Roman" w:hAnsi="Times New Roman"/>
          <w:szCs w:val="24"/>
        </w:rPr>
        <w:t xml:space="preserve">актов об установке.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ind w:firstLine="709"/>
        <w:jc w:val="both"/>
        <w:spacing w:after="0" w:line="240" w:lineRule="auto"/>
        <w:rPr>
          <w:rFonts w:ascii="Tinos" w:hAnsi="Tinos" w:cs="Tinos"/>
          <w:bCs/>
          <w:sz w:val="24"/>
          <w:szCs w:val="24"/>
        </w:rPr>
        <w:outlineLvl w:val="0"/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4.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4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 Указанная в п. 4.1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 цена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Договора является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твердой и определяется на весь срок его исполнения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 включает в себя вс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е расходы Исполнителя по исполнению Контракта, включая стоимость запасных частей, расходных материал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ов, подлежащих замене, перевозку, страхование, уплату таможенных пошлин, налогов, и других обязательных платежей, связанных с выполнением условий Договора, а также включает работы по демонтажу имеющегося оборудования и монтажу приобретаемого оборудования. </w:t>
      </w:r>
      <w:r>
        <w:rPr>
          <w:rFonts w:ascii="Tinos" w:hAnsi="Tinos" w:cs="Tinos"/>
          <w:bCs/>
          <w:sz w:val="24"/>
          <w:szCs w:val="24"/>
        </w:rPr>
      </w:r>
      <w:r>
        <w:rPr>
          <w:rFonts w:ascii="Tinos" w:hAnsi="Tinos" w:cs="Tinos"/>
          <w:bCs/>
          <w:sz w:val="24"/>
          <w:szCs w:val="24"/>
        </w:rPr>
      </w:r>
    </w:p>
    <w:p>
      <w:pPr>
        <w:pStyle w:val="854"/>
        <w:ind w:firstLine="709"/>
        <w:jc w:val="both"/>
        <w:widowControl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48"/>
        <w:jc w:val="center"/>
        <w:rPr>
          <w:b/>
        </w:rPr>
      </w:pPr>
      <w:r>
        <w:rPr>
          <w:szCs w:val="24"/>
        </w:rPr>
        <w:t xml:space="preserve">5. ОТВЕТСТВЕННОСТЬ СТОРОН И ПОРЯДОК РАЗРЕШЕНИЯ СПОРОВ</w:t>
      </w:r>
      <w:r>
        <w:rPr>
          <w:b/>
        </w:rPr>
      </w:r>
      <w:r>
        <w:rPr>
          <w:b/>
        </w:rPr>
      </w:r>
    </w:p>
    <w:p>
      <w:pPr>
        <w:pStyle w:val="848"/>
        <w:ind w:left="1353" w:hanging="644"/>
      </w:pPr>
      <w:r>
        <w:t xml:space="preserve">5</w:t>
      </w:r>
      <w:r>
        <w:t xml:space="preserve">.1. Споры, возникшие между сторонами при исполнении Договора, разрешаются в </w:t>
      </w:r>
      <w:r/>
    </w:p>
    <w:p>
      <w:pPr>
        <w:pStyle w:val="848"/>
      </w:pPr>
      <w:r>
        <w:t xml:space="preserve">установленном законодательством порядке.</w:t>
      </w:r>
      <w:r/>
    </w:p>
    <w:p>
      <w:pPr>
        <w:pStyle w:val="848"/>
        <w:ind w:firstLine="720"/>
        <w:jc w:val="both"/>
      </w:pPr>
      <w:r>
        <w:t xml:space="preserve">5</w:t>
      </w:r>
      <w:r>
        <w:t xml:space="preserve">.2. 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Федерации.</w:t>
      </w:r>
      <w:r/>
    </w:p>
    <w:p>
      <w:pPr>
        <w:pStyle w:val="848"/>
        <w:ind w:firstLine="720"/>
        <w:jc w:val="both"/>
        <w:rPr>
          <w:rFonts w:cs="Arial"/>
          <w:color w:val="000000"/>
        </w:rPr>
      </w:pPr>
      <w:r>
        <w:rPr>
          <w:rFonts w:cs="Arial"/>
        </w:rPr>
        <w:t xml:space="preserve">5</w:t>
      </w:r>
      <w:r>
        <w:rPr>
          <w:rFonts w:cs="Arial"/>
        </w:rPr>
        <w:t xml:space="preserve">.3. </w:t>
      </w:r>
      <w:r>
        <w:rPr>
          <w:rFonts w:cs="Arial"/>
          <w:color w:val="000000"/>
        </w:rPr>
        <w:t xml:space="preserve">В случае просрочки исполнения </w:t>
      </w:r>
      <w:r>
        <w:t xml:space="preserve">Поставщик</w:t>
      </w:r>
      <w:r>
        <w:rPr>
          <w:rFonts w:cs="Arial"/>
          <w:color w:val="000000"/>
        </w:rPr>
        <w:t xml:space="preserve">о</w:t>
      </w:r>
      <w:r>
        <w:rPr>
          <w:rFonts w:cs="Arial"/>
          <w:color w:val="000000"/>
        </w:rPr>
        <w:t xml:space="preserve">м обязательств, предусмотренных договором, а также в иных случаях неисполнения или ненадлежащего исполнения </w:t>
      </w:r>
      <w:r>
        <w:t xml:space="preserve">Поставщик</w:t>
      </w:r>
      <w:r>
        <w:rPr>
          <w:rFonts w:cs="Arial"/>
          <w:color w:val="000000"/>
        </w:rPr>
        <w:t xml:space="preserve">о</w:t>
      </w:r>
      <w:r>
        <w:rPr>
          <w:rFonts w:cs="Arial"/>
          <w:color w:val="000000"/>
        </w:rPr>
        <w:t xml:space="preserve">м обязательств, предусмотренных договором, </w:t>
      </w:r>
      <w:r>
        <w:rPr>
          <w:rFonts w:cs="Arial"/>
          <w:color w:val="000000"/>
        </w:rPr>
        <w:t xml:space="preserve">Покупатель</w:t>
      </w:r>
      <w:r>
        <w:rPr>
          <w:rFonts w:cs="Arial"/>
          <w:color w:val="000000"/>
        </w:rPr>
        <w:t xml:space="preserve"> направляет </w:t>
      </w:r>
      <w:r>
        <w:t xml:space="preserve">Поставщик</w:t>
      </w:r>
      <w:r>
        <w:t xml:space="preserve">у</w:t>
      </w:r>
      <w:r>
        <w:rPr>
          <w:rFonts w:cs="Arial"/>
          <w:color w:val="000000"/>
        </w:rPr>
        <w:t xml:space="preserve"> требование об уплате неустоек (штрафов, пеней).</w:t>
      </w:r>
      <w:r>
        <w:rPr>
          <w:rFonts w:cs="Arial"/>
          <w:color w:val="000000"/>
        </w:rPr>
      </w:r>
      <w:r>
        <w:rPr>
          <w:rFonts w:cs="Arial"/>
          <w:color w:val="000000"/>
        </w:rPr>
      </w:r>
    </w:p>
    <w:p>
      <w:pPr>
        <w:pStyle w:val="848"/>
        <w:ind w:firstLine="720"/>
        <w:jc w:val="both"/>
      </w:pPr>
      <w:r>
        <w:rPr>
          <w:rFonts w:cs="Arial"/>
          <w:color w:val="000000"/>
        </w:rPr>
        <w:t xml:space="preserve">Пеня начисляется за каждый день просрочки исполнения </w:t>
      </w:r>
      <w:r>
        <w:t xml:space="preserve">Поставщик</w:t>
      </w:r>
      <w:r>
        <w:t xml:space="preserve">ом</w:t>
      </w:r>
      <w:r>
        <w:rPr>
          <w:rFonts w:cs="Arial"/>
          <w:color w:val="000000"/>
        </w:rPr>
        <w:t xml:space="preserve"> обязательства, предусмотренного договором, начиная со дня, следующего после дня истечения установленного договором срока исполнения об</w:t>
      </w:r>
      <w:r>
        <w:rPr>
          <w:rFonts w:cs="Arial"/>
          <w:color w:val="000000"/>
        </w:rPr>
        <w:t xml:space="preserve">язательства, и устанавливается договор</w:t>
      </w:r>
      <w:r>
        <w:rPr>
          <w:rFonts w:cs="Arial"/>
          <w:color w:val="000000"/>
        </w:rPr>
        <w:t xml:space="preserve">ом в размере одной трехсотой действующей на дату уплаты пени </w:t>
      </w:r>
      <w:r>
        <w:fldChar w:fldCharType="begin"/>
      </w:r>
      <w:r>
        <w:instrText xml:space="preserve"> HYPERLINK "http://mobileonline.garant.ru/" \l "/document/10180094/entry/100" </w:instrText>
      </w:r>
      <w:r>
        <w:fldChar w:fldCharType="separate"/>
      </w:r>
      <w:r>
        <w:rPr>
          <w:rFonts w:cs="Arial"/>
        </w:rPr>
        <w:t xml:space="preserve">ключевой ставки</w:t>
      </w:r>
      <w:r>
        <w:rPr>
          <w:rFonts w:cs="Arial"/>
        </w:rPr>
        <w:fldChar w:fldCharType="end"/>
      </w:r>
      <w:r>
        <w:rPr>
          <w:rFonts w:cs="Arial"/>
        </w:rPr>
        <w:t xml:space="preserve"> Центрального банка Российской Федерации от цены договора</w:t>
      </w:r>
      <w:r>
        <w:rPr>
          <w:rFonts w:cs="Arial"/>
          <w:color w:val="000000"/>
        </w:rPr>
        <w:t xml:space="preserve">.</w:t>
      </w:r>
      <w:r/>
    </w:p>
    <w:p>
      <w:pPr>
        <w:pStyle w:val="848"/>
        <w:ind w:firstLine="709"/>
        <w:jc w:val="both"/>
      </w:pPr>
      <w:r>
        <w:t xml:space="preserve">За каждый факт неисполнения или ненадлежащего исполнения </w:t>
      </w:r>
      <w:r>
        <w:t xml:space="preserve">Поставщик</w:t>
      </w:r>
      <w:r>
        <w:t xml:space="preserve">ом</w:t>
      </w:r>
      <w:r>
        <w:t xml:space="preserve"> обязательств, предусмотренных договором </w:t>
      </w:r>
      <w:r>
        <w:t xml:space="preserve">Поставщ</w:t>
      </w:r>
      <w:r>
        <w:t xml:space="preserve">ик</w:t>
      </w:r>
      <w:r>
        <w:t xml:space="preserve"> уплачивает </w:t>
      </w:r>
      <w:r>
        <w:t xml:space="preserve">Покупателю</w:t>
      </w:r>
      <w:r>
        <w:t xml:space="preserve"> штраф в размере 1</w:t>
      </w:r>
      <w:r>
        <w:t xml:space="preserve">0</w:t>
      </w:r>
      <w:r>
        <w:t xml:space="preserve"> % ц</w:t>
      </w:r>
      <w:r>
        <w:t xml:space="preserve">ены договора, что составляет: _______ рублей__</w:t>
      </w:r>
      <w:r>
        <w:t xml:space="preserve"> копеек.</w:t>
      </w:r>
      <w:r/>
    </w:p>
    <w:p>
      <w:pPr>
        <w:pStyle w:val="848"/>
        <w:contextualSpacing/>
        <w:jc w:val="both"/>
        <w:tabs>
          <w:tab w:val="left" w:pos="0" w:leader="none"/>
          <w:tab w:val="left" w:pos="709" w:leader="none"/>
          <w:tab w:val="left" w:pos="4732" w:leader="none"/>
        </w:tabs>
      </w:pPr>
      <w:r>
        <w:tab/>
      </w:r>
      <w:r>
        <w:t xml:space="preserve">5</w:t>
      </w:r>
      <w:r>
        <w:t xml:space="preserve">.4.</w:t>
      </w:r>
      <w:r>
        <w:t xml:space="preserve"> В случае просрочки исполнения </w:t>
      </w:r>
      <w:r>
        <w:t xml:space="preserve">Покупателем</w:t>
      </w:r>
      <w:r>
        <w:t xml:space="preserve"> обязательств, предусмотренных договором, а также в иных случаях неисполнения или ненадлежащего исполнения </w:t>
      </w:r>
      <w:r>
        <w:t xml:space="preserve">Покупателем</w:t>
      </w:r>
      <w:r>
        <w:t xml:space="preserve"> обязательств, предусмотренных договором, </w:t>
      </w:r>
      <w:r>
        <w:t xml:space="preserve">Поставщик</w:t>
      </w:r>
      <w:r>
        <w:t xml:space="preserve"> вправе потребовать уплаты неустоек (штрафов, пеней). </w:t>
      </w:r>
      <w:r/>
    </w:p>
    <w:p>
      <w:pPr>
        <w:pStyle w:val="848"/>
        <w:ind w:firstLine="567"/>
        <w:jc w:val="both"/>
      </w:pPr>
      <w:r>
        <w:t xml:space="preserve">Пеня начисляется за каждый день просрочки исполнения обязательства, предусмотренного договором, начиная со дня, след</w:t>
      </w:r>
      <w:r>
        <w:t xml:space="preserve">ующего после дня истечения установленного договором срока исполнения обязательства. Такая пеня устанавливается договором в размере 1/300 действующей на дату уплаты пеней ключевой ставки Центрального банка Российской Федерации от не уплаченной в срок суммы.</w:t>
      </w:r>
      <w:r/>
    </w:p>
    <w:p>
      <w:pPr>
        <w:pStyle w:val="848"/>
        <w:ind w:firstLine="709"/>
        <w:jc w:val="both"/>
      </w:pPr>
      <w:r>
        <w:t xml:space="preserve">5</w:t>
      </w:r>
      <w:r>
        <w:t xml:space="preserve">.</w:t>
      </w:r>
      <w:r>
        <w:t xml:space="preserve">5</w:t>
      </w:r>
      <w:r>
        <w:t xml:space="preserve">. За каждый факт неисполнения </w:t>
      </w:r>
      <w:r>
        <w:t xml:space="preserve">Покупателем </w:t>
      </w:r>
      <w:r>
        <w:t xml:space="preserve">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сумме 1000 руб.</w:t>
      </w:r>
      <w:r/>
    </w:p>
    <w:p>
      <w:pPr>
        <w:pStyle w:val="848"/>
        <w:ind w:firstLine="709"/>
        <w:jc w:val="both"/>
        <w:tabs>
          <w:tab w:val="num" w:pos="1647" w:leader="none"/>
        </w:tabs>
      </w:pPr>
      <w:r>
        <w:t xml:space="preserve">5.6</w:t>
      </w:r>
      <w:r>
        <w:t xml:space="preserve">. </w:t>
      </w:r>
      <w: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  <w:r/>
    </w:p>
    <w:p>
      <w:pPr>
        <w:pStyle w:val="848"/>
        <w:ind w:firstLine="709"/>
        <w:jc w:val="both"/>
        <w:tabs>
          <w:tab w:val="num" w:pos="1647" w:leader="none"/>
        </w:tabs>
      </w:pPr>
      <w:r/>
      <w:r/>
    </w:p>
    <w:p>
      <w:pPr>
        <w:pStyle w:val="854"/>
        <w:ind w:firstLine="709"/>
        <w:jc w:val="center"/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ОБСТОЯТЕЛЬСТВА НЕПРЕОДОЛИМОЙ СИЛЫ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4"/>
        <w:ind w:firstLine="709"/>
        <w:jc w:val="both"/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6.1. </w:t>
      </w:r>
      <w:r>
        <w:rPr>
          <w:rFonts w:ascii="Times New Roman" w:hAnsi="Times New Roman"/>
        </w:rPr>
        <w:t xml:space="preserve">Ни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одна из сторон не будет нести ответственности по настоящему Договору, если нарушение условий последнего связано с обстоятельствами непреодолимой силы (со стихийными бедствиями, военными действиями правительственных органов и т.п.).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5"/>
        <w:widowControl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4"/>
        <w:ind w:firstLine="0"/>
        <w:jc w:val="center"/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ЗАКЛЮЧИТЕЛЬНЫЕ УСЛОВИЯ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4"/>
        <w:ind w:firstLine="0"/>
        <w:jc w:val="both"/>
        <w:widowControl/>
        <w:tabs>
          <w:tab w:val="left" w:pos="709" w:leader="none"/>
          <w:tab w:val="left" w:pos="851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7.1. Все изменения, дополнения настоящего Договора действительны лишь в том случае, если они оформлены в письменной форме и подписаны обеими сторонами.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4"/>
        <w:ind w:firstLine="0"/>
        <w:jc w:val="both"/>
        <w:widowControl/>
        <w:tabs>
          <w:tab w:val="left" w:pos="567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7.2.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Договор вступает в силу с момента подписания и действует </w:t>
      </w:r>
      <w:r>
        <w:rPr>
          <w:rFonts w:ascii="Times New Roman" w:hAnsi="Times New Roman"/>
        </w:rPr>
        <w:t xml:space="preserve">по </w:t>
      </w:r>
      <w:r>
        <w:rPr>
          <w:rFonts w:ascii="Times New Roman" w:hAnsi="Times New Roman"/>
        </w:rPr>
        <w:t xml:space="preserve">31</w:t>
      </w:r>
      <w:r>
        <w:rPr>
          <w:rFonts w:ascii="Times New Roman" w:hAnsi="Times New Roman"/>
        </w:rPr>
        <w:t xml:space="preserve"> декабря </w:t>
      </w:r>
      <w:r>
        <w:rPr>
          <w:rFonts w:ascii="Times New Roman" w:hAnsi="Times New Roman"/>
        </w:rPr>
        <w:t xml:space="preserve">2026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г.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4"/>
        <w:ind w:firstLine="0"/>
        <w:jc w:val="both"/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 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7.3. Во всем остальном, не предусмотренном настоящим договором, стороны будут руководствоваться действующим законодательством РФ.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4"/>
        <w:ind w:firstLine="0"/>
        <w:jc w:val="both"/>
        <w:widowControl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4"/>
        <w:ind w:firstLine="540"/>
        <w:jc w:val="center"/>
        <w:widowControl/>
        <w:rPr>
          <w:rFonts w:ascii="Times New Roman" w:hAnsi="Times New Roman"/>
        </w:rPr>
      </w:pPr>
      <w:r>
        <w:rPr>
          <w:rFonts w:ascii="Times New Roman" w:hAnsi="Times New Roman"/>
        </w:rPr>
        <w:t xml:space="preserve">8</w:t>
      </w:r>
      <w:r>
        <w:rPr>
          <w:rFonts w:ascii="Times New Roman" w:hAnsi="Times New Roman"/>
        </w:rPr>
        <w:t xml:space="preserve">. РЕКВИЗИТЫ, ЮРИДИЧЕСКИ</w:t>
      </w:r>
      <w:r>
        <w:rPr>
          <w:rFonts w:ascii="Times New Roman" w:hAnsi="Times New Roman"/>
        </w:rPr>
        <w:t xml:space="preserve">Е</w:t>
      </w:r>
      <w:r>
        <w:rPr>
          <w:rFonts w:ascii="Times New Roman" w:hAnsi="Times New Roman"/>
        </w:rPr>
        <w:t xml:space="preserve"> АДРЕСА И ПОДПИСИ СТОРОН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54"/>
        <w:ind w:firstLine="540"/>
        <w:jc w:val="center"/>
        <w:widowControl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9648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644"/>
        <w:gridCol w:w="5004"/>
      </w:tblGrid>
      <w:tr>
        <w:tblPrEx/>
        <w:trPr>
          <w:trHeight w:val="355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44" w:type="dxa"/>
            <w:vAlign w:val="top"/>
            <w:textDirection w:val="lrTb"/>
            <w:noWrap w:val="false"/>
          </w:tcPr>
          <w:p>
            <w:pPr>
              <w:pStyle w:val="848"/>
              <w:ind w:firstLine="720"/>
              <w:jc w:val="both"/>
              <w:shd w:val="clear" w:color="auto" w:fill="ffffff"/>
              <w:rPr>
                <w:rFonts w:eastAsia="Arial"/>
                <w:bCs/>
                <w:szCs w:val="24"/>
              </w:rPr>
            </w:pPr>
            <w:r>
              <w:rPr>
                <w:rFonts w:eastAsia="Arial"/>
                <w:bCs/>
                <w:szCs w:val="24"/>
              </w:rPr>
              <w:t xml:space="preserve">Поставщик</w:t>
            </w:r>
            <w:r>
              <w:rPr>
                <w:rFonts w:eastAsia="Arial"/>
                <w:bCs/>
                <w:szCs w:val="24"/>
              </w:rPr>
              <w:t xml:space="preserve">:</w:t>
            </w:r>
            <w:r>
              <w:rPr>
                <w:rFonts w:eastAsia="Arial"/>
                <w:bCs/>
                <w:szCs w:val="24"/>
              </w:rPr>
            </w:r>
            <w:r>
              <w:rPr>
                <w:rFonts w:eastAsia="Arial"/>
                <w:bCs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4" w:type="dxa"/>
            <w:vAlign w:val="top"/>
            <w:textDirection w:val="lrTb"/>
            <w:noWrap w:val="false"/>
          </w:tcPr>
          <w:p>
            <w:pPr>
              <w:pStyle w:val="848"/>
              <w:ind w:firstLine="720"/>
              <w:shd w:val="clear" w:color="auto" w:fill="ffffff"/>
              <w:rPr>
                <w:rFonts w:eastAsia="Arial"/>
                <w:bCs/>
                <w:szCs w:val="24"/>
              </w:rPr>
            </w:pPr>
            <w:r>
              <w:rPr>
                <w:rFonts w:eastAsia="Arial"/>
                <w:bCs/>
                <w:szCs w:val="24"/>
              </w:rPr>
              <w:t xml:space="preserve">Покупатель</w:t>
            </w:r>
            <w:r>
              <w:rPr>
                <w:rFonts w:eastAsia="Arial"/>
                <w:bCs/>
                <w:szCs w:val="24"/>
              </w:rPr>
              <w:t xml:space="preserve">:</w:t>
            </w:r>
            <w:r>
              <w:rPr>
                <w:rFonts w:eastAsia="Arial"/>
                <w:bCs/>
                <w:szCs w:val="24"/>
              </w:rPr>
            </w:r>
            <w:r>
              <w:rPr>
                <w:rFonts w:eastAsia="Arial"/>
                <w:bCs/>
                <w:szCs w:val="24"/>
              </w:rPr>
            </w:r>
          </w:p>
        </w:tc>
      </w:tr>
      <w:tr>
        <w:tblPrEx/>
        <w:trPr>
          <w:trHeight w:val="6129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644" w:type="dxa"/>
            <w:vAlign w:val="top"/>
            <w:textDirection w:val="lrTb"/>
            <w:noWrap w:val="false"/>
          </w:tcPr>
          <w:p>
            <w:pPr>
              <w:pStyle w:val="880"/>
              <w:jc w:val="left"/>
            </w:pPr>
            <w: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highlight w:val="none"/>
              </w:rPr>
            </w:r>
            <w:r/>
          </w:p>
          <w:p>
            <w:pPr>
              <w:pStyle w:val="880"/>
              <w:jc w:val="left"/>
              <w:rPr>
                <w:rFonts w:ascii="Times New Roman" w:hAnsi="Times New Roman" w:cs="Times New Roman"/>
                <w:bCs w:val="0"/>
                <w:i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Cs w:val="0"/>
                <w:i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Cs w:val="0"/>
                <w:i w:val="0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880"/>
              <w:jc w:val="left"/>
              <w:rPr>
                <w:rFonts w:ascii="Times New Roman" w:hAnsi="Times New Roman" w:cs="Times New Roman"/>
                <w:bCs w:val="0"/>
                <w:i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Cs w:val="0"/>
                <w:i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Cs w:val="0"/>
                <w:i w:val="0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880"/>
              <w:jc w:val="left"/>
              <w:rPr>
                <w:rFonts w:ascii="Times New Roman" w:hAnsi="Times New Roman" w:cs="Times New Roman"/>
                <w:bCs w:val="0"/>
                <w:i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Cs w:val="0"/>
                <w:i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Cs w:val="0"/>
                <w:i w:val="0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880"/>
              <w:jc w:val="left"/>
              <w:rPr>
                <w:rFonts w:ascii="Times New Roman" w:hAnsi="Times New Roman" w:cs="Times New Roman"/>
                <w:bCs w:val="0"/>
                <w:i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Cs w:val="0"/>
                <w:i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Cs w:val="0"/>
                <w:i w:val="0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880"/>
              <w:jc w:val="left"/>
              <w:rPr>
                <w:rFonts w:ascii="Times New Roman" w:hAnsi="Times New Roman" w:cs="Times New Roman"/>
                <w:bCs w:val="0"/>
                <w:i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Cs w:val="0"/>
                <w:i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Cs w:val="0"/>
                <w:i w:val="0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880"/>
              <w:jc w:val="left"/>
              <w:rPr>
                <w:rFonts w:ascii="Times New Roman" w:hAnsi="Times New Roman" w:cs="Times New Roman"/>
                <w:bCs w:val="0"/>
                <w:i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Cs w:val="0"/>
                <w:i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Cs w:val="0"/>
                <w:i w:val="0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880"/>
              <w:jc w:val="left"/>
              <w:rPr>
                <w:rFonts w:ascii="Times New Roman" w:hAnsi="Times New Roman" w:cs="Times New Roman"/>
                <w:bCs w:val="0"/>
                <w:i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Cs w:val="0"/>
                <w:i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Cs w:val="0"/>
                <w:i w:val="0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880"/>
              <w:jc w:val="left"/>
              <w:rPr>
                <w:rFonts w:ascii="Times New Roman" w:hAnsi="Times New Roman" w:cs="Times New Roman"/>
                <w:bCs w:val="0"/>
                <w:i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Cs w:val="0"/>
                <w:i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Cs w:val="0"/>
                <w:i w:val="0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880"/>
              <w:jc w:val="left"/>
              <w:rPr>
                <w:rFonts w:ascii="Times New Roman" w:hAnsi="Times New Roman" w:cs="Times New Roman"/>
                <w:bCs w:val="0"/>
                <w:i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Cs w:val="0"/>
                <w:i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Cs w:val="0"/>
                <w:i w:val="0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880"/>
              <w:jc w:val="left"/>
              <w:rPr>
                <w:rFonts w:ascii="Times New Roman" w:hAnsi="Times New Roman" w:cs="Times New Roman"/>
                <w:bCs w:val="0"/>
                <w:i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Cs w:val="0"/>
                <w:i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Cs w:val="0"/>
                <w:i w:val="0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880"/>
              <w:jc w:val="left"/>
              <w:rPr>
                <w:rFonts w:ascii="Times New Roman" w:hAnsi="Times New Roman" w:cs="Times New Roman"/>
                <w:bCs w:val="0"/>
                <w:i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Cs w:val="0"/>
                <w:i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Cs w:val="0"/>
                <w:i w:val="0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880"/>
              <w:jc w:val="left"/>
              <w:rPr>
                <w:rFonts w:ascii="Times New Roman" w:hAnsi="Times New Roman" w:cs="Times New Roman"/>
                <w:bCs w:val="0"/>
                <w:i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Cs w:val="0"/>
                <w:i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Cs w:val="0"/>
                <w:i w:val="0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880"/>
              <w:jc w:val="left"/>
              <w:rPr>
                <w:rFonts w:ascii="Times New Roman" w:hAnsi="Times New Roman" w:cs="Times New Roman"/>
                <w:bCs w:val="0"/>
                <w:i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Cs w:val="0"/>
                <w:i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Cs w:val="0"/>
                <w:i w:val="0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880"/>
              <w:jc w:val="left"/>
              <w:rPr>
                <w:rFonts w:ascii="Times New Roman" w:hAnsi="Times New Roman" w:cs="Times New Roman"/>
                <w:bCs w:val="0"/>
                <w:i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Cs w:val="0"/>
                <w:i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Cs w:val="0"/>
                <w:i w:val="0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880"/>
              <w:jc w:val="left"/>
              <w:rPr>
                <w:rFonts w:ascii="Times New Roman" w:hAnsi="Times New Roman" w:cs="Times New Roman"/>
                <w:bCs w:val="0"/>
                <w:i w:val="0"/>
                <w:color w:val="000000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 w:val="0"/>
                <w:i w:val="0"/>
                <w:color w:val="000000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Cs w:val="0"/>
                <w:i w:val="0"/>
                <w:color w:val="000000"/>
                <w:sz w:val="24"/>
                <w:szCs w:val="24"/>
                <w:highlight w:val="none"/>
              </w:rPr>
            </w:r>
          </w:p>
          <w:p>
            <w:pPr>
              <w:pStyle w:val="880"/>
              <w:jc w:val="left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r>
          </w:p>
          <w:p>
            <w:pPr>
              <w:pStyle w:val="84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_________________   / ________________ /</w:t>
            </w:r>
            <w:r>
              <w:rPr>
                <w:sz w:val="21"/>
                <w:szCs w:val="21"/>
              </w:rPr>
              <w:t xml:space="preserve">                                                       </w:t>
            </w:r>
            <w:r>
              <w:rPr>
                <w:sz w:val="21"/>
                <w:szCs w:val="21"/>
              </w:rPr>
              <w:t xml:space="preserve">                                     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004" w:type="dxa"/>
            <w:vAlign w:val="top"/>
            <w:textDirection w:val="lrTb"/>
            <w:noWrap w:val="false"/>
          </w:tcPr>
          <w:p>
            <w:pPr>
              <w:contextualSpacing/>
              <w:shd w:val="clear" w:color="auto" w:fill="ffffff"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i w:val="0"/>
                <w:sz w:val="24"/>
                <w:szCs w:val="24"/>
                <w:lang w:eastAsia="zh-CN"/>
              </w:rPr>
              <w:t xml:space="preserve">Управление Федеральной службы 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  <w:p>
            <w:pPr>
              <w:contextualSpacing/>
              <w:shd w:val="clear" w:color="auto" w:fill="ffffff"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i w:val="0"/>
                <w:sz w:val="24"/>
                <w:szCs w:val="24"/>
                <w:lang w:eastAsia="zh-CN"/>
              </w:rPr>
              <w:t xml:space="preserve">государственной регистрации, кадастра и 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  <w:p>
            <w:pPr>
              <w:shd w:val="clear" w:color="auto" w:fill="ffffff"/>
              <w:widowControl w:val="off"/>
              <w:rPr>
                <w:rFonts w:ascii="Tinos" w:hAnsi="Tinos" w:cs="Tinos"/>
                <w:b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i w:val="0"/>
                <w:sz w:val="24"/>
                <w:szCs w:val="24"/>
                <w:lang w:eastAsia="zh-CN"/>
              </w:rPr>
              <w:t xml:space="preserve">картографии по Воронежской области</w:t>
            </w:r>
            <w:r>
              <w:rPr>
                <w:rFonts w:ascii="Tinos" w:hAnsi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z w:val="24"/>
                <w:szCs w:val="24"/>
              </w:rPr>
            </w:r>
          </w:p>
          <w:p>
            <w:pPr>
              <w:ind w:right="-108"/>
              <w:widowControl w:val="off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i w:val="0"/>
                <w:sz w:val="24"/>
                <w:szCs w:val="24"/>
                <w:lang w:eastAsia="zh-CN"/>
              </w:rPr>
              <w:t xml:space="preserve">(Управление Росреестра по Воронежской 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shd w:val="clear" w:color="auto" w:fill="ffffff"/>
              <w:widowControl w:val="off"/>
              <w:rPr>
                <w:rFonts w:ascii="Tinos" w:hAnsi="Tinos" w:cs="Tinos"/>
                <w:b/>
                <w:bCs/>
                <w:sz w:val="24"/>
                <w:szCs w:val="24"/>
              </w:rPr>
            </w:pPr>
            <w:r>
              <w:rPr>
                <w:rFonts w:ascii="Tinos" w:hAnsi="Tinos" w:eastAsia="Tinos" w:cs="Tinos"/>
                <w:i w:val="0"/>
                <w:sz w:val="24"/>
                <w:szCs w:val="24"/>
                <w:lang w:eastAsia="zh-CN"/>
              </w:rPr>
              <w:t xml:space="preserve">области)</w:t>
            </w:r>
            <w:r>
              <w:rPr>
                <w:rFonts w:ascii="Tinos" w:hAnsi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z w:val="24"/>
                <w:szCs w:val="24"/>
              </w:rPr>
            </w:r>
          </w:p>
          <w:p>
            <w:pPr>
              <w:ind w:right="-108"/>
              <w:widowControl w:val="off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i w:val="0"/>
                <w:sz w:val="24"/>
                <w:szCs w:val="24"/>
                <w:lang w:eastAsia="zh-CN"/>
              </w:rPr>
              <w:t xml:space="preserve">394026, г. Воронеж, ул. Донбасская, д. 2, 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right="-108"/>
              <w:widowControl w:val="off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i w:val="0"/>
                <w:sz w:val="24"/>
                <w:szCs w:val="24"/>
                <w:lang w:eastAsia="zh-CN"/>
              </w:rPr>
              <w:t xml:space="preserve">ОГРН 1043600196254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right="-108"/>
              <w:widowControl w:val="off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i w:val="0"/>
                <w:sz w:val="24"/>
                <w:szCs w:val="24"/>
                <w:lang w:eastAsia="zh-CN"/>
              </w:rPr>
              <w:t xml:space="preserve">ИНН 3664062360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right="-108"/>
              <w:widowControl w:val="off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i w:val="0"/>
                <w:sz w:val="24"/>
                <w:szCs w:val="24"/>
                <w:lang w:eastAsia="zh-CN"/>
              </w:rPr>
              <w:t xml:space="preserve">КПП 366401001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right="-108"/>
              <w:widowControl w:val="off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i w:val="0"/>
                <w:sz w:val="24"/>
                <w:szCs w:val="24"/>
              </w:rPr>
              <w:t xml:space="preserve">л/с 03311А39030 в УФК по Воронежской области 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84"/>
              <w:ind w:left="0"/>
              <w:spacing w:after="0"/>
              <w:widowControl w:val="off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Наименование банка: ОКЦ № 1 ВВГУ Банка России//УФК по Нижегородской области, г. Нижний Новгород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84"/>
              <w:ind w:left="0"/>
              <w:spacing w:after="0"/>
              <w:widowControl w:val="off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казначейский счет 03211643000000013228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84"/>
              <w:ind w:left="0"/>
              <w:spacing w:after="0"/>
              <w:widowControl w:val="off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банковский счет, входящий в состав ЕКС: 40102810745370000024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ind w:right="535"/>
              <w:rPr>
                <w:rFonts w:ascii="Tinos" w:hAnsi="Tinos" w:cs="Tinos"/>
                <w:i w:val="0"/>
                <w:sz w:val="24"/>
                <w:szCs w:val="24"/>
              </w:rPr>
            </w:pPr>
            <w:r>
              <w:rPr>
                <w:rFonts w:ascii="Tinos" w:hAnsi="Tinos" w:eastAsia="Tinos" w:cs="Tinos"/>
                <w:i w:val="0"/>
                <w:sz w:val="24"/>
                <w:szCs w:val="24"/>
              </w:rPr>
              <w:t xml:space="preserve">БИК 012202102      </w:t>
            </w:r>
            <w:r>
              <w:rPr>
                <w:rFonts w:ascii="Tinos" w:hAnsi="Tinos" w:eastAsia="Tinos" w:cs="Tinos"/>
                <w:i w:val="0"/>
                <w:sz w:val="24"/>
                <w:szCs w:val="24"/>
              </w:rPr>
              <w:t xml:space="preserve">     </w:t>
            </w:r>
            <w:r>
              <w:rPr>
                <w:rFonts w:ascii="Tinos" w:hAnsi="Tinos" w:cs="Tinos"/>
                <w:i w:val="0"/>
                <w:sz w:val="24"/>
                <w:szCs w:val="24"/>
              </w:rPr>
            </w:r>
            <w:r>
              <w:rPr>
                <w:rFonts w:ascii="Tinos" w:hAnsi="Tinos" w:cs="Tinos"/>
                <w:i w:val="0"/>
                <w:sz w:val="24"/>
                <w:szCs w:val="24"/>
              </w:rPr>
            </w:r>
          </w:p>
          <w:p>
            <w:pPr>
              <w:pStyle w:val="848"/>
            </w:pPr>
            <w:r/>
            <w:r/>
          </w:p>
          <w:p>
            <w:pPr>
              <w:pStyle w:val="848"/>
            </w:pPr>
            <w:r/>
            <w:r/>
          </w:p>
          <w:p>
            <w:pPr>
              <w:pStyle w:val="848"/>
            </w:pPr>
            <w:r/>
            <w:r/>
          </w:p>
          <w:p>
            <w:pPr>
              <w:pStyle w:val="848"/>
            </w:pPr>
            <w:r>
              <w:t xml:space="preserve">Заместитель руководителя</w:t>
            </w:r>
            <w:r/>
          </w:p>
          <w:p>
            <w:pPr>
              <w:pStyle w:val="848"/>
              <w:rPr>
                <w:sz w:val="32"/>
              </w:rPr>
            </w:pPr>
            <w:r>
              <w:rPr>
                <w:sz w:val="32"/>
              </w:rPr>
            </w:r>
            <w:r>
              <w:rPr>
                <w:sz w:val="32"/>
              </w:rPr>
            </w:r>
            <w:r>
              <w:rPr>
                <w:sz w:val="32"/>
              </w:rPr>
            </w:r>
          </w:p>
          <w:p>
            <w:pPr>
              <w:pStyle w:val="848"/>
              <w:widowControl w:val="off"/>
              <w:rPr>
                <w:rFonts w:eastAsia="Arial"/>
              </w:rPr>
            </w:pPr>
            <w:r>
              <w:t xml:space="preserve">_______________ / </w:t>
            </w:r>
            <w:r>
              <w:t xml:space="preserve">Ю.В. Толоконников </w:t>
            </w:r>
            <w:r>
              <w:t xml:space="preserve">/</w:t>
            </w:r>
            <w:r>
              <w:rPr>
                <w:rFonts w:eastAsia="Arial"/>
              </w:rPr>
            </w:r>
            <w:r>
              <w:rPr>
                <w:rFonts w:eastAsia="Arial"/>
              </w:rPr>
            </w:r>
          </w:p>
        </w:tc>
      </w:tr>
    </w:tbl>
    <w:p>
      <w:pPr>
        <w:pStyle w:val="848"/>
      </w:pPr>
      <w:r/>
      <w:r/>
    </w:p>
    <w:p>
      <w:pPr>
        <w:pStyle w:val="848"/>
        <w:jc w:val="right"/>
      </w:pPr>
      <w:r/>
      <w:r/>
    </w:p>
    <w:p>
      <w:pPr>
        <w:pStyle w:val="848"/>
        <w:jc w:val="right"/>
      </w:pPr>
      <w:r/>
      <w:r/>
    </w:p>
    <w:p>
      <w:pPr>
        <w:pStyle w:val="848"/>
        <w:jc w:val="right"/>
      </w:pPr>
      <w:r/>
      <w:r/>
    </w:p>
    <w:p>
      <w:pPr>
        <w:pStyle w:val="848"/>
        <w:jc w:val="right"/>
      </w:pPr>
      <w:r/>
      <w:r/>
    </w:p>
    <w:p>
      <w:pPr>
        <w:pStyle w:val="848"/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left"/>
      </w:pPr>
      <w:r/>
      <w:r/>
    </w:p>
    <w:p>
      <w:pPr>
        <w:pStyle w:val="848"/>
        <w:jc w:val="left"/>
      </w:pPr>
      <w:r/>
      <w:r/>
    </w:p>
    <w:p>
      <w:pPr>
        <w:pStyle w:val="848"/>
        <w:jc w:val="right"/>
      </w:pPr>
      <w:r/>
      <w:r/>
    </w:p>
    <w:p>
      <w:pPr>
        <w:pStyle w:val="848"/>
        <w:jc w:val="right"/>
      </w:pPr>
      <w:r>
        <w:t xml:space="preserve">Приложение № 1</w:t>
      </w:r>
      <w:r/>
    </w:p>
    <w:p>
      <w:pPr>
        <w:pStyle w:val="848"/>
        <w:jc w:val="right"/>
      </w:pPr>
      <w:r>
        <w:t xml:space="preserve">к </w:t>
      </w:r>
      <w:r>
        <w:t xml:space="preserve">договору №</w:t>
      </w:r>
      <w:r>
        <w:t xml:space="preserve">    </w:t>
      </w:r>
      <w:r/>
    </w:p>
    <w:p>
      <w:pPr>
        <w:pStyle w:val="848"/>
        <w:jc w:val="right"/>
      </w:pPr>
      <w:r>
        <w:t xml:space="preserve">от ________</w:t>
      </w:r>
      <w:r>
        <w:t xml:space="preserve"> </w:t>
      </w:r>
      <w:r>
        <w:t xml:space="preserve">202</w:t>
      </w:r>
      <w:r>
        <w:t xml:space="preserve">6 г.</w:t>
      </w:r>
      <w:r/>
    </w:p>
    <w:p>
      <w:pPr>
        <w:pStyle w:val="848"/>
      </w:pPr>
      <w:r/>
      <w:r/>
    </w:p>
    <w:p>
      <w:pPr>
        <w:pStyle w:val="848"/>
        <w:jc w:val="center"/>
      </w:pPr>
      <w:r>
        <w:t xml:space="preserve">Спецификация</w:t>
      </w:r>
      <w:r/>
    </w:p>
    <w:p>
      <w:pPr>
        <w:pStyle w:val="848"/>
        <w:jc w:val="center"/>
      </w:pPr>
      <w:r>
        <w:t xml:space="preserve">по договору №</w:t>
      </w:r>
      <w:r>
        <w:t xml:space="preserve"> </w:t>
      </w:r>
      <w:r>
        <w:t xml:space="preserve">_ </w:t>
      </w:r>
      <w:r>
        <w:t xml:space="preserve"> от</w:t>
      </w:r>
      <w:r>
        <w:t xml:space="preserve"> </w:t>
      </w:r>
      <w:r>
        <w:t xml:space="preserve"> </w:t>
      </w:r>
      <w:r>
        <w:t xml:space="preserve">_____________ 20</w:t>
      </w:r>
      <w:r>
        <w:t xml:space="preserve">2</w:t>
      </w:r>
      <w:r>
        <w:t xml:space="preserve">6 г. </w:t>
      </w:r>
      <w:r/>
    </w:p>
    <w:p>
      <w:pPr>
        <w:pStyle w:val="848"/>
        <w:jc w:val="center"/>
        <w:rPr>
          <w:sz w:val="4"/>
          <w:szCs w:val="4"/>
        </w:rPr>
      </w:pPr>
      <w:r>
        <w:rPr>
          <w:sz w:val="4"/>
          <w:szCs w:val="4"/>
        </w:rPr>
      </w:r>
      <w:r>
        <w:rPr>
          <w:sz w:val="4"/>
          <w:szCs w:val="4"/>
        </w:rPr>
      </w:r>
      <w:r>
        <w:rPr>
          <w:sz w:val="4"/>
          <w:szCs w:val="4"/>
        </w:rPr>
      </w:r>
    </w:p>
    <w:p>
      <w:pPr>
        <w:pStyle w:val="848"/>
        <w:jc w:val="center"/>
        <w:rPr>
          <w:sz w:val="4"/>
          <w:szCs w:val="4"/>
          <w:u w:val="single"/>
        </w:rPr>
      </w:pPr>
      <w:r>
        <w:rPr>
          <w:sz w:val="4"/>
          <w:szCs w:val="4"/>
          <w:u w:val="single"/>
        </w:rPr>
      </w:r>
      <w:r>
        <w:rPr>
          <w:sz w:val="4"/>
          <w:szCs w:val="4"/>
          <w:u w:val="single"/>
        </w:rPr>
      </w:r>
      <w:r>
        <w:rPr>
          <w:sz w:val="4"/>
          <w:szCs w:val="4"/>
          <w:u w:val="single"/>
        </w:rPr>
      </w:r>
    </w:p>
    <w:p>
      <w:pPr>
        <w:pStyle w:val="848"/>
        <w:jc w:val="center"/>
        <w:rPr>
          <w:sz w:val="4"/>
          <w:szCs w:val="4"/>
          <w:u w:val="single"/>
        </w:rPr>
      </w:pPr>
      <w:r>
        <w:rPr>
          <w:sz w:val="4"/>
          <w:szCs w:val="4"/>
          <w:u w:val="single"/>
        </w:rPr>
      </w:r>
      <w:r>
        <w:rPr>
          <w:sz w:val="4"/>
          <w:szCs w:val="4"/>
          <w:u w:val="single"/>
        </w:rPr>
      </w:r>
      <w:r>
        <w:rPr>
          <w:sz w:val="4"/>
          <w:szCs w:val="4"/>
          <w:u w:val="single"/>
        </w:rPr>
      </w:r>
    </w:p>
    <w:p>
      <w:pPr>
        <w:pStyle w:val="848"/>
        <w:jc w:val="center"/>
        <w:rPr>
          <w:sz w:val="4"/>
          <w:szCs w:val="4"/>
          <w:u w:val="single"/>
        </w:rPr>
      </w:pPr>
      <w:r>
        <w:rPr>
          <w:sz w:val="4"/>
          <w:szCs w:val="4"/>
          <w:u w:val="single"/>
        </w:rPr>
      </w:r>
      <w:r>
        <w:rPr>
          <w:sz w:val="4"/>
          <w:szCs w:val="4"/>
          <w:u w:val="single"/>
        </w:rPr>
      </w:r>
      <w:r>
        <w:rPr>
          <w:sz w:val="4"/>
          <w:szCs w:val="4"/>
          <w:u w:val="single"/>
        </w:rPr>
      </w:r>
    </w:p>
    <w:p>
      <w:pPr>
        <w:pStyle w:val="848"/>
        <w:jc w:val="center"/>
        <w:rPr>
          <w:sz w:val="2"/>
          <w:szCs w:val="2"/>
          <w:u w:val="single"/>
        </w:rPr>
      </w:pPr>
      <w:r>
        <w:rPr>
          <w:sz w:val="2"/>
          <w:szCs w:val="2"/>
          <w:u w:val="single"/>
        </w:rPr>
      </w:r>
      <w:r>
        <w:rPr>
          <w:sz w:val="2"/>
          <w:szCs w:val="2"/>
          <w:u w:val="single"/>
        </w:rPr>
      </w:r>
      <w:r>
        <w:rPr>
          <w:sz w:val="2"/>
          <w:szCs w:val="2"/>
          <w:u w:val="single"/>
        </w:rPr>
      </w:r>
    </w:p>
    <w:p>
      <w:pPr>
        <w:pStyle w:val="848"/>
        <w:jc w:val="center"/>
        <w:rPr>
          <w:sz w:val="4"/>
          <w:szCs w:val="4"/>
          <w:u w:val="single"/>
        </w:rPr>
      </w:pPr>
      <w:r>
        <w:rPr>
          <w:sz w:val="4"/>
          <w:szCs w:val="4"/>
          <w:u w:val="single"/>
        </w:rPr>
      </w:r>
      <w:r>
        <w:rPr>
          <w:sz w:val="4"/>
          <w:szCs w:val="4"/>
          <w:u w:val="single"/>
        </w:rPr>
      </w:r>
      <w:r>
        <w:rPr>
          <w:sz w:val="4"/>
          <w:szCs w:val="4"/>
          <w:u w:val="single"/>
        </w:rPr>
      </w:r>
    </w:p>
    <w:p>
      <w:pPr>
        <w:pStyle w:val="848"/>
        <w:jc w:val="center"/>
        <w:rPr>
          <w:sz w:val="4"/>
          <w:szCs w:val="4"/>
          <w:u w:val="single"/>
        </w:rPr>
      </w:pPr>
      <w:r>
        <w:rPr>
          <w:sz w:val="4"/>
          <w:szCs w:val="4"/>
          <w:u w:val="single"/>
        </w:rPr>
      </w:r>
      <w:r>
        <w:rPr>
          <w:sz w:val="4"/>
          <w:szCs w:val="4"/>
          <w:u w:val="single"/>
        </w:rPr>
      </w:r>
      <w:r>
        <w:rPr>
          <w:sz w:val="4"/>
          <w:szCs w:val="4"/>
          <w:u w:val="single"/>
        </w:rPr>
      </w:r>
    </w:p>
    <w:p>
      <w:pPr>
        <w:pStyle w:val="848"/>
        <w:jc w:val="center"/>
        <w:rPr>
          <w:sz w:val="2"/>
          <w:szCs w:val="2"/>
          <w:u w:val="single"/>
        </w:rPr>
      </w:pPr>
      <w:r>
        <w:rPr>
          <w:sz w:val="2"/>
          <w:szCs w:val="2"/>
          <w:u w:val="single"/>
        </w:rPr>
      </w:r>
      <w:r>
        <w:rPr>
          <w:sz w:val="2"/>
          <w:szCs w:val="2"/>
          <w:u w:val="single"/>
        </w:rPr>
      </w:r>
      <w:r>
        <w:rPr>
          <w:sz w:val="2"/>
          <w:szCs w:val="2"/>
          <w:u w:val="single"/>
        </w:rPr>
      </w:r>
    </w:p>
    <w:p>
      <w:pPr>
        <w:pStyle w:val="848"/>
        <w:jc w:val="center"/>
        <w:rPr>
          <w:sz w:val="4"/>
          <w:szCs w:val="4"/>
          <w:u w:val="single"/>
        </w:rPr>
      </w:pPr>
      <w:r>
        <w:rPr>
          <w:sz w:val="4"/>
          <w:szCs w:val="4"/>
          <w:u w:val="single"/>
        </w:rPr>
      </w:r>
      <w:r>
        <w:rPr>
          <w:sz w:val="4"/>
          <w:szCs w:val="4"/>
          <w:u w:val="single"/>
        </w:rPr>
      </w:r>
      <w:r>
        <w:rPr>
          <w:sz w:val="4"/>
          <w:szCs w:val="4"/>
          <w:u w:val="single"/>
        </w:rPr>
      </w:r>
    </w:p>
    <w:tbl>
      <w:tblPr>
        <w:tblW w:w="5000" w:type="pct"/>
        <w:tblInd w:w="-12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71" w:type="dxa"/>
          <w:top w:w="0" w:type="dxa"/>
          <w:right w:w="71" w:type="dxa"/>
          <w:bottom w:w="0" w:type="dxa"/>
        </w:tblCellMar>
        <w:tblLook w:val="0120" w:firstRow="1" w:lastRow="0" w:firstColumn="0" w:lastColumn="1" w:noHBand="0" w:noVBand="0"/>
      </w:tblPr>
      <w:tblGrid>
        <w:gridCol w:w="513"/>
        <w:gridCol w:w="4505"/>
        <w:gridCol w:w="686"/>
        <w:gridCol w:w="651"/>
        <w:gridCol w:w="1764"/>
        <w:gridCol w:w="137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77"/>
        </w:trPr>
        <w:tc>
          <w:tcPr>
            <w:tcW w:w="513" w:type="dxa"/>
            <w:vAlign w:val="top"/>
            <w:textDirection w:val="lrTb"/>
            <w:noWrap w:val="false"/>
          </w:tcPr>
          <w:p>
            <w:pPr>
              <w:pStyle w:val="848"/>
              <w:jc w:val="center"/>
              <w:rPr>
                <w:b/>
              </w:rPr>
            </w:pPr>
            <w:r>
              <w:rPr>
                <w:b/>
              </w:rPr>
              <w:t xml:space="preserve">№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4505" w:type="dxa"/>
            <w:vAlign w:val="top"/>
            <w:textDirection w:val="lrTb"/>
            <w:noWrap w:val="false"/>
          </w:tcPr>
          <w:p>
            <w:pPr>
              <w:pStyle w:val="848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товара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686" w:type="dxa"/>
            <w:vAlign w:val="top"/>
            <w:textDirection w:val="lrTb"/>
            <w:noWrap w:val="false"/>
          </w:tcPr>
          <w:p>
            <w:pPr>
              <w:pStyle w:val="848"/>
              <w:jc w:val="center"/>
              <w:rPr>
                <w:b/>
              </w:rPr>
            </w:pPr>
            <w:r>
              <w:rPr>
                <w:b/>
              </w:rPr>
              <w:t xml:space="preserve">Ед. изм.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651" w:type="dxa"/>
            <w:vAlign w:val="top"/>
            <w:textDirection w:val="lrTb"/>
            <w:noWrap w:val="false"/>
          </w:tcPr>
          <w:p>
            <w:pPr>
              <w:pStyle w:val="848"/>
              <w:jc w:val="center"/>
              <w:rPr>
                <w:b/>
              </w:rPr>
            </w:pPr>
            <w:r>
              <w:rPr>
                <w:b/>
              </w:rPr>
              <w:t xml:space="preserve">Кол-во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764" w:type="dxa"/>
            <w:vAlign w:val="top"/>
            <w:textDirection w:val="lrTb"/>
            <w:noWrap w:val="false"/>
          </w:tcPr>
          <w:p>
            <w:pPr>
              <w:pStyle w:val="848"/>
              <w:jc w:val="center"/>
              <w:rPr>
                <w:b/>
              </w:rPr>
            </w:pPr>
            <w:r>
              <w:rPr>
                <w:b/>
              </w:rPr>
              <w:t xml:space="preserve">Цена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W w:w="1377" w:type="dxa"/>
            <w:vAlign w:val="top"/>
            <w:textDirection w:val="lrTb"/>
            <w:noWrap w:val="false"/>
          </w:tcPr>
          <w:p>
            <w:pPr>
              <w:pStyle w:val="848"/>
              <w:jc w:val="center"/>
              <w:rPr>
                <w:b/>
              </w:rPr>
            </w:pPr>
            <w:r>
              <w:rPr>
                <w:b/>
              </w:rPr>
              <w:t xml:space="preserve">Сумма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pStyle w:val="848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0"/>
        </w:trPr>
        <w:tc>
          <w:tcPr>
            <w:gridSpan w:val="6"/>
            <w:tcW w:w="9496" w:type="dxa"/>
            <w:vAlign w:val="top"/>
            <w:textDirection w:val="lrTb"/>
            <w:noWrap w:val="false"/>
          </w:tcPr>
          <w:p>
            <w:pPr>
              <w:pStyle w:val="848"/>
              <w:ind w:left="15" w:hanging="84"/>
              <w:jc w:val="center"/>
              <w:spacing w:before="30" w:line="225" w:lineRule="exact"/>
            </w:pPr>
            <w:r>
              <w:t xml:space="preserve">В</w:t>
            </w:r>
            <w:r>
              <w:t xml:space="preserve"> котельн</w:t>
            </w:r>
            <w:r>
              <w:t xml:space="preserve">ую</w:t>
            </w:r>
            <w:r>
              <w:t xml:space="preserve"> по адресу: </w:t>
            </w:r>
            <w:r/>
          </w:p>
          <w:p>
            <w:pPr>
              <w:pStyle w:val="848"/>
              <w:ind w:left="15" w:hanging="84"/>
              <w:jc w:val="center"/>
              <w:spacing w:before="30" w:line="225" w:lineRule="exact"/>
            </w:pPr>
            <w:r>
              <w:rPr>
                <w:i w:val="0"/>
                <w:iCs w:val="0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Воронежская обл., Острогожский р-н, г. Острогожск, ул. Карла Маркса, д.44</w:t>
            </w:r>
            <w:r>
              <w:rPr>
                <w:i w:val="0"/>
                <w:iCs w:val="0"/>
                <w:sz w:val="24"/>
                <w:szCs w:val="24"/>
                <w:highlight w:val="white"/>
              </w:rPr>
            </w:r>
            <w:r/>
          </w:p>
        </w:tc>
      </w:tr>
      <w:tr>
        <w:tblPrEx/>
        <w:trPr>
          <w:trHeight w:val="180"/>
        </w:trPr>
        <w:tc>
          <w:tcPr>
            <w:tcW w:w="513" w:type="dxa"/>
            <w:vAlign w:val="top"/>
            <w:vMerge w:val="restart"/>
            <w:textDirection w:val="lrTb"/>
            <w:noWrap w:val="false"/>
          </w:tcPr>
          <w:p>
            <w:r>
              <w:t xml:space="preserve">1</w:t>
            </w:r>
            <w:r/>
          </w:p>
        </w:tc>
        <w:tc>
          <w:tcPr>
            <w:tcW w:w="4505" w:type="dxa"/>
            <w:vAlign w:val="center"/>
            <w:vMerge w:val="restart"/>
            <w:textDirection w:val="lrTb"/>
            <w:noWrap w:val="false"/>
          </w:tcPr>
          <w:p>
            <w:r>
              <w:rPr>
                <w:rFonts w:ascii="Times New Roman" w:hAnsi="Times New Roman"/>
                <w:szCs w:val="24"/>
              </w:rPr>
              <w:t xml:space="preserve">Прибор учета газа СМТ-СмартG6, включая комплект монтажных частей</w:t>
            </w:r>
            <w:r/>
            <w:r/>
            <w:r>
              <w:rPr>
                <w:rFonts w:ascii="Times New Roman" w:hAnsi="Times New Roman"/>
                <w:szCs w:val="24"/>
              </w:rPr>
            </w:r>
            <w:r>
              <w:rPr>
                <w:rFonts w:ascii="Times New Roman" w:hAnsi="Times New Roman"/>
                <w:szCs w:val="24"/>
              </w:rPr>
            </w:r>
            <w:r/>
          </w:p>
        </w:tc>
        <w:tc>
          <w:tcPr>
            <w:tcW w:w="686" w:type="dxa"/>
            <w:vAlign w:val="center"/>
            <w:vMerge w:val="restart"/>
            <w:textDirection w:val="lrTb"/>
            <w:noWrap w:val="false"/>
          </w:tcPr>
          <w:p>
            <w:pPr>
              <w:pStyle w:val="848"/>
              <w:ind w:left="15"/>
              <w:jc w:val="center"/>
              <w:spacing w:before="30" w:line="225" w:lineRule="exact"/>
            </w:pPr>
            <w:r>
              <w:t xml:space="preserve">шт.</w:t>
            </w:r>
            <w:r/>
          </w:p>
        </w:tc>
        <w:tc>
          <w:tcPr>
            <w:tcW w:w="651" w:type="dxa"/>
            <w:vAlign w:val="center"/>
            <w:vMerge w:val="restart"/>
            <w:textDirection w:val="lrTb"/>
            <w:noWrap w:val="false"/>
          </w:tcPr>
          <w:p>
            <w:pPr>
              <w:pStyle w:val="848"/>
              <w:ind w:left="15"/>
              <w:jc w:val="center"/>
              <w:spacing w:before="30" w:line="225" w:lineRule="exact"/>
            </w:pPr>
            <w:r>
              <w:t xml:space="preserve">1</w:t>
            </w:r>
            <w:r/>
          </w:p>
        </w:tc>
        <w:tc>
          <w:tcPr>
            <w:tcW w:w="1764" w:type="dxa"/>
            <w:vAlign w:val="center"/>
            <w:vMerge w:val="restart"/>
            <w:textDirection w:val="lrTb"/>
            <w:noWrap w:val="false"/>
          </w:tcPr>
          <w:p>
            <w:r/>
            <w:r/>
          </w:p>
        </w:tc>
        <w:tc>
          <w:tcPr>
            <w:tcW w:w="1377" w:type="dxa"/>
            <w:vAlign w:val="center"/>
            <w:vMerge w:val="restart"/>
            <w:textDirection w:val="lrTb"/>
            <w:noWrap w:val="false"/>
          </w:tcPr>
          <w:p>
            <w:pPr>
              <w:pStyle w:val="848"/>
              <w:ind w:left="15" w:hanging="84"/>
              <w:jc w:val="center"/>
              <w:spacing w:before="30" w:line="225" w:lineRule="exact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W w:w="513" w:type="dxa"/>
            <w:vAlign w:val="top"/>
            <w:textDirection w:val="lrTb"/>
            <w:noWrap w:val="false"/>
          </w:tcPr>
          <w:p>
            <w:pPr>
              <w:pStyle w:val="848"/>
              <w:jc w:val="center"/>
              <w:spacing w:line="240" w:lineRule="exact"/>
            </w:pPr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505" w:type="dxa"/>
            <w:vAlign w:val="center"/>
            <w:textDirection w:val="lrTb"/>
            <w:noWrap w:val="false"/>
          </w:tcPr>
          <w:p>
            <w:pPr>
              <w:pStyle w:val="848"/>
              <w:rPr>
                <w:rStyle w:val="878"/>
              </w:rPr>
            </w:pPr>
            <w:r>
              <w:rPr>
                <w:rStyle w:val="878"/>
              </w:rPr>
            </w:r>
            <w:r>
              <w:rPr>
                <w:rStyle w:val="878"/>
              </w:rPr>
            </w:r>
            <w:r>
              <w:rPr>
                <w:rStyle w:val="878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686" w:type="dxa"/>
            <w:vAlign w:val="center"/>
            <w:textDirection w:val="lrTb"/>
            <w:noWrap w:val="false"/>
          </w:tcPr>
          <w:p>
            <w:pPr>
              <w:pStyle w:val="848"/>
              <w:ind w:left="15"/>
              <w:jc w:val="center"/>
              <w:spacing w:before="30" w:line="225" w:lineRule="exact"/>
            </w:pPr>
            <w:r/>
            <w:r/>
          </w:p>
        </w:tc>
        <w:tc>
          <w:tcPr>
            <w:gridSpan w:val="2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416" w:type="dxa"/>
            <w:vAlign w:val="center"/>
            <w:textDirection w:val="lrTb"/>
            <w:noWrap w:val="false"/>
          </w:tcPr>
          <w:p>
            <w:pPr>
              <w:pStyle w:val="848"/>
              <w:ind w:left="15"/>
              <w:jc w:val="right"/>
              <w:spacing w:before="30" w:line="225" w:lineRule="exact"/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 xml:space="preserve">НДС 22%</w:t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>
              <w:left w:val="single" w:color="000000" w:sz="4" w:space="0"/>
            </w:tcBorders>
            <w:tcW w:w="1377" w:type="dxa"/>
            <w:vAlign w:val="center"/>
            <w:textDirection w:val="lrTb"/>
            <w:noWrap w:val="false"/>
          </w:tcPr>
          <w:p>
            <w:r/>
            <w:r/>
          </w:p>
        </w:tc>
      </w:tr>
    </w:tbl>
    <w:p>
      <w:pPr>
        <w:pStyle w:val="848"/>
      </w:pPr>
      <w:r/>
      <w:r/>
    </w:p>
    <w:p>
      <w:pPr>
        <w:pStyle w:val="854"/>
        <w:ind w:firstLine="709"/>
        <w:jc w:val="both"/>
        <w:widowControl/>
        <w:rPr>
          <w:rFonts w:ascii="Times New Roman" w:hAnsi="Times New Roman"/>
          <w:highlight w:val="none"/>
        </w:rPr>
      </w:pPr>
      <w:r>
        <w:rPr>
          <w:rFonts w:ascii="Times New Roman" w:hAnsi="Times New Roman"/>
        </w:rPr>
        <w:t xml:space="preserve">Итого к оплате: </w:t>
      </w:r>
      <w:r>
        <w:rPr>
          <w:rFonts w:ascii="Times New Roman" w:hAnsi="Times New Roman"/>
        </w:rPr>
        <w:t xml:space="preserve">________________________________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>
      <w:pPr>
        <w:pStyle w:val="854"/>
        <w:ind w:firstLine="709"/>
        <w:jc w:val="both"/>
        <w:widowControl/>
        <w:rPr>
          <w:rFonts w:ascii="Times New Roman" w:hAnsi="Times New Roman"/>
        </w:rPr>
      </w:pP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48"/>
        <w:rPr>
          <w:b/>
          <w:u w:val="single"/>
        </w:rPr>
      </w:pPr>
      <w:r>
        <w:rPr>
          <w:b/>
          <w:u w:val="single"/>
        </w:rPr>
      </w:r>
      <w:r>
        <w:rPr>
          <w:b/>
          <w:u w:val="single"/>
        </w:rPr>
      </w:r>
      <w:r>
        <w:rPr>
          <w:b/>
          <w:u w:val="single"/>
        </w:rPr>
      </w:r>
    </w:p>
    <w:p>
      <w:pPr>
        <w:pStyle w:val="848"/>
        <w:tabs>
          <w:tab w:val="center" w:pos="5243" w:leader="none"/>
        </w:tabs>
      </w:pPr>
      <w:r>
        <w:t xml:space="preserve">Поставщик:</w:t>
        <w:tab/>
      </w:r>
      <w:r>
        <w:t xml:space="preserve"> </w:t>
      </w:r>
      <w:r>
        <w:t xml:space="preserve">Покупатель:</w:t>
      </w:r>
      <w:r/>
    </w:p>
    <w:tbl>
      <w:tblPr>
        <w:tblW w:w="0" w:type="auto"/>
        <w:jc w:val="center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>
        <w:tblPrEx/>
        <w:trPr>
          <w:trHeight w:val="2781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5" w:type="dxa"/>
            <w:vAlign w:val="top"/>
            <w:textDirection w:val="lrTb"/>
            <w:noWrap w:val="false"/>
          </w:tcPr>
          <w:p>
            <w:pPr>
              <w:pStyle w:val="848"/>
              <w:rPr>
                <w:sz w:val="4"/>
                <w:szCs w:val="4"/>
              </w:rPr>
            </w:pP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  <w:r>
              <w:rPr>
                <w:sz w:val="4"/>
                <w:szCs w:val="4"/>
              </w:rPr>
            </w:r>
          </w:p>
          <w:p>
            <w:pPr>
              <w:pStyle w:val="880"/>
              <w:tabs>
                <w:tab w:val="clear" w:pos="709" w:leader="none"/>
                <w:tab w:val="center" w:pos="2284" w:leader="none"/>
              </w:tabs>
              <w:rPr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</w:rPr>
            </w:r>
          </w:p>
          <w:p>
            <w:pPr>
              <w:pStyle w:val="880"/>
              <w:rPr>
                <w:rFonts w:ascii="Times New Roman" w:hAnsi="Times New Roman" w:cs="Times New Roman"/>
                <w:i w:val="0"/>
                <w:color w:val="000000"/>
                <w:sz w:val="32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color w:val="000000"/>
                <w:sz w:val="32"/>
                <w:szCs w:val="24"/>
              </w:rPr>
            </w:r>
            <w:r>
              <w:rPr>
                <w:rFonts w:ascii="Times New Roman" w:hAnsi="Times New Roman" w:cs="Times New Roman"/>
                <w:i w:val="0"/>
                <w:color w:val="000000"/>
                <w:sz w:val="32"/>
                <w:szCs w:val="24"/>
              </w:rPr>
            </w:r>
            <w:r>
              <w:rPr>
                <w:rFonts w:ascii="Times New Roman" w:hAnsi="Times New Roman" w:cs="Times New Roman"/>
                <w:i w:val="0"/>
                <w:color w:val="000000"/>
                <w:sz w:val="32"/>
                <w:szCs w:val="24"/>
              </w:rPr>
            </w:r>
          </w:p>
          <w:p>
            <w:pPr>
              <w:pStyle w:val="880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r>
          </w:p>
          <w:p>
            <w:pPr>
              <w:pStyle w:val="880"/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r>
          </w:p>
          <w:p>
            <w:pPr>
              <w:pStyle w:val="848"/>
            </w:pPr>
            <w:r>
              <w:rPr>
                <w:szCs w:val="24"/>
              </w:rPr>
              <w:t xml:space="preserve">___________________/_________________/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5" w:type="dxa"/>
            <w:vAlign w:val="top"/>
            <w:textDirection w:val="lrTb"/>
            <w:noWrap w:val="false"/>
          </w:tcPr>
          <w:p>
            <w:pPr>
              <w:pStyle w:val="848"/>
              <w:ind w:left="-107"/>
              <w:spacing w:line="256" w:lineRule="auto"/>
            </w:pPr>
            <w:r>
              <w:t xml:space="preserve">Управление Федеральной службы государственной регистрации, кадастра и картографии по Воронежской области </w:t>
            </w:r>
            <w:r/>
          </w:p>
          <w:p>
            <w:pPr>
              <w:pStyle w:val="848"/>
              <w:ind w:left="-107" w:right="-108"/>
              <w:shd w:val="clear" w:color="auto" w:fill="ffffff"/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 xml:space="preserve">Заместитель руководителя</w:t>
            </w:r>
            <w:r>
              <w:rPr>
                <w:rFonts w:eastAsia="Batang"/>
                <w:szCs w:val="24"/>
              </w:rPr>
            </w:r>
            <w:r>
              <w:rPr>
                <w:rFonts w:eastAsia="Batang"/>
                <w:szCs w:val="24"/>
              </w:rPr>
            </w:r>
          </w:p>
          <w:p>
            <w:pPr>
              <w:pStyle w:val="848"/>
              <w:ind w:left="-107" w:right="-108"/>
              <w:shd w:val="clear" w:color="auto" w:fill="ffffff"/>
              <w:rPr>
                <w:rFonts w:eastAsia="Batang"/>
                <w:sz w:val="16"/>
                <w:szCs w:val="10"/>
              </w:rPr>
            </w:pPr>
            <w:r>
              <w:rPr>
                <w:rFonts w:eastAsia="Batang"/>
                <w:sz w:val="16"/>
                <w:szCs w:val="10"/>
              </w:rPr>
            </w:r>
            <w:r>
              <w:rPr>
                <w:rFonts w:eastAsia="Batang"/>
                <w:sz w:val="16"/>
                <w:szCs w:val="10"/>
              </w:rPr>
            </w:r>
            <w:r>
              <w:rPr>
                <w:rFonts w:eastAsia="Batang"/>
                <w:sz w:val="16"/>
                <w:szCs w:val="10"/>
              </w:rPr>
            </w:r>
          </w:p>
          <w:p>
            <w:pPr>
              <w:pStyle w:val="848"/>
              <w:ind w:left="-107" w:right="-108"/>
              <w:shd w:val="clear" w:color="auto" w:fill="ffffff"/>
              <w:rPr>
                <w:rFonts w:eastAsia="Batang"/>
                <w:sz w:val="10"/>
                <w:szCs w:val="10"/>
              </w:rPr>
            </w:pPr>
            <w:r>
              <w:rPr>
                <w:rFonts w:eastAsia="Batang"/>
                <w:sz w:val="10"/>
                <w:szCs w:val="10"/>
              </w:rPr>
            </w:r>
            <w:r>
              <w:rPr>
                <w:rFonts w:eastAsia="Batang"/>
                <w:sz w:val="10"/>
                <w:szCs w:val="10"/>
              </w:rPr>
            </w:r>
            <w:r>
              <w:rPr>
                <w:rFonts w:eastAsia="Batang"/>
                <w:sz w:val="10"/>
                <w:szCs w:val="10"/>
              </w:rPr>
            </w:r>
          </w:p>
          <w:p>
            <w:pPr>
              <w:pStyle w:val="848"/>
              <w:ind w:left="-107" w:right="-108"/>
              <w:shd w:val="clear" w:color="auto" w:fill="ffffff"/>
              <w:rPr>
                <w:rFonts w:eastAsia="Batang"/>
                <w:szCs w:val="24"/>
              </w:rPr>
            </w:pPr>
            <w:r>
              <w:rPr>
                <w:rFonts w:eastAsia="Batang"/>
                <w:szCs w:val="24"/>
              </w:rPr>
              <w:t xml:space="preserve">_________________  / </w:t>
            </w:r>
            <w:r>
              <w:rPr>
                <w:rFonts w:eastAsia="Batang"/>
                <w:szCs w:val="24"/>
              </w:rPr>
              <w:t xml:space="preserve">Ю.В. Толоконников</w:t>
            </w:r>
            <w:r>
              <w:rPr>
                <w:rFonts w:eastAsia="Batang"/>
                <w:szCs w:val="24"/>
              </w:rPr>
              <w:t xml:space="preserve"> </w:t>
            </w:r>
            <w:r>
              <w:rPr>
                <w:rFonts w:eastAsia="Batang"/>
                <w:szCs w:val="24"/>
              </w:rPr>
              <w:t xml:space="preserve">/</w:t>
            </w:r>
            <w:r>
              <w:rPr>
                <w:rFonts w:eastAsia="Batang"/>
                <w:szCs w:val="24"/>
              </w:rPr>
            </w:r>
            <w:r>
              <w:rPr>
                <w:rFonts w:eastAsia="Batang"/>
                <w:szCs w:val="24"/>
              </w:rPr>
            </w:r>
          </w:p>
        </w:tc>
      </w:tr>
    </w:tbl>
    <w:p>
      <w:r/>
      <w:r/>
    </w:p>
    <w:sectPr>
      <w:footnotePr>
        <w:pos w:val="beneathText"/>
      </w:footnotePr>
      <w:endnotePr/>
      <w:type w:val="nextPage"/>
      <w:pgSz w:w="11905" w:h="16837" w:orient="portrait"/>
      <w:pgMar w:top="1134" w:right="850" w:bottom="1134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tang">
    <w:panose1 w:val="02000506000000020000"/>
  </w:font>
  <w:font w:name="Calibri">
    <w:panose1 w:val="020F0502020204030204"/>
  </w:font>
  <w:font w:name="Tinos">
    <w:panose1 w:val="02020603050405020304"/>
  </w:font>
  <w:font w:name="Times New Roman">
    <w:panose1 w:val="02020603050405020304"/>
  </w:font>
  <w:font w:name="Arial Narrow">
    <w:panose1 w:val="020B0606020202030204"/>
  </w:font>
  <w:font w:name="Tahoma">
    <w:panose1 w:val="020B0604030504040204"/>
  </w:font>
  <w:font w:name="Courier New">
    <w:panose1 w:val="02070409020205020404"/>
  </w:font>
  <w:font w:name="Arial Unicode MS">
    <w:panose1 w:val="020B0506020203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849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  <w:tabs>
          <w:tab w:val="num" w:pos="0" w:leader="none"/>
        </w:tabs>
      </w:pPr>
      <w:rPr>
        <w:szCs w:val="24"/>
      </w:rPr>
    </w:lvl>
    <w:lvl w:ilvl="1">
      <w:start w:val="2"/>
      <w:numFmt w:val="decimal"/>
      <w:isLgl w:val="false"/>
      <w:suff w:val="tab"/>
      <w:lvlText w:val="%1.%2."/>
      <w:lvlJc w:val="left"/>
      <w:pPr>
        <w:ind w:left="1070" w:hanging="360"/>
        <w:tabs>
          <w:tab w:val="num" w:pos="708" w:leader="none"/>
        </w:tabs>
      </w:pPr>
      <w:rPr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4408" w:hanging="720"/>
        <w:tabs>
          <w:tab w:val="num" w:pos="0" w:leader="none"/>
        </w:tabs>
      </w:pPr>
      <w:rPr>
        <w:szCs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6252" w:hanging="720"/>
        <w:tabs>
          <w:tab w:val="num" w:pos="0" w:leader="none"/>
        </w:tabs>
      </w:pPr>
      <w:rPr>
        <w:szCs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8456" w:hanging="1080"/>
        <w:tabs>
          <w:tab w:val="num" w:pos="0" w:leader="none"/>
        </w:tabs>
      </w:pPr>
      <w:rPr>
        <w:szCs w:val="24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300" w:hanging="1080"/>
        <w:tabs>
          <w:tab w:val="num" w:pos="0" w:leader="none"/>
        </w:tabs>
      </w:pPr>
      <w:rPr>
        <w:szCs w:val="24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2504" w:hanging="1440"/>
        <w:tabs>
          <w:tab w:val="num" w:pos="0" w:leader="none"/>
        </w:tabs>
      </w:pPr>
      <w:rPr>
        <w:szCs w:val="24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348" w:hanging="1440"/>
        <w:tabs>
          <w:tab w:val="num" w:pos="0" w:leader="none"/>
        </w:tabs>
      </w:pPr>
      <w:rPr>
        <w:szCs w:val="24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6552" w:hanging="1800"/>
        <w:tabs>
          <w:tab w:val="num" w:pos="0" w:leader="none"/>
        </w:tabs>
      </w:pPr>
      <w:rPr>
        <w:szCs w:val="24"/>
      </w:rPr>
    </w:lvl>
  </w:abstractNum>
  <w:abstractNum w:abstractNumId="2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204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414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5859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793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964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1718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3431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5504" w:hanging="180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sz w:val="24"/>
      </w:rPr>
    </w:lvl>
    <w:lvl w:ilvl="1">
      <w:start w:val="4"/>
      <w:numFmt w:val="decimal"/>
      <w:isLgl w:val="false"/>
      <w:suff w:val="tab"/>
      <w:lvlText w:val="%1.%2."/>
      <w:lvlJc w:val="left"/>
      <w:pPr>
        <w:ind w:left="1571" w:hanging="720"/>
      </w:pPr>
      <w:rPr>
        <w:sz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422" w:hanging="720"/>
      </w:pPr>
      <w:rPr>
        <w:sz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633" w:hanging="1080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484" w:hanging="1080"/>
      </w:pPr>
      <w:rPr>
        <w:sz w:val="24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695" w:hanging="1440"/>
      </w:pPr>
      <w:rPr>
        <w:sz w:val="24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906" w:hanging="1800"/>
      </w:pPr>
      <w:rPr>
        <w:sz w:val="24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757" w:hanging="1800"/>
      </w:pPr>
      <w:rPr>
        <w:sz w:val="24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968" w:hanging="2160"/>
      </w:pPr>
      <w:rPr>
        <w:sz w:val="24"/>
      </w:r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  <w:tabs>
          <w:tab w:val="num" w:pos="2880" w:leader="none"/>
        </w:tabs>
      </w:pPr>
      <w:rPr>
        <w:sz w:val="24"/>
        <w:szCs w:val="24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  <w:tabs>
          <w:tab w:val="num" w:pos="396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  <w:tabs>
          <w:tab w:val="num" w:pos="54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  <w:tabs>
          <w:tab w:val="num" w:pos="64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  <w:tabs>
          <w:tab w:val="num" w:pos="792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  <w:tabs>
          <w:tab w:val="num" w:pos="90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  <w:tabs>
          <w:tab w:val="num" w:pos="10440" w:leader="none"/>
        </w:tabs>
      </w:pPr>
    </w:lvl>
  </w:abstractNum>
  <w:abstractNum w:abstractNumId="5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2"/>
      <w:numFmt w:val="decimal"/>
      <w:isLgl w:val="false"/>
      <w:suff w:val="tab"/>
      <w:lvlText w:val="%1.%2."/>
      <w:lvlJc w:val="left"/>
      <w:pPr>
        <w:ind w:left="1070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440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6252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845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030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2504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348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6552" w:hanging="180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  <w:tabs>
          <w:tab w:val="num" w:pos="108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1271" w:hanging="420"/>
        <w:tabs>
          <w:tab w:val="num" w:pos="1271" w:leader="none"/>
        </w:tabs>
      </w:pPr>
      <w:rPr>
        <w:b w:val="0"/>
        <w:sz w:val="24"/>
        <w:szCs w:val="24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440" w:hanging="720"/>
        <w:tabs>
          <w:tab w:val="num" w:pos="144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800" w:hanging="1080"/>
        <w:tabs>
          <w:tab w:val="num" w:pos="180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800" w:hanging="1080"/>
        <w:tabs>
          <w:tab w:val="num" w:pos="180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2160" w:hanging="1440"/>
        <w:tabs>
          <w:tab w:val="num" w:pos="216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160" w:hanging="1440"/>
        <w:tabs>
          <w:tab w:val="num" w:pos="216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520" w:hanging="1800"/>
        <w:tabs>
          <w:tab w:val="num" w:pos="2520" w:leader="none"/>
        </w:tabs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0">
    <w:name w:val="Heading 1"/>
    <w:basedOn w:val="848"/>
    <w:next w:val="848"/>
    <w:link w:val="67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1">
    <w:name w:val="Heading 1 Char"/>
    <w:link w:val="670"/>
    <w:uiPriority w:val="9"/>
    <w:rPr>
      <w:rFonts w:ascii="Arial" w:hAnsi="Arial" w:eastAsia="Arial" w:cs="Arial"/>
      <w:sz w:val="40"/>
      <w:szCs w:val="40"/>
    </w:rPr>
  </w:style>
  <w:style w:type="paragraph" w:styleId="672">
    <w:name w:val="Heading 2"/>
    <w:basedOn w:val="848"/>
    <w:next w:val="848"/>
    <w:link w:val="67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3">
    <w:name w:val="Heading 2 Char"/>
    <w:link w:val="672"/>
    <w:uiPriority w:val="9"/>
    <w:rPr>
      <w:rFonts w:ascii="Arial" w:hAnsi="Arial" w:eastAsia="Arial" w:cs="Arial"/>
      <w:sz w:val="34"/>
    </w:rPr>
  </w:style>
  <w:style w:type="paragraph" w:styleId="674">
    <w:name w:val="Heading 3"/>
    <w:basedOn w:val="848"/>
    <w:next w:val="848"/>
    <w:link w:val="67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5">
    <w:name w:val="Heading 3 Char"/>
    <w:link w:val="674"/>
    <w:uiPriority w:val="9"/>
    <w:rPr>
      <w:rFonts w:ascii="Arial" w:hAnsi="Arial" w:eastAsia="Arial" w:cs="Arial"/>
      <w:sz w:val="30"/>
      <w:szCs w:val="30"/>
    </w:rPr>
  </w:style>
  <w:style w:type="paragraph" w:styleId="676">
    <w:name w:val="Heading 4"/>
    <w:basedOn w:val="848"/>
    <w:next w:val="848"/>
    <w:link w:val="67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7">
    <w:name w:val="Heading 4 Char"/>
    <w:link w:val="676"/>
    <w:uiPriority w:val="9"/>
    <w:rPr>
      <w:rFonts w:ascii="Arial" w:hAnsi="Arial" w:eastAsia="Arial" w:cs="Arial"/>
      <w:b/>
      <w:bCs/>
      <w:sz w:val="26"/>
      <w:szCs w:val="26"/>
    </w:rPr>
  </w:style>
  <w:style w:type="paragraph" w:styleId="678">
    <w:name w:val="Heading 5"/>
    <w:basedOn w:val="848"/>
    <w:next w:val="848"/>
    <w:link w:val="67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9">
    <w:name w:val="Heading 5 Char"/>
    <w:link w:val="678"/>
    <w:uiPriority w:val="9"/>
    <w:rPr>
      <w:rFonts w:ascii="Arial" w:hAnsi="Arial" w:eastAsia="Arial" w:cs="Arial"/>
      <w:b/>
      <w:bCs/>
      <w:sz w:val="24"/>
      <w:szCs w:val="24"/>
    </w:rPr>
  </w:style>
  <w:style w:type="paragraph" w:styleId="680">
    <w:name w:val="Heading 6"/>
    <w:basedOn w:val="848"/>
    <w:next w:val="848"/>
    <w:link w:val="6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1">
    <w:name w:val="Heading 6 Char"/>
    <w:link w:val="680"/>
    <w:uiPriority w:val="9"/>
    <w:rPr>
      <w:rFonts w:ascii="Arial" w:hAnsi="Arial" w:eastAsia="Arial" w:cs="Arial"/>
      <w:b/>
      <w:bCs/>
      <w:sz w:val="22"/>
      <w:szCs w:val="22"/>
    </w:rPr>
  </w:style>
  <w:style w:type="paragraph" w:styleId="682">
    <w:name w:val="Heading 7"/>
    <w:basedOn w:val="848"/>
    <w:next w:val="848"/>
    <w:link w:val="68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3">
    <w:name w:val="Heading 7 Char"/>
    <w:link w:val="68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4">
    <w:name w:val="Heading 8"/>
    <w:basedOn w:val="848"/>
    <w:next w:val="848"/>
    <w:link w:val="68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5">
    <w:name w:val="Heading 8 Char"/>
    <w:link w:val="684"/>
    <w:uiPriority w:val="9"/>
    <w:rPr>
      <w:rFonts w:ascii="Arial" w:hAnsi="Arial" w:eastAsia="Arial" w:cs="Arial"/>
      <w:i/>
      <w:iCs/>
      <w:sz w:val="22"/>
      <w:szCs w:val="22"/>
    </w:rPr>
  </w:style>
  <w:style w:type="paragraph" w:styleId="686">
    <w:name w:val="Heading 9"/>
    <w:basedOn w:val="848"/>
    <w:next w:val="848"/>
    <w:link w:val="68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7">
    <w:name w:val="Heading 9 Char"/>
    <w:link w:val="686"/>
    <w:uiPriority w:val="9"/>
    <w:rPr>
      <w:rFonts w:ascii="Arial" w:hAnsi="Arial" w:eastAsia="Arial" w:cs="Arial"/>
      <w:i/>
      <w:iCs/>
      <w:sz w:val="21"/>
      <w:szCs w:val="21"/>
    </w:rPr>
  </w:style>
  <w:style w:type="paragraph" w:styleId="688">
    <w:name w:val="List Paragraph"/>
    <w:basedOn w:val="848"/>
    <w:uiPriority w:val="34"/>
    <w:qFormat/>
    <w:pPr>
      <w:contextualSpacing/>
      <w:ind w:left="720"/>
    </w:pPr>
  </w:style>
  <w:style w:type="paragraph" w:styleId="689">
    <w:name w:val="No Spacing"/>
    <w:uiPriority w:val="1"/>
    <w:qFormat/>
    <w:pPr>
      <w:spacing w:before="0" w:after="0" w:line="240" w:lineRule="auto"/>
    </w:pPr>
  </w:style>
  <w:style w:type="paragraph" w:styleId="690">
    <w:name w:val="Title"/>
    <w:basedOn w:val="848"/>
    <w:next w:val="848"/>
    <w:link w:val="69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1">
    <w:name w:val="Title Char"/>
    <w:link w:val="690"/>
    <w:uiPriority w:val="10"/>
    <w:rPr>
      <w:sz w:val="48"/>
      <w:szCs w:val="48"/>
    </w:rPr>
  </w:style>
  <w:style w:type="paragraph" w:styleId="692">
    <w:name w:val="Subtitle"/>
    <w:basedOn w:val="848"/>
    <w:next w:val="848"/>
    <w:link w:val="693"/>
    <w:uiPriority w:val="11"/>
    <w:qFormat/>
    <w:pPr>
      <w:spacing w:before="200" w:after="200"/>
    </w:pPr>
    <w:rPr>
      <w:sz w:val="24"/>
      <w:szCs w:val="24"/>
    </w:rPr>
  </w:style>
  <w:style w:type="character" w:styleId="693">
    <w:name w:val="Subtitle Char"/>
    <w:link w:val="692"/>
    <w:uiPriority w:val="11"/>
    <w:rPr>
      <w:sz w:val="24"/>
      <w:szCs w:val="24"/>
    </w:rPr>
  </w:style>
  <w:style w:type="paragraph" w:styleId="694">
    <w:name w:val="Quote"/>
    <w:basedOn w:val="848"/>
    <w:next w:val="848"/>
    <w:link w:val="695"/>
    <w:uiPriority w:val="29"/>
    <w:qFormat/>
    <w:pPr>
      <w:ind w:left="720" w:right="720"/>
    </w:pPr>
    <w:rPr>
      <w:i/>
    </w:rPr>
  </w:style>
  <w:style w:type="character" w:styleId="695">
    <w:name w:val="Quote Char"/>
    <w:link w:val="694"/>
    <w:uiPriority w:val="29"/>
    <w:rPr>
      <w:i/>
    </w:rPr>
  </w:style>
  <w:style w:type="paragraph" w:styleId="696">
    <w:name w:val="Intense Quote"/>
    <w:basedOn w:val="848"/>
    <w:next w:val="848"/>
    <w:link w:val="69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7">
    <w:name w:val="Intense Quote Char"/>
    <w:link w:val="696"/>
    <w:uiPriority w:val="30"/>
    <w:rPr>
      <w:i/>
    </w:rPr>
  </w:style>
  <w:style w:type="paragraph" w:styleId="698">
    <w:name w:val="Header"/>
    <w:basedOn w:val="848"/>
    <w:link w:val="69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9">
    <w:name w:val="Header Char"/>
    <w:link w:val="698"/>
    <w:uiPriority w:val="99"/>
  </w:style>
  <w:style w:type="paragraph" w:styleId="700">
    <w:name w:val="Footer"/>
    <w:basedOn w:val="848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1">
    <w:name w:val="Footer Char"/>
    <w:link w:val="700"/>
    <w:uiPriority w:val="99"/>
  </w:style>
  <w:style w:type="paragraph" w:styleId="702">
    <w:name w:val="Caption"/>
    <w:basedOn w:val="848"/>
    <w:next w:val="8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3">
    <w:name w:val="Caption Char"/>
    <w:basedOn w:val="702"/>
    <w:link w:val="700"/>
    <w:uiPriority w:val="99"/>
  </w:style>
  <w:style w:type="table" w:styleId="70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0">
    <w:name w:val="Hyperlink"/>
    <w:uiPriority w:val="99"/>
    <w:unhideWhenUsed/>
    <w:rPr>
      <w:color w:val="0000ff" w:themeColor="hyperlink"/>
      <w:u w:val="single"/>
    </w:rPr>
  </w:style>
  <w:style w:type="paragraph" w:styleId="831">
    <w:name w:val="footnote text"/>
    <w:basedOn w:val="848"/>
    <w:link w:val="832"/>
    <w:uiPriority w:val="99"/>
    <w:semiHidden/>
    <w:unhideWhenUsed/>
    <w:pPr>
      <w:spacing w:after="40" w:line="240" w:lineRule="auto"/>
    </w:pPr>
    <w:rPr>
      <w:sz w:val="18"/>
    </w:rPr>
  </w:style>
  <w:style w:type="character" w:styleId="832">
    <w:name w:val="Footnote Text Char"/>
    <w:link w:val="831"/>
    <w:uiPriority w:val="99"/>
    <w:rPr>
      <w:sz w:val="18"/>
    </w:rPr>
  </w:style>
  <w:style w:type="character" w:styleId="833">
    <w:name w:val="footnote reference"/>
    <w:uiPriority w:val="99"/>
    <w:unhideWhenUsed/>
    <w:rPr>
      <w:vertAlign w:val="superscript"/>
    </w:rPr>
  </w:style>
  <w:style w:type="paragraph" w:styleId="834">
    <w:name w:val="endnote text"/>
    <w:basedOn w:val="848"/>
    <w:link w:val="835"/>
    <w:uiPriority w:val="99"/>
    <w:semiHidden/>
    <w:unhideWhenUsed/>
    <w:pPr>
      <w:spacing w:after="0" w:line="240" w:lineRule="auto"/>
    </w:pPr>
    <w:rPr>
      <w:sz w:val="20"/>
    </w:rPr>
  </w:style>
  <w:style w:type="character" w:styleId="835">
    <w:name w:val="Endnote Text Char"/>
    <w:link w:val="834"/>
    <w:uiPriority w:val="99"/>
    <w:rPr>
      <w:sz w:val="20"/>
    </w:rPr>
  </w:style>
  <w:style w:type="character" w:styleId="836">
    <w:name w:val="endnote reference"/>
    <w:uiPriority w:val="99"/>
    <w:semiHidden/>
    <w:unhideWhenUsed/>
    <w:rPr>
      <w:vertAlign w:val="superscript"/>
    </w:rPr>
  </w:style>
  <w:style w:type="paragraph" w:styleId="837">
    <w:name w:val="toc 1"/>
    <w:basedOn w:val="848"/>
    <w:next w:val="848"/>
    <w:uiPriority w:val="39"/>
    <w:unhideWhenUsed/>
    <w:pPr>
      <w:ind w:left="0" w:right="0" w:firstLine="0"/>
      <w:spacing w:after="57"/>
    </w:pPr>
  </w:style>
  <w:style w:type="paragraph" w:styleId="838">
    <w:name w:val="toc 2"/>
    <w:basedOn w:val="848"/>
    <w:next w:val="848"/>
    <w:uiPriority w:val="39"/>
    <w:unhideWhenUsed/>
    <w:pPr>
      <w:ind w:left="283" w:right="0" w:firstLine="0"/>
      <w:spacing w:after="57"/>
    </w:pPr>
  </w:style>
  <w:style w:type="paragraph" w:styleId="839">
    <w:name w:val="toc 3"/>
    <w:basedOn w:val="848"/>
    <w:next w:val="848"/>
    <w:uiPriority w:val="39"/>
    <w:unhideWhenUsed/>
    <w:pPr>
      <w:ind w:left="567" w:right="0" w:firstLine="0"/>
      <w:spacing w:after="57"/>
    </w:pPr>
  </w:style>
  <w:style w:type="paragraph" w:styleId="840">
    <w:name w:val="toc 4"/>
    <w:basedOn w:val="848"/>
    <w:next w:val="848"/>
    <w:uiPriority w:val="39"/>
    <w:unhideWhenUsed/>
    <w:pPr>
      <w:ind w:left="850" w:right="0" w:firstLine="0"/>
      <w:spacing w:after="57"/>
    </w:pPr>
  </w:style>
  <w:style w:type="paragraph" w:styleId="841">
    <w:name w:val="toc 5"/>
    <w:basedOn w:val="848"/>
    <w:next w:val="848"/>
    <w:uiPriority w:val="39"/>
    <w:unhideWhenUsed/>
    <w:pPr>
      <w:ind w:left="1134" w:right="0" w:firstLine="0"/>
      <w:spacing w:after="57"/>
    </w:pPr>
  </w:style>
  <w:style w:type="paragraph" w:styleId="842">
    <w:name w:val="toc 6"/>
    <w:basedOn w:val="848"/>
    <w:next w:val="848"/>
    <w:uiPriority w:val="39"/>
    <w:unhideWhenUsed/>
    <w:pPr>
      <w:ind w:left="1417" w:right="0" w:firstLine="0"/>
      <w:spacing w:after="57"/>
    </w:pPr>
  </w:style>
  <w:style w:type="paragraph" w:styleId="843">
    <w:name w:val="toc 7"/>
    <w:basedOn w:val="848"/>
    <w:next w:val="848"/>
    <w:uiPriority w:val="39"/>
    <w:unhideWhenUsed/>
    <w:pPr>
      <w:ind w:left="1701" w:right="0" w:firstLine="0"/>
      <w:spacing w:after="57"/>
    </w:pPr>
  </w:style>
  <w:style w:type="paragraph" w:styleId="844">
    <w:name w:val="toc 8"/>
    <w:basedOn w:val="848"/>
    <w:next w:val="848"/>
    <w:uiPriority w:val="39"/>
    <w:unhideWhenUsed/>
    <w:pPr>
      <w:ind w:left="1984" w:right="0" w:firstLine="0"/>
      <w:spacing w:after="57"/>
    </w:pPr>
  </w:style>
  <w:style w:type="paragraph" w:styleId="845">
    <w:name w:val="toc 9"/>
    <w:basedOn w:val="848"/>
    <w:next w:val="848"/>
    <w:uiPriority w:val="39"/>
    <w:unhideWhenUsed/>
    <w:pPr>
      <w:ind w:left="2268" w:right="0" w:firstLine="0"/>
      <w:spacing w:after="57"/>
    </w:pPr>
  </w:style>
  <w:style w:type="paragraph" w:styleId="846">
    <w:name w:val="TOC Heading"/>
    <w:uiPriority w:val="39"/>
    <w:unhideWhenUsed/>
  </w:style>
  <w:style w:type="paragraph" w:styleId="847">
    <w:name w:val="table of figures"/>
    <w:basedOn w:val="848"/>
    <w:next w:val="848"/>
    <w:uiPriority w:val="99"/>
    <w:unhideWhenUsed/>
    <w:pPr>
      <w:spacing w:after="0" w:afterAutospacing="0"/>
    </w:pPr>
  </w:style>
  <w:style w:type="paragraph" w:styleId="848" w:default="1">
    <w:name w:val="Normal"/>
    <w:next w:val="848"/>
    <w:link w:val="848"/>
    <w:qFormat/>
    <w:rPr>
      <w:sz w:val="24"/>
      <w:lang w:val="ru-RU" w:eastAsia="ar-SA" w:bidi="ar-SA"/>
    </w:rPr>
  </w:style>
  <w:style w:type="paragraph" w:styleId="849">
    <w:name w:val="Заголовок 1"/>
    <w:basedOn w:val="848"/>
    <w:next w:val="848"/>
    <w:link w:val="848"/>
    <w:qFormat/>
    <w:pPr>
      <w:numPr>
        <w:ilvl w:val="0"/>
        <w:numId w:val="1"/>
      </w:numPr>
      <w:ind w:left="709"/>
      <w:jc w:val="center"/>
      <w:keepNext/>
      <w:widowControl w:val="off"/>
      <w:outlineLvl w:val="0"/>
    </w:pPr>
    <w:rPr>
      <w:rFonts w:eastAsia="Arial Unicode MS"/>
    </w:rPr>
  </w:style>
  <w:style w:type="paragraph" w:styleId="850">
    <w:name w:val="Заголовок 5"/>
    <w:basedOn w:val="848"/>
    <w:next w:val="848"/>
    <w:link w:val="848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styleId="851">
    <w:name w:val="Основной шрифт абзаца"/>
    <w:next w:val="851"/>
    <w:link w:val="848"/>
    <w:semiHidden/>
  </w:style>
  <w:style w:type="table" w:styleId="852">
    <w:name w:val="Обычная таблица"/>
    <w:next w:val="852"/>
    <w:link w:val="848"/>
    <w:semiHidden/>
    <w:tblPr/>
  </w:style>
  <w:style w:type="numbering" w:styleId="853">
    <w:name w:val="Нет списка"/>
    <w:next w:val="853"/>
    <w:link w:val="848"/>
    <w:semiHidden/>
  </w:style>
  <w:style w:type="paragraph" w:styleId="854">
    <w:name w:val="ConsNormal"/>
    <w:next w:val="854"/>
    <w:link w:val="848"/>
    <w:pPr>
      <w:ind w:firstLine="720"/>
      <w:widowControl w:val="off"/>
    </w:pPr>
    <w:rPr>
      <w:rFonts w:ascii="Arial" w:hAnsi="Arial" w:eastAsia="Arial"/>
      <w:sz w:val="24"/>
      <w:lang w:val="ru-RU" w:eastAsia="ar-SA" w:bidi="ar-SA"/>
    </w:rPr>
  </w:style>
  <w:style w:type="paragraph" w:styleId="855">
    <w:name w:val="ConsNonformat"/>
    <w:next w:val="855"/>
    <w:link w:val="848"/>
    <w:pPr>
      <w:widowControl w:val="off"/>
    </w:pPr>
    <w:rPr>
      <w:rFonts w:ascii="Courier New" w:hAnsi="Courier New" w:eastAsia="Arial"/>
      <w:sz w:val="24"/>
      <w:lang w:val="ru-RU" w:eastAsia="ar-SA" w:bidi="ar-SA"/>
    </w:rPr>
  </w:style>
  <w:style w:type="paragraph" w:styleId="856">
    <w:name w:val="FR2"/>
    <w:next w:val="856"/>
    <w:link w:val="848"/>
    <w:qFormat/>
    <w:pPr>
      <w:ind w:firstLine="400"/>
      <w:jc w:val="both"/>
      <w:spacing w:after="80" w:line="276" w:lineRule="auto"/>
      <w:widowControl w:val="off"/>
    </w:pPr>
    <w:rPr>
      <w:rFonts w:ascii="Arial" w:hAnsi="Arial" w:eastAsia="Arial"/>
      <w:lang w:val="ru-RU" w:eastAsia="ar-SA" w:bidi="ar-SA"/>
    </w:rPr>
  </w:style>
  <w:style w:type="paragraph" w:styleId="857">
    <w:name w:val="Текст выноски"/>
    <w:basedOn w:val="848"/>
    <w:next w:val="857"/>
    <w:link w:val="848"/>
    <w:semiHidden/>
    <w:rPr>
      <w:rFonts w:ascii="Tahoma" w:hAnsi="Tahoma" w:cs="Tahoma"/>
      <w:sz w:val="16"/>
      <w:szCs w:val="16"/>
    </w:rPr>
  </w:style>
  <w:style w:type="paragraph" w:styleId="858">
    <w:name w:val="Основной текст с отступом"/>
    <w:basedOn w:val="848"/>
    <w:next w:val="858"/>
    <w:link w:val="848"/>
    <w:pPr>
      <w:ind w:firstLine="720"/>
      <w:jc w:val="both"/>
    </w:pPr>
    <w:rPr>
      <w:lang w:eastAsia="ru-RU"/>
    </w:rPr>
  </w:style>
  <w:style w:type="character" w:styleId="859">
    <w:name w:val="WW-Absatz-Standardschriftart"/>
    <w:next w:val="859"/>
    <w:link w:val="848"/>
  </w:style>
  <w:style w:type="paragraph" w:styleId="860">
    <w:name w:val="Основной текст"/>
    <w:basedOn w:val="848"/>
    <w:next w:val="860"/>
    <w:link w:val="861"/>
    <w:pPr>
      <w:spacing w:after="120"/>
    </w:pPr>
  </w:style>
  <w:style w:type="character" w:styleId="861">
    <w:name w:val="Основной текст Знак"/>
    <w:next w:val="861"/>
    <w:link w:val="860"/>
    <w:rPr>
      <w:sz w:val="24"/>
      <w:lang w:eastAsia="ar-SA"/>
    </w:rPr>
  </w:style>
  <w:style w:type="table" w:styleId="862">
    <w:name w:val="Сетка таблицы"/>
    <w:basedOn w:val="852"/>
    <w:next w:val="862"/>
    <w:link w:val="848"/>
    <w:pPr>
      <w:widowControl w:val="off"/>
    </w:pPr>
    <w:tblPr/>
  </w:style>
  <w:style w:type="paragraph" w:styleId="863">
    <w:name w:val="Верхний колонтитул"/>
    <w:basedOn w:val="848"/>
    <w:next w:val="863"/>
    <w:link w:val="864"/>
    <w:pPr>
      <w:tabs>
        <w:tab w:val="center" w:pos="4677" w:leader="none"/>
        <w:tab w:val="right" w:pos="9355" w:leader="none"/>
      </w:tabs>
    </w:pPr>
  </w:style>
  <w:style w:type="character" w:styleId="864">
    <w:name w:val="Верхний колонтитул Знак"/>
    <w:next w:val="864"/>
    <w:link w:val="863"/>
    <w:rPr>
      <w:sz w:val="24"/>
      <w:lang w:eastAsia="ar-SA"/>
    </w:rPr>
  </w:style>
  <w:style w:type="paragraph" w:styleId="865">
    <w:name w:val="Нижний колонтитул"/>
    <w:basedOn w:val="848"/>
    <w:next w:val="865"/>
    <w:link w:val="866"/>
    <w:pPr>
      <w:tabs>
        <w:tab w:val="center" w:pos="4677" w:leader="none"/>
        <w:tab w:val="right" w:pos="9355" w:leader="none"/>
      </w:tabs>
    </w:pPr>
  </w:style>
  <w:style w:type="character" w:styleId="866">
    <w:name w:val="Нижний колонтитул Знак"/>
    <w:next w:val="866"/>
    <w:link w:val="865"/>
    <w:rPr>
      <w:sz w:val="24"/>
      <w:lang w:eastAsia="ar-SA"/>
    </w:rPr>
  </w:style>
  <w:style w:type="character" w:styleId="867">
    <w:name w:val="Гиперссылка"/>
    <w:next w:val="867"/>
    <w:link w:val="848"/>
    <w:rPr>
      <w:color w:val="000080"/>
      <w:u w:val="single"/>
      <w:lang w:val="en-US" w:eastAsia="en-US" w:bidi="en-US"/>
    </w:rPr>
  </w:style>
  <w:style w:type="paragraph" w:styleId="868">
    <w:name w:val="Основной текст 3"/>
    <w:basedOn w:val="848"/>
    <w:next w:val="868"/>
    <w:link w:val="869"/>
    <w:pPr>
      <w:spacing w:after="120"/>
    </w:pPr>
    <w:rPr>
      <w:sz w:val="16"/>
      <w:szCs w:val="16"/>
    </w:rPr>
  </w:style>
  <w:style w:type="character" w:styleId="869">
    <w:name w:val="Основной текст 3 Знак"/>
    <w:next w:val="869"/>
    <w:link w:val="868"/>
    <w:rPr>
      <w:sz w:val="16"/>
      <w:szCs w:val="16"/>
      <w:lang w:eastAsia="ar-SA"/>
    </w:rPr>
  </w:style>
  <w:style w:type="paragraph" w:styleId="870">
    <w:name w:val="ConsPlusNormal"/>
    <w:next w:val="870"/>
    <w:link w:val="871"/>
    <w:qFormat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character" w:styleId="871">
    <w:name w:val="ConsPlusNormal Знак"/>
    <w:next w:val="871"/>
    <w:link w:val="870"/>
    <w:rPr>
      <w:rFonts w:ascii="Arial" w:hAnsi="Arial" w:cs="Arial"/>
      <w:lang w:val="ru-RU" w:eastAsia="ru-RU" w:bidi="ar-SA"/>
    </w:rPr>
  </w:style>
  <w:style w:type="paragraph" w:styleId="872">
    <w:name w:val="Style9"/>
    <w:basedOn w:val="848"/>
    <w:next w:val="872"/>
    <w:link w:val="848"/>
    <w:uiPriority w:val="99"/>
    <w:pPr>
      <w:widowControl w:val="off"/>
    </w:pPr>
    <w:rPr>
      <w:rFonts w:ascii="Arial Narrow" w:hAnsi="Arial Narrow"/>
      <w:szCs w:val="24"/>
      <w:lang w:eastAsia="ru-RU"/>
    </w:rPr>
  </w:style>
  <w:style w:type="paragraph" w:styleId="873">
    <w:name w:val="Style24"/>
    <w:basedOn w:val="848"/>
    <w:next w:val="873"/>
    <w:link w:val="848"/>
    <w:uiPriority w:val="99"/>
    <w:pPr>
      <w:widowControl w:val="off"/>
    </w:pPr>
    <w:rPr>
      <w:rFonts w:ascii="Arial Narrow" w:hAnsi="Arial Narrow"/>
      <w:szCs w:val="24"/>
      <w:lang w:eastAsia="ru-RU"/>
    </w:rPr>
  </w:style>
  <w:style w:type="character" w:styleId="874">
    <w:name w:val="Font Style29"/>
    <w:next w:val="874"/>
    <w:link w:val="848"/>
    <w:uiPriority w:val="99"/>
    <w:rPr>
      <w:rFonts w:ascii="Times New Roman" w:hAnsi="Times New Roman" w:cs="Times New Roman"/>
      <w:sz w:val="20"/>
      <w:szCs w:val="20"/>
    </w:rPr>
  </w:style>
  <w:style w:type="character" w:styleId="875">
    <w:name w:val="Font Style30"/>
    <w:next w:val="875"/>
    <w:link w:val="848"/>
    <w:uiPriority w:val="99"/>
    <w:rPr>
      <w:rFonts w:ascii="Times New Roman" w:hAnsi="Times New Roman" w:cs="Times New Roman"/>
      <w:b/>
      <w:bCs/>
      <w:spacing w:val="-20"/>
      <w:sz w:val="22"/>
      <w:szCs w:val="22"/>
    </w:rPr>
  </w:style>
  <w:style w:type="character" w:styleId="876">
    <w:name w:val="Font Style33"/>
    <w:next w:val="876"/>
    <w:link w:val="848"/>
    <w:uiPriority w:val="99"/>
    <w:rPr>
      <w:rFonts w:ascii="Times New Roman" w:hAnsi="Times New Roman" w:cs="Times New Roman"/>
      <w:b/>
      <w:bCs/>
      <w:sz w:val="20"/>
      <w:szCs w:val="20"/>
    </w:rPr>
  </w:style>
  <w:style w:type="character" w:styleId="877">
    <w:name w:val="Font Style36"/>
    <w:next w:val="877"/>
    <w:link w:val="848"/>
    <w:uiPriority w:val="99"/>
    <w:rPr>
      <w:rFonts w:ascii="Times New Roman" w:hAnsi="Times New Roman" w:cs="Times New Roman"/>
      <w:spacing w:val="-20"/>
      <w:sz w:val="22"/>
      <w:szCs w:val="22"/>
    </w:rPr>
  </w:style>
  <w:style w:type="character" w:styleId="878">
    <w:name w:val="layout"/>
    <w:next w:val="878"/>
    <w:link w:val="848"/>
  </w:style>
  <w:style w:type="character" w:styleId="879">
    <w:name w:val="Font Style12"/>
    <w:next w:val="879"/>
    <w:link w:val="848"/>
    <w:uiPriority w:val="99"/>
    <w:rPr>
      <w:rFonts w:ascii="Times New Roman" w:hAnsi="Times New Roman" w:cs="Times New Roman"/>
      <w:sz w:val="22"/>
      <w:szCs w:val="22"/>
    </w:rPr>
  </w:style>
  <w:style w:type="paragraph" w:styleId="880">
    <w:name w:val="Standard"/>
    <w:next w:val="880"/>
    <w:link w:val="848"/>
    <w:pPr>
      <w:jc w:val="both"/>
      <w:spacing w:after="60" w:line="100" w:lineRule="atLeast"/>
      <w:tabs>
        <w:tab w:val="left" w:pos="709" w:leader="none"/>
      </w:tabs>
    </w:pPr>
    <w:rPr>
      <w:rFonts w:ascii="Arial" w:hAnsi="Arial" w:cs="Arial"/>
      <w:i/>
      <w:color w:val="333333"/>
      <w:lang w:val="ru-RU" w:eastAsia="ru-RU" w:bidi="ar-SA"/>
    </w:rPr>
  </w:style>
  <w:style w:type="character" w:styleId="881" w:default="1">
    <w:name w:val="Default Paragraph Font"/>
    <w:uiPriority w:val="1"/>
    <w:semiHidden/>
    <w:unhideWhenUsed/>
  </w:style>
  <w:style w:type="numbering" w:styleId="882" w:default="1">
    <w:name w:val="No List"/>
    <w:uiPriority w:val="99"/>
    <w:semiHidden/>
    <w:unhideWhenUsed/>
  </w:style>
  <w:style w:type="table" w:styleId="883" w:default="1">
    <w:name w:val="Normal Table"/>
    <w:uiPriority w:val="99"/>
    <w:semiHidden/>
    <w:unhideWhenUsed/>
    <w:tblPr/>
  </w:style>
  <w:style w:type="paragraph" w:styleId="884" w:customStyle="1">
    <w:name w:val="Основной текст с отступом 31"/>
    <w:unhideWhenUsed/>
    <w:pPr>
      <w:contextualSpacing w:val="0"/>
      <w:ind w:left="283" w:right="0" w:firstLine="0"/>
      <w:jc w:val="left"/>
      <w:keepLines w:val="0"/>
      <w:keepNext w:val="0"/>
      <w:pageBreakBefore w:val="0"/>
      <w:spacing w:before="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6"/>
      <w:szCs w:val="16"/>
      <w:highlight w:val="none"/>
      <w:u w:val="none"/>
      <w:vertAlign w:val="baseline"/>
      <w:rtl w:val="0"/>
      <w:cs w:val="0"/>
      <w:lang w:val="ru-RU" w:eastAsia="ar-SA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ufrs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86</dc:title>
  <dc:creator>tkachev</dc:creator>
  <cp:revision>253</cp:revision>
  <dcterms:created xsi:type="dcterms:W3CDTF">2021-07-23T13:53:00Z</dcterms:created>
  <dcterms:modified xsi:type="dcterms:W3CDTF">2026-07-23T08:34:59Z</dcterms:modified>
  <cp:version>1048576</cp:version>
</cp:coreProperties>
</file>