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ТЕХНИЧЕСКОЕ ЗАДАНИЕ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НА ОКАЗАНИЕ УСЛУГИ ПО РЕМОНТУ ВЫЧИСЛИТЕЛЬНОЙ ТЕХНИКИ 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.11.10.110-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клавиатуру.</w:t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 Место оказания услуг:</w:t>
      </w:r>
      <w:r>
        <w:rPr>
          <w:sz w:val="24"/>
          <w:szCs w:val="24"/>
        </w:rPr>
        <w:t xml:space="preserve"> по месту нахождения Исполнителя в г. Благовещенске Амурской области.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b/>
          <w:bCs/>
          <w:sz w:val="24"/>
          <w:szCs w:val="24"/>
        </w:rPr>
        <w:t>Условия оказания услуг</w:t>
      </w:r>
      <w:r>
        <w:rPr>
          <w:sz w:val="24"/>
          <w:szCs w:val="24"/>
        </w:rPr>
        <w:t>: прием Исполнителем компьютерной техники для ремонта осуществляется на территории Исполнителя. В случае необходимости ремонт может осуществляться Исполнителем на территории Государственного заказчика по адресу г. Благовещенск, ул. Пионерская, 47.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b/>
          <w:sz w:val="24"/>
          <w:szCs w:val="24"/>
        </w:rPr>
        <w:t>2. Срок оказания услуг:</w:t>
      </w:r>
      <w:r>
        <w:rPr>
          <w:b/>
          <w:color w:val="0000FF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течение 10 рабочих дней с даты заключения контракта.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b/>
          <w:sz w:val="24"/>
          <w:szCs w:val="24"/>
        </w:rPr>
        <w:t>3. Требования к оказываемым услугам: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sz w:val="24"/>
          <w:szCs w:val="24"/>
        </w:rPr>
        <w:t>Все услуги должны производиться Исполнителем в соответствии с действующим техническим регламентом, качественно и в установленные сроки, с использованием расходных материалов и запасных частей, предоставляемых Исполнителем и соответствующих конкретному типу техники.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sz w:val="24"/>
          <w:szCs w:val="24"/>
        </w:rPr>
        <w:t>При выполнении работ Исполнитель должен обеспечить строгое выполнение всех требований и рекомендаций производителя техники.</w:t>
      </w:r>
    </w:p>
    <w:p>
      <w:pPr>
        <w:pStyle w:val="Normal"/>
        <w:spacing w:lineRule="auto" w:line="240" w:before="0" w:after="0"/>
        <w:ind w:firstLine="709"/>
        <w:jc w:val="both"/>
        <w:rPr>
          <w:b/>
          <w:color w:val="0000FF"/>
          <w:sz w:val="24"/>
          <w:szCs w:val="24"/>
        </w:rPr>
      </w:pPr>
      <w:r>
        <w:rPr>
          <w:b/>
          <w:sz w:val="24"/>
          <w:szCs w:val="24"/>
        </w:rPr>
        <w:t>4. Объем и перечень оказываемых услуг:</w:t>
      </w:r>
      <w:r>
        <w:rPr>
          <w:b/>
          <w:color w:val="0000FF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услуг определен в Таблице №1.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b/>
          <w:sz w:val="24"/>
          <w:szCs w:val="24"/>
        </w:rPr>
        <w:t>В стоимость ремонта компьютерной техники входит стоимость расходных материалов и запасных частей, необходимых для оказания услуги.</w:t>
      </w:r>
    </w:p>
    <w:p>
      <w:pPr>
        <w:pStyle w:val="Normal"/>
        <w:shd w:val="clear" w:color="auto" w:fill="FFFFFF"/>
        <w:snapToGrid w:val="false"/>
        <w:spacing w:lineRule="auto" w:line="240" w:before="0" w:after="0"/>
        <w:ind w:firstLine="709"/>
        <w:jc w:val="both"/>
        <w:rPr/>
      </w:pPr>
      <w:r>
        <w:rPr>
          <w:sz w:val="24"/>
          <w:szCs w:val="24"/>
        </w:rPr>
        <w:t xml:space="preserve">Используемые запчасти и расходные материалы к компьютерной технике должны быть новыми, не бывшими в употреблении, иметь сертификаты качества и соответствовать ГОСТ, ТУ, действующим в Российской Федерации (гарантирующим качество и безопасность товаров), свободно распространяться на территории Российской Федерации. </w:t>
      </w:r>
    </w:p>
    <w:p>
      <w:pPr>
        <w:pStyle w:val="Normal"/>
        <w:shd w:val="clear" w:color="auto" w:fill="FFFFFF"/>
        <w:snapToGrid w:val="false"/>
        <w:spacing w:lineRule="auto" w:line="240" w:before="0" w:after="0"/>
        <w:ind w:firstLine="709"/>
        <w:jc w:val="both"/>
        <w:rPr/>
      </w:pPr>
      <w:r>
        <w:rPr>
          <w:sz w:val="24"/>
          <w:szCs w:val="24"/>
        </w:rPr>
        <w:t xml:space="preserve">Применяемые материалы, методы и технологии </w:t>
      </w:r>
      <w:bookmarkStart w:id="0" w:name="_GoBack"/>
      <w:bookmarkEnd w:id="0"/>
      <w:r>
        <w:rPr>
          <w:sz w:val="24"/>
          <w:szCs w:val="24"/>
        </w:rPr>
        <w:t>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данной компьютерной техники.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sz w:val="24"/>
          <w:szCs w:val="24"/>
        </w:rPr>
        <w:t>Все работы в рамках оказания услуг по Контракту должны проводиться согласно рекомендациям производителя и обязательно должны включать в себя на каждом оборудовании:</w:t>
      </w:r>
    </w:p>
    <w:p>
      <w:pPr>
        <w:pStyle w:val="Normal"/>
        <w:spacing w:lineRule="auto" w:line="240" w:before="0" w:after="0"/>
        <w:ind w:firstLine="709"/>
        <w:rPr/>
      </w:pPr>
      <w:r>
        <w:rPr>
          <w:sz w:val="24"/>
          <w:szCs w:val="24"/>
        </w:rPr>
        <w:t>1. диагностику состояния;</w:t>
      </w:r>
    </w:p>
    <w:p>
      <w:pPr>
        <w:pStyle w:val="Normal"/>
        <w:spacing w:lineRule="auto" w:line="240" w:before="0" w:after="0"/>
        <w:ind w:firstLine="709"/>
        <w:rPr/>
      </w:pPr>
      <w:r>
        <w:rPr>
          <w:sz w:val="24"/>
          <w:szCs w:val="24"/>
        </w:rPr>
        <w:t>2. очистку;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3. замена предписанных производителем деталей и узлов;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4. ремонт техники;</w:t>
      </w:r>
    </w:p>
    <w:p>
      <w:pPr>
        <w:pStyle w:val="Normal"/>
        <w:spacing w:lineRule="auto" w:line="240" w:before="0" w:after="0"/>
        <w:ind w:firstLine="709"/>
        <w:rPr>
          <w:sz w:val="24"/>
          <w:szCs w:val="24"/>
        </w:rPr>
      </w:pPr>
      <w:r>
        <w:rPr>
          <w:sz w:val="24"/>
          <w:szCs w:val="24"/>
        </w:rPr>
        <w:t>5. тестирование техники, настройка необходимых параметров после проведения техобслуживания.</w:t>
      </w:r>
    </w:p>
    <w:p>
      <w:pPr>
        <w:pStyle w:val="Normal"/>
        <w:spacing w:lineRule="auto" w:line="240" w:before="0" w:after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Требования к качеству услуг, в том числе технология, методы, организационно-технологическая схема, безопасность оказываемых услуг: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lineRule="auto" w:line="240" w:before="0" w:after="0"/>
        <w:ind w:firstLine="709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Услуги по качеству, срокам и полноте должны соответствовать требованиям, предъявляемым Государственным заказчиком и закрепленным в Контракте на оказание услуг. Все услуги должны оказываться в соответствии с правилами техники безопасности. 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lineRule="auto" w:line="240" w:before="0" w:after="0"/>
        <w:ind w:firstLine="709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Работоспособность оборудования определяется только по тесту фирм-производителей для данного вида оборудования.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lineRule="auto" w:line="240" w:before="0" w:after="0"/>
        <w:ind w:firstLine="709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Государственный заказчик оставляет за собой</w:t>
      </w:r>
      <w:r>
        <w:rPr>
          <w:sz w:val="24"/>
          <w:szCs w:val="24"/>
          <w:lang w:eastAsia="zh-CN"/>
        </w:rPr>
        <w:t xml:space="preserve"> право осуществлять независимые проверки качества обслуживания оборудования через фирму-производителя, как с уведомлением, так и без уведомления Исполнителя, осуществляющего оказание услуг.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lineRule="auto" w:line="240" w:before="0" w:after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Срок предоставления гарантии качества оказанных услуг – не менее 3 месяцев со дня подписания сторонами Акта оказания услуг, независимо от срока действия контракта.</w:t>
      </w:r>
    </w:p>
    <w:p>
      <w:pPr>
        <w:pStyle w:val="RSText"/>
        <w:tabs>
          <w:tab w:val="clear" w:pos="708"/>
          <w:tab w:val="left" w:pos="1080" w:leader="none"/>
        </w:tabs>
        <w:spacing w:before="0" w:after="0"/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RSText"/>
        <w:tabs>
          <w:tab w:val="clear" w:pos="708"/>
          <w:tab w:val="left" w:pos="1080" w:leader="none"/>
        </w:tabs>
        <w:spacing w:before="0" w:after="0"/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Таблица №1</w:t>
      </w:r>
    </w:p>
    <w:p>
      <w:pPr>
        <w:pStyle w:val="RSText"/>
        <w:tabs>
          <w:tab w:val="clear" w:pos="708"/>
          <w:tab w:val="left" w:pos="1080" w:leader="none"/>
        </w:tabs>
        <w:spacing w:before="0" w:after="0"/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W w:w="9360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26"/>
        <w:gridCol w:w="3753"/>
        <w:gridCol w:w="2378"/>
        <w:gridCol w:w="1902"/>
      </w:tblGrid>
      <w:tr>
        <w:trPr/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компьютера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1718" w:hRule="atLeast"/>
        </w:trPr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и поиск неисправности</w:t>
            </w: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1012347815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101347818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101347183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101347077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101347826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101347832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1650" w:hRule="atLeast"/>
        </w:trPr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Перекомплектация системного блока</w:t>
            </w: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1012347815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101347818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101347183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101347077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101347826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101347832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1695" w:hRule="atLeast"/>
        </w:trPr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процессора</w:t>
            </w: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1012347815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101347818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101347183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101347077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101347826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101347832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материнской платы</w:t>
            </w: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1012347815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101347818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101347183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101347077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101347826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101347832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7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информации</w:t>
            </w: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1012347815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101347818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101347183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101347077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101347826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101347832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7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кулера (охладителя)</w:t>
            </w: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101347183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101347077</w:t>
            </w:r>
          </w:p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101347832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519" w:hRule="atLeast"/>
        </w:trPr>
        <w:tc>
          <w:tcPr>
            <w:tcW w:w="13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7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блока питания</w:t>
            </w: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101347183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519" w:hRule="atLeast"/>
        </w:trPr>
        <w:tc>
          <w:tcPr>
            <w:tcW w:w="745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общее количество видов оказываемых услуг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1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8"/>
        </w:rPr>
      </w:pPr>
      <w:r>
        <w:rPr>
          <w:sz w:val="24"/>
          <w:szCs w:val="28"/>
        </w:rPr>
        <w:t>Начальник УИТС</w:t>
      </w:r>
    </w:p>
    <w:p>
      <w:pPr>
        <w:pStyle w:val="Normal"/>
        <w:spacing w:lineRule="auto" w:line="240" w:before="0" w:after="0"/>
        <w:jc w:val="both"/>
        <w:rPr>
          <w:sz w:val="24"/>
          <w:szCs w:val="28"/>
        </w:rPr>
      </w:pPr>
      <w:r>
        <w:rPr>
          <w:sz w:val="24"/>
          <w:szCs w:val="28"/>
        </w:rPr>
        <w:t>подполковник внутренней службы                                                                 М.В. Горьковский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auto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PT Astra Serif">
    <w:charset w:val="01"/>
    <w:family w:val="roman"/>
    <w:pitch w:val="default"/>
  </w:font>
  <w:font w:name="Peterburg">
    <w:altName w:val="Times New Roman"/>
    <w:charset w:val="01"/>
    <w:family w:val="roman"/>
    <w:pitch w:val="default"/>
  </w:font>
  <w:font w:name="Verdan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0b99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xt2" w:customStyle="1">
    <w:name w:val="txt2"/>
    <w:basedOn w:val="DefaultParagraphFont"/>
    <w:qFormat/>
    <w:rsid w:val="009746b4"/>
    <w:rPr/>
  </w:style>
  <w:style w:type="character" w:styleId="1" w:customStyle="1">
    <w:name w:val="Основной текст Знак1"/>
    <w:basedOn w:val="DefaultParagraphFont"/>
    <w:qFormat/>
    <w:locked/>
    <w:rsid w:val="00f65ca0"/>
    <w:rPr>
      <w:rFonts w:ascii="Calibri" w:hAnsi="Calibri" w:eastAsia="Calibri"/>
      <w:sz w:val="24"/>
      <w:szCs w:val="24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f65ca0"/>
    <w:rPr>
      <w:rFonts w:ascii="Times New Roman" w:hAnsi="Times New Roman" w:eastAsia="Calibri" w:cs="Times New Roman"/>
    </w:rPr>
  </w:style>
  <w:style w:type="character" w:styleId="ConsNonformat" w:customStyle="1">
    <w:name w:val="ConsNonformat Знак"/>
    <w:qFormat/>
    <w:locked/>
    <w:rsid w:val="00f23373"/>
    <w:rPr>
      <w:rFonts w:ascii="Courier New" w:hAnsi="Courier New" w:eastAsia="Calibri" w:cs="Courier New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337751"/>
    <w:rPr>
      <w:rFonts w:ascii="Tahoma" w:hAnsi="Tahoma" w:eastAsia="Calibri" w:cs="Tahoma"/>
      <w:sz w:val="16"/>
      <w:szCs w:val="16"/>
    </w:rPr>
  </w:style>
  <w:style w:type="character" w:styleId="Style16" w:customStyle="1">
    <w:name w:val="Символ нумерации"/>
    <w:qFormat/>
    <w:rPr/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BodyText">
    <w:name w:val="Body Text"/>
    <w:basedOn w:val="Normal"/>
    <w:link w:val="1"/>
    <w:rsid w:val="00f65ca0"/>
    <w:pPr>
      <w:spacing w:lineRule="auto" w:line="240" w:before="0" w:after="120"/>
      <w:jc w:val="both"/>
    </w:pPr>
    <w:rPr>
      <w:rFonts w:ascii="Calibri" w:hAnsi="Calibri" w:cs="" w:cstheme="minorBidi"/>
      <w:sz w:val="24"/>
      <w:szCs w:val="24"/>
    </w:rPr>
  </w:style>
  <w:style w:type="paragraph" w:styleId="List">
    <w:name w:val="List"/>
    <w:basedOn w:val="BodyText"/>
    <w:pPr/>
    <w:rPr>
      <w:rFonts w:ascii="PT Sans" w:hAnsi="PT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19" w:customStyle="1">
    <w:name w:val="Нормальный"/>
    <w:qFormat/>
    <w:rsid w:val="00f65c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RSText" w:customStyle="1">
    <w:name w:val="RSText"/>
    <w:basedOn w:val="Normal"/>
    <w:qFormat/>
    <w:rsid w:val="00f65ca0"/>
    <w:pPr>
      <w:suppressAutoHyphens w:val="true"/>
      <w:spacing w:lineRule="auto" w:line="240" w:before="0" w:after="60"/>
      <w:jc w:val="both"/>
    </w:pPr>
    <w:rPr>
      <w:rFonts w:ascii="Peterburg;Times New Roman" w:hAnsi="Peterburg;Times New Roman" w:eastAsia="Times New Roman" w:cs="Peterburg;Times New Roman"/>
      <w:sz w:val="24"/>
      <w:szCs w:val="20"/>
      <w:lang w:eastAsia="zh-CN"/>
    </w:rPr>
  </w:style>
  <w:style w:type="paragraph" w:styleId="Style20" w:customStyle="1">
    <w:name w:val="Знак"/>
    <w:basedOn w:val="Normal"/>
    <w:qFormat/>
    <w:rsid w:val="00e90330"/>
    <w:pPr>
      <w:spacing w:lineRule="exact" w:line="240" w:before="0" w:after="160"/>
    </w:pPr>
    <w:rPr>
      <w:rFonts w:ascii="Verdana" w:hAnsi="Verdana" w:eastAsia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6034e"/>
    <w:pPr>
      <w:spacing w:before="0" w:after="200"/>
      <w:ind w:left="720"/>
      <w:contextualSpacing/>
    </w:pPr>
    <w:rPr/>
  </w:style>
  <w:style w:type="paragraph" w:styleId="ConsNonformat1" w:customStyle="1">
    <w:name w:val="ConsNonformat"/>
    <w:qFormat/>
    <w:rsid w:val="00f2337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3377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0839-FCBD-49D8-A187-6A4BE9DC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LibreOffice/24.8.4.2$Linux_X86_64 LibreOffice_project/480$Build-2</Application>
  <AppVersion>15.0000</AppVersion>
  <Pages>2</Pages>
  <Words>469</Words>
  <Characters>3480</Characters>
  <CharactersWithSpaces>3930</CharactersWithSpaces>
  <Paragraphs>89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2023-04-24T02:14:00Z</dcterms:created>
  <dc:creator>OTB7</dc:creator>
  <dc:description/>
  <dc:language>ru-RU</dc:language>
  <cp:lastModifiedBy/>
  <cp:lastPrinted>2026-05-12T15:48:19Z</cp:lastPrinted>
  <dcterms:modified xsi:type="dcterms:W3CDTF">2026-05-25T09:48:40Z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