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5000" w:type="pct"/>
        <w:jc w:val="left"/>
        <w:tblInd w:w="0" w:type="dxa"/>
        <w:tblLayout w:type="fixed"/>
        <w:tblCellMar>
          <w:top w:w="555" w:type="dxa"/>
          <w:left w:w="57" w:type="dxa"/>
          <w:bottom w:w="0" w:type="dxa"/>
          <w:right w:w="57" w:type="dxa"/>
        </w:tblCellMar>
        <w:tblLook w:val="04a0" w:noHBand="0" w:noVBand="1" w:firstColumn="1" w:lastRow="0" w:lastColumn="0" w:firstRow="1"/>
      </w:tblPr>
      <w:tblGrid>
        <w:gridCol w:w="465"/>
        <w:gridCol w:w="449"/>
        <w:gridCol w:w="466"/>
        <w:gridCol w:w="450"/>
        <w:gridCol w:w="464"/>
        <w:gridCol w:w="450"/>
        <w:gridCol w:w="2536"/>
        <w:gridCol w:w="287"/>
        <w:gridCol w:w="465"/>
        <w:gridCol w:w="134"/>
        <w:gridCol w:w="136"/>
        <w:gridCol w:w="283"/>
        <w:gridCol w:w="480"/>
        <w:gridCol w:w="437"/>
        <w:gridCol w:w="898"/>
        <w:gridCol w:w="916"/>
        <w:gridCol w:w="917"/>
        <w:gridCol w:w="540"/>
      </w:tblGrid>
      <w:tr>
        <w:trPr>
          <w:cantSplit w:val="true"/>
        </w:trPr>
        <w:tc>
          <w:tcPr>
            <w:tcW w:w="10773" w:type="dxa"/>
            <w:gridSpan w:val="18"/>
            <w:tcBorders/>
            <w:shd w:color="auto" w:fill="auto" w:val="clear"/>
            <w:vAlign w:val="bottom"/>
          </w:tcPr>
          <w:p>
            <w:pPr>
              <w:pStyle w:val="Normal"/>
              <w:widowControl/>
              <w:suppressAutoHyphens w:val="true"/>
              <w:spacing w:lineRule="auto" w:line="240" w:before="0" w:after="0"/>
              <w:jc w:val="center"/>
              <w:rPr>
                <w:rFonts w:ascii="Arial" w:hAnsi="Arial" w:eastAsia="" w:cs=""/>
                <w:kern w:val="0"/>
                <w:sz w:val="15"/>
                <w:szCs w:val="22"/>
                <w:lang w:val="ru-RU" w:eastAsia="ru-RU" w:bidi="ar-SA"/>
              </w:rPr>
            </w:pPr>
            <w:r>
              <w:rPr>
                <w:rFonts w:eastAsia="" w:cs="" w:ascii="Arial" w:hAnsi="Arial"/>
                <w:b/>
                <w:kern w:val="0"/>
                <w:sz w:val="17"/>
                <w:szCs w:val="17"/>
                <w:lang w:val="ru-RU" w:eastAsia="ru-RU" w:bidi="ar-SA"/>
              </w:rPr>
              <w:t>ДОГОВОР №</w:t>
            </w:r>
          </w:p>
        </w:tc>
      </w:tr>
      <w:tr>
        <w:trPr>
          <w:cantSplit w:val="true"/>
        </w:trPr>
        <w:tc>
          <w:tcPr>
            <w:tcW w:w="914" w:type="dxa"/>
            <w:gridSpan w:val="2"/>
            <w:tcBorders/>
            <w:shd w:color="auto" w:fill="auto" w:val="clear"/>
            <w:tcMar>
              <w:top w:w="0" w:type="dxa"/>
              <w:bottom w:w="435"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7"/>
                <w:szCs w:val="17"/>
                <w:lang w:val="ru-RU" w:eastAsia="ru-RU" w:bidi="ar-SA"/>
              </w:rPr>
              <w:t>г. Курск</w:t>
            </w:r>
          </w:p>
        </w:tc>
        <w:tc>
          <w:tcPr>
            <w:tcW w:w="916" w:type="dxa"/>
            <w:gridSpan w:val="2"/>
            <w:tcBorders/>
            <w:shd w:color="auto" w:fill="auto" w:val="clear"/>
            <w:tcMar>
              <w:top w:w="0" w:type="dxa"/>
              <w:bottom w:w="435"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4" w:type="dxa"/>
            <w:gridSpan w:val="2"/>
            <w:tcBorders/>
            <w:shd w:color="auto" w:fill="auto" w:val="clear"/>
            <w:tcMar>
              <w:top w:w="0" w:type="dxa"/>
              <w:bottom w:w="435"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536" w:type="dxa"/>
            <w:tcBorders/>
            <w:shd w:color="auto" w:fill="auto" w:val="clear"/>
            <w:tcMar>
              <w:top w:w="0" w:type="dxa"/>
              <w:bottom w:w="435"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bottom w:w="435"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1018" w:type="dxa"/>
            <w:gridSpan w:val="4"/>
            <w:tcBorders/>
            <w:shd w:color="auto" w:fill="auto" w:val="clear"/>
            <w:tcMar>
              <w:top w:w="0" w:type="dxa"/>
              <w:bottom w:w="435"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1815" w:type="dxa"/>
            <w:gridSpan w:val="3"/>
            <w:tcBorders/>
            <w:shd w:color="auto" w:fill="auto" w:val="clear"/>
            <w:tcMar>
              <w:top w:w="0" w:type="dxa"/>
              <w:bottom w:w="435"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373" w:type="dxa"/>
            <w:gridSpan w:val="3"/>
            <w:tcBorders/>
            <w:shd w:color="auto" w:fill="auto" w:val="clear"/>
            <w:tcMar>
              <w:top w:w="0" w:type="dxa"/>
              <w:bottom w:w="435"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7"/>
                <w:szCs w:val="17"/>
                <w:lang w:val="ru-RU" w:eastAsia="ru-RU" w:bidi="ar-SA"/>
              </w:rPr>
              <w:t>"___" ____________ 2026 г.</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_____________________________________________________________________________________________________________, именуемое в дальнейшем «Исполнитель», в лице ___________________________________________, действующей на основании ________________________________, с одной стороны и ͟У͟п͟р͟а͟в͟л͟е͟н͟и͟е͟ ͟Ф͟е͟д͟е͟р͟а͟л͟ь͟н͟о͟й͟ ͟с͟л͟у͟ж͟б͟ы͟ ͟г͟о͟с͟у͟д͟а͟р͟с͟т͟в͟е͟н͟н͟о͟й͟ ͟р͟е͟г͟и͟с͟т͟р͟а͟ц͟и͟и͟,͟ ͟к͟а͟д͟а͟с͟т͟р͟а͟ ͟и͟ ͟к͟а͟р͟т͟о͟г͟р͟а͟ф͟и͟и͟ ͟п͟о͟ ͟К͟у͟р͟с͟к͟о͟й͟ ͟о͟б͟л͟а͟с͟т͟и, именуемое в дальнейшем «Заказчик», в лице Заместителя руководителя Емельянова Александра Владимировича, действующего на основании Доверенности № 14-СК от 30.12.2025 г., с другой стороны (далее – Стороны),  в соответствии с п. 4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договор (далее – Договор) о нижеследующем.</w:t>
            </w:r>
          </w:p>
        </w:tc>
      </w:tr>
      <w:tr>
        <w:trPr>
          <w:cantSplit w:val="true"/>
        </w:trPr>
        <w:tc>
          <w:tcPr>
            <w:tcW w:w="10773" w:type="dxa"/>
            <w:gridSpan w:val="18"/>
            <w:tcBorders/>
            <w:shd w:color="auto" w:fill="auto" w:val="cle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b/>
                <w:kern w:val="0"/>
                <w:sz w:val="17"/>
                <w:szCs w:val="17"/>
                <w:lang w:val="ru-RU" w:eastAsia="ru-RU" w:bidi="ar-SA"/>
              </w:rPr>
              <w:t xml:space="preserve">    </w:t>
            </w:r>
            <w:r>
              <w:rPr>
                <w:rFonts w:eastAsia="" w:cs="" w:ascii="Arial" w:hAnsi="Arial"/>
                <w:b/>
                <w:kern w:val="0"/>
                <w:sz w:val="17"/>
                <w:szCs w:val="17"/>
                <w:lang w:val="ru-RU" w:eastAsia="ru-RU" w:bidi="ar-SA"/>
              </w:rPr>
              <w:t>1 Предмет договора</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1.1 Исполнитель принимает на себя по заявке Заказчика обязательство по выполнению работ (оказанию услуг) по поверке и калибровке средств измерений; аттестации испытательного оборудования; измерениям параметров технических средств; ремонту, диагностике, монтажу, наладке, регулировке, юстировке и техническому обслуживанию оборудования; испытаниям средств защиты (далее – оборудование); аттестации методик измерений; метрологической экспертизе документации; проверке реализации методик измерений; оценке состояния измерений в лабораториях; распространению официальных копий опубликованных национальных стандартов и предоставлению информации о них; разработке технических условий, стандартов организаций, методик и программ аттестации оборудования; регистрации каталожных листов продукции; иных видов деятельности в сфере технического регулирования, стандартизации и обеспечения единства измерений, а Заказчик обязуется принять результаты выполненных работ (оказанных услуг) и оплатить их.</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1.2 Наименования конкретных работ (услуг), выполняемых (оказываемых) Исполнителем по Договору, указываются в спецификации и актах приема-сдачи работ (оказания услуг), являющихся неотъемлемой частью Договора.</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1.3 Выполнение работ (оказание услуг) по Договору, а также оформление их результатов осуществляется в соответствии с требованиями нормативных правовых актов, документов по стандартизации и иных документов, распространяющих свое действие на сферу выполнения работ (оказания услуг) (далее – нормативная документация).</w:t>
            </w:r>
          </w:p>
        </w:tc>
      </w:tr>
      <w:tr>
        <w:trPr>
          <w:cantSplit w:val="true"/>
        </w:trPr>
        <w:tc>
          <w:tcPr>
            <w:tcW w:w="10773" w:type="dxa"/>
            <w:gridSpan w:val="18"/>
            <w:tcBorders/>
            <w:shd w:color="auto" w:fill="auto" w:val="cle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b/>
                <w:kern w:val="0"/>
                <w:sz w:val="17"/>
                <w:szCs w:val="17"/>
                <w:lang w:val="ru-RU" w:eastAsia="ru-RU" w:bidi="ar-SA"/>
              </w:rPr>
              <w:t xml:space="preserve">    </w:t>
            </w:r>
            <w:r>
              <w:rPr>
                <w:rFonts w:eastAsia="" w:cs="" w:ascii="Arial" w:hAnsi="Arial"/>
                <w:b/>
                <w:kern w:val="0"/>
                <w:sz w:val="17"/>
                <w:szCs w:val="17"/>
                <w:lang w:val="ru-RU" w:eastAsia="ru-RU" w:bidi="ar-SA"/>
              </w:rPr>
              <w:t>2 Права и обязанности сторон</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2.1 Исполнитель обязан:</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2.1.1 Выполнить работы (оказать услуги) по Договору в местах осуществления деятельности Исполнителя в течение пятнадцати рабочих дней после получения Исполнителем оборудования, информации, документов и сведений от Заказчика, необходимых для выполнения работ (оказания услуг) по Договору, предусмотренных нормативной документацией.</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Течение срока выполнения работ (оказания услуг) исчисляется в соответствии со статьей 191 Гражданского кодекса Российской Федерации со дня, следующего за днем передачи оборудования, документов и сведений Исполнителю, в зависимости от того, какое из указанных событий наступило позднее.</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Срок выполнения работ (оказания услуг) по Договору продлевается в случаях, если:</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 применяемой нормативной документацией предусмотрены иные сроки выполнения работ (оказания услуг), срок выполнения работ (оказания услуг) продлевается с учетом таких сроков;</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 привлекаются другие лица (субподрядчики), срок выполнения работ (оказания услуг) продлевается не более чем на тридцать рабочих дней;</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 эталоны единиц величин, средства измерений, испытательное оборудование Исполнителя, необходимое для выполнения работ (оказания услуг), проходят процедуру аттестации, поверки, калибровки, ремонта, технического обслуживания, срок работ (услуг) переносится на срок проведения указанных процедур;</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 отсутствуют запасные части и комплектующие для ремонта, срок выполнения работ (оказания услуг) продлевается на срок их приобретения;</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 при других уважительных причинах, на срок, согласованный с Заказчиком.</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2.1.2 Выполнить работы (оказать услуги) по Договору в местах осуществления временных работ (в местах нахождения оборудования (Заказчика)) в сроки согласно пункту 2.3.2 Договора.</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2.1.3 При приеме от Заказчика оборудования для выполнения работ (оказания услуг) в местах осуществления деятельности Исполнителя оформить заявление-квитанцию.</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2.1.4 Выполнить работы (оказать услуги) Заказчику со срочностью в случаях, допустимых технологией выполнения работ (оказания услуг), и при наличии возможности у Исполнителя выполнить данные работы (оказать услуги) со срочностью. Возможность выполнения работ (оказания услуг) со срочностью определяется Исполнителем самостоятельно. Условие о выполнении работ (оказании услуг) со срочностью считается согласованным Сторонами, если данное условие содержится в заявке Заказчика и согласовано Исполнителем.</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2.1.5 Обеспечить сохранность принятого оборудования в течение срока выполнения работ (оказания услуг) и одного месяца после их окончания. Исполнитель безвозмездно хранит оборудование Заказчика в течение одного месяца с даты окончания выполнения работ (оказания услуг).</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2.1.6 При выдаче оборудования Заказчику после выполнения работ (оказания услуг) выдать два экземпляра акта приема-сдачи работ (оказания услуг) и выставить счет-фактуру, а в случае использования Сторонами системы электронного документооборота (далее – ЭДО) -  направить их в системе ЭДО. Вместе с оборудованием Заказчику передаются документы, оформленные по результатам выполненных работ (оказанных услуг), в соответствии с требованиями нормативной документации, и заявкой Заказчика.</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2.1.7 Передать сведения о владельце средств измерений (при выполнении поверки Исполнителем) в Федеральный информационный фонд по обеспечению единства измерений в соответствии с требованиями нормативной документации.</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2.2 Исполнитель имеет право:</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2.2.1 Запрашивать у Заказчика информацию, документы и сведения, необходимые для выполнения работ (оказания услуг) по Договору, предусмотренные нормативной документацией.</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2.2.2 Не принимать у Заказчика оборудование, информацию, документы и сведения, представленные с нарушениями требований, установленных нормативной документацией, необходимые для выполнения работ (оказания услуг) по Договору.</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2.2.3 Привлекать к исполнению своих обязательств по Договору других лиц (субподрядчиков). Ответственность за неисполнение или ненадлежащее исполнение обязательств других лиц (субподрядчиков) по Договору несет Исполнитель.</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2.2.4 По истечении одного месяца с даты окончания выполнения работ (оказания услуг) по Договору применить положения статей 886-906 Гражданского кодекса Российской Федерации.</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2.2.5 Отказаться от передачи сведений о владельце средств измерений в Федеральный информационный фонд по обеспечению единства измерений в письменном виде.</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2.3 Заказчик обязан:</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2.3.1 Представлять Исполнителю оборудование, информацию, документы и сведения, установленные нормативной документацией, необходимой для выполнения работ (оказания услуг) по Договору, в соответствии с заявкой.</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2.3.2 Согласовать дату выполнения работ (оказания услуг) в местах осуществления временных работ (в местах нахождения оборудования (Заказчика)) с Исполнителем не менее, чем за двадцать рабочих дней до предполагаемой даты выполнения работ (оказания услуг) по заявке Заказчика.</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2.3.3 При выполнении работ (оказании услуг) в местах осуществления временных работ (в местах нахождения оборудования (Заказчика)) предоставить Исполнителю помещения, персонал (при необходимости), а также обеспечить соответствие необходимых внешних условий.</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2.3.4 Оплатить выполненные работы (оказанные услуги) в размере и сроки, установленные Договором.</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2.3.5 Самостоятельно получать информацию об окончании выполнения работ (оказания услуг) на официальном сайте _______________________ (далее – официальный сайт), или посредством телефонной связи.</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2.3.6 Получить у Исполнителя оборудование в течение одного месяца после выполнения работ (оказания услуг) при представлении заявления-квитанции и доверенности на представителя Заказчика (при необходимости).</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2.3.7 Получить у Исполнителя счет-фактуру и два экземпляра акта приема-сдачи работ (оказания услуг). В течение пяти  рабочих дней со дня получения (при использовании ЭДО – со дня утверждения) от Исполнителя акта приема-сдачи работ (оказания услуг), включая способами, установленными согласно пункту 2.1.6 Договора, подписать (утвердить) и вернуть Исполнителю один экземпляр акта (при его оформлении на бумажном носителе).</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2.3.8 В случае непредставления Заказчиком в указанный срок Исполнителю подписанного акта приема-сдачи работ (оказания услуг) или мотивированного отказа от приемки работ (услуг), работы (услуги) считаются принятыми и претензии к Исполнителю отсутствуют.</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2.4 Заказчик имеет право:</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2.4.1 Знакомиться с нормативной документацией, Прейскурантами Исполнителя, устанавливающими цены выполняемых работ (оказываемых услуг) по Договору, учредительными и разрешительными документами, формами и образцами документов Исполнителя, размещенными согласно пункту 7.7 Договора.</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2.4.2 Заказчик делегирует право подписи актов приема-сдачи работ (оказания услуг) по Договору лицу, указанному в доверенности на получение оборудования (при оформлении акта на бумажном носителе).</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2.4.3 Предъявить претензии в письменном виде по состоянию принятого от Исполнителя оборудования и документов при их получении в местах осуществления деятельности Исполнителя либо непосредственно после окончания выполнения (оказания услуг) в местах осуществления временных работ (в местах нахождения оборудования (Заказчика)) в присутствии работника Исполнителя.</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2.5 Заказчик дает согласие Исполнителю на передачу сведений о владельце средств измерений в ФИФОЕИ (при выполнении поверки Исполнителем).</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2.6 При исполнении Договора Стороны обязуются соблюдать требования в области охраны труда.</w:t>
            </w:r>
          </w:p>
        </w:tc>
      </w:tr>
      <w:tr>
        <w:trPr>
          <w:cantSplit w:val="true"/>
        </w:trPr>
        <w:tc>
          <w:tcPr>
            <w:tcW w:w="10773" w:type="dxa"/>
            <w:gridSpan w:val="18"/>
            <w:tcBorders/>
            <w:shd w:color="auto" w:fill="auto" w:val="cle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b/>
                <w:kern w:val="0"/>
                <w:sz w:val="17"/>
                <w:szCs w:val="17"/>
                <w:lang w:val="ru-RU" w:eastAsia="ru-RU" w:bidi="ar-SA"/>
              </w:rPr>
              <w:t xml:space="preserve">    </w:t>
            </w:r>
            <w:r>
              <w:rPr>
                <w:rFonts w:eastAsia="" w:cs="" w:ascii="Arial" w:hAnsi="Arial"/>
                <w:b/>
                <w:kern w:val="0"/>
                <w:sz w:val="17"/>
                <w:szCs w:val="17"/>
                <w:lang w:val="ru-RU" w:eastAsia="ru-RU" w:bidi="ar-SA"/>
              </w:rPr>
              <w:t>3 Цена договора и порядок расчетов</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3.1 Цена Договора определяется действующими Прейскурантами Исполнителя, размещенными на официальном сайте.</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Цена Договора составляет _____________________________-, в том числе НДС ______________________________.</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 44-ФЗ.</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Цена Договора,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 xml:space="preserve">3.2 Расчет осуществляется Заказчиком в течение семи рабочих дней с даты подписания актов приема-сдачи работ (оказания услуг) </w:t>
            </w:r>
            <w:r>
              <w:rPr>
                <w:rFonts w:eastAsia="" w:cs="" w:ascii="Arial" w:hAnsi="Arial"/>
                <w:kern w:val="0"/>
                <w:sz w:val="17"/>
                <w:szCs w:val="17"/>
                <w:lang w:val="ru-RU" w:eastAsia="ru-RU" w:bidi="ar-SA"/>
              </w:rPr>
              <w:t>за счет средств Федерального бюджета 2026 г</w:t>
            </w:r>
            <w:r>
              <w:rPr>
                <w:rFonts w:eastAsia="" w:cs="" w:ascii="Arial" w:hAnsi="Arial"/>
                <w:kern w:val="0"/>
                <w:sz w:val="17"/>
                <w:szCs w:val="17"/>
                <w:lang w:val="ru-RU" w:eastAsia="ru-RU" w:bidi="ar-SA"/>
              </w:rPr>
              <w:t>.</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3.3 Работы (услуги) Исполнителя подлежат оплате Заказчиком вне зависимости от результатов выполненных работ (оказанных услуг).</w:t>
            </w:r>
          </w:p>
        </w:tc>
      </w:tr>
      <w:tr>
        <w:trPr>
          <w:cantSplit w:val="true"/>
        </w:trPr>
        <w:tc>
          <w:tcPr>
            <w:tcW w:w="10773" w:type="dxa"/>
            <w:gridSpan w:val="18"/>
            <w:tcBorders/>
            <w:shd w:color="auto" w:fill="auto" w:val="cle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b/>
                <w:kern w:val="0"/>
                <w:sz w:val="17"/>
                <w:szCs w:val="17"/>
                <w:lang w:val="ru-RU" w:eastAsia="ru-RU" w:bidi="ar-SA"/>
              </w:rPr>
              <w:t xml:space="preserve">    </w:t>
            </w:r>
            <w:r>
              <w:rPr>
                <w:rFonts w:eastAsia="" w:cs="" w:ascii="Arial" w:hAnsi="Arial"/>
                <w:b/>
                <w:kern w:val="0"/>
                <w:sz w:val="17"/>
                <w:szCs w:val="17"/>
                <w:lang w:val="ru-RU" w:eastAsia="ru-RU" w:bidi="ar-SA"/>
              </w:rPr>
              <w:t>4 Ответственность сторон</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4.1 За невыполнение или ненадлежащее выполнение своих обязательств по Договору Стороны несут ответственность в соответствии с действующим законодательством Российской Федерации.</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в размере одной тысячи рублей, если цена Договора не превышает трех миллионов рублей (включительно).</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4.2.4 Заказчик освобождается от уплаты пеней и (или) штрафа, если докажет, что ненадлежащее исполнение обязательства, предусмотренного Договором, произошло вследствие непреодолимой силы или по вине Исполнителя.</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Исполнитель уплачивает Заказчику штраф в размере 10 % цены Договора в случае, если цена Договора не превышает трех миллионов рублей (включительно).</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4.3.3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в размере одной тысячи рублей, если цена Договора не превышает трех миллионов рублей (включительно)</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4.3.5 Исполнитель освобождается от уплаты пеней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4.4 Ни одна из Сторон не будет нести ответственность за невыполнение или ненадлежащее выполнение своих обязательств, предусмотренных Договором, если выполнение или надлежащее выполнение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Договора относят следующее: явления стихийного характера (землетрясения, наводнения, цунами), природные катаклизмы, мораторий органов власти и управления, забастовки, организованные в установленном законом порядке, военные действия и операции, режимы военного времени и контртеррористической операции, террористические акты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4.5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 Если срок действия обстоятельств непреодолимой силы превысит девяносто дней, любая из Сторон вправе расторгнуть Договор в одностороннем порядке, направив для этого соответствующее письменное уведомление другой Стороне. В этом случае ни одна из Сторон не вправе требовать от другой возмещения убытков.</w:t>
            </w:r>
          </w:p>
        </w:tc>
      </w:tr>
      <w:tr>
        <w:trPr>
          <w:cantSplit w:val="true"/>
        </w:trPr>
        <w:tc>
          <w:tcPr>
            <w:tcW w:w="10773" w:type="dxa"/>
            <w:gridSpan w:val="18"/>
            <w:tcBorders/>
            <w:shd w:color="auto" w:fill="auto" w:val="cle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b/>
                <w:kern w:val="0"/>
                <w:sz w:val="17"/>
                <w:szCs w:val="17"/>
                <w:lang w:val="ru-RU" w:eastAsia="ru-RU" w:bidi="ar-SA"/>
              </w:rPr>
              <w:t xml:space="preserve">    </w:t>
            </w:r>
            <w:r>
              <w:rPr>
                <w:rFonts w:eastAsia="" w:cs="" w:ascii="Arial" w:hAnsi="Arial"/>
                <w:b/>
                <w:kern w:val="0"/>
                <w:sz w:val="17"/>
                <w:szCs w:val="17"/>
                <w:lang w:val="ru-RU" w:eastAsia="ru-RU" w:bidi="ar-SA"/>
              </w:rPr>
              <w:t>5 Срок действия договора</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 xml:space="preserve">5.1 Договор вступает в силу с даты подписания Сторонами, указанной на титульном листе (при оформлении Договора на бумажном носителе), либо с даты проставления на электронной версии Договора УКЭП обеих Сторон (в случае подписания Договора посредством ЭДО), и действует до «͟30» </w:t>
            </w:r>
            <w:r>
              <w:rPr>
                <w:rFonts w:eastAsia="" w:cs="" w:ascii="Arial" w:hAnsi="Arial"/>
                <w:kern w:val="0"/>
                <w:sz w:val="17"/>
                <w:szCs w:val="17"/>
                <w:u w:val="none"/>
                <w:lang w:val="ru-RU" w:eastAsia="ru-RU" w:bidi="ar-SA"/>
              </w:rPr>
              <w:t>ноября</w:t>
            </w:r>
            <w:r>
              <w:rPr>
                <w:rFonts w:eastAsia="" w:cs="" w:ascii="Arial" w:hAnsi="Arial"/>
                <w:kern w:val="0"/>
                <w:sz w:val="17"/>
                <w:szCs w:val="17"/>
                <w:lang w:val="ru-RU" w:eastAsia="ru-RU" w:bidi="ar-SA"/>
              </w:rPr>
              <w:t xml:space="preserve"> 20͟2͟6 г.</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5.2 Расторжение Договора допускается по соглашению сторон, по решению суда, в случае одностороннего отказа стороны Договор от исполнения Договора в соответствии с гражданским законодательством.</w:t>
            </w:r>
          </w:p>
        </w:tc>
      </w:tr>
      <w:tr>
        <w:trPr>
          <w:cantSplit w:val="true"/>
        </w:trPr>
        <w:tc>
          <w:tcPr>
            <w:tcW w:w="10773" w:type="dxa"/>
            <w:gridSpan w:val="18"/>
            <w:tcBorders/>
            <w:shd w:color="auto" w:fill="auto" w:val="cle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b/>
                <w:kern w:val="0"/>
                <w:sz w:val="17"/>
                <w:szCs w:val="17"/>
                <w:lang w:val="ru-RU" w:eastAsia="ru-RU" w:bidi="ar-SA"/>
              </w:rPr>
              <w:t xml:space="preserve">    </w:t>
            </w:r>
            <w:r>
              <w:rPr>
                <w:rFonts w:eastAsia="" w:cs="" w:ascii="Arial" w:hAnsi="Arial"/>
                <w:b/>
                <w:kern w:val="0"/>
                <w:sz w:val="17"/>
                <w:szCs w:val="17"/>
                <w:lang w:val="ru-RU" w:eastAsia="ru-RU" w:bidi="ar-SA"/>
              </w:rPr>
              <w:t>6 Антикоррупционная оговорка</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6.2 При исполнении своих обязательств по Договору Стороны, их работники, представители и аффилированные лица не осуществляют действия, квалифицируемые российским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6.3 В случае возникновения у Стороны подозрений, что произошло или может произойти нарушение пунктов 6.1 и 6.2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6.4 Сторона, получившая уведомление о нарушении каких-либо положений пунктов 6.1 и 6.2 Договора,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6.5 Стороны гарантируют осуществление надлежащего разбирательства по фактам нарушения положений пунктов 6.1 и 6.2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6.6 В случае подтверждения факта нарушения одной Стороной положений пунктов 6.1 и 6.2 Договора и/или неполучения другой Стороной информации об итогах рассмотрения уведомления о нарушении согласно с пунктом 6.3 Договора, другая Сторона имеет право расторгнуть настоящий Договор в одностороннем внесудебном порядке, направив письменное уведомление.</w:t>
            </w:r>
          </w:p>
        </w:tc>
      </w:tr>
      <w:tr>
        <w:trPr>
          <w:cantSplit w:val="true"/>
        </w:trPr>
        <w:tc>
          <w:tcPr>
            <w:tcW w:w="10773" w:type="dxa"/>
            <w:gridSpan w:val="18"/>
            <w:tcBorders/>
            <w:shd w:color="auto" w:fill="auto" w:val="cle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b/>
                <w:kern w:val="0"/>
                <w:sz w:val="17"/>
                <w:szCs w:val="17"/>
                <w:lang w:val="ru-RU" w:eastAsia="ru-RU" w:bidi="ar-SA"/>
              </w:rPr>
              <w:t xml:space="preserve">    </w:t>
            </w:r>
            <w:r>
              <w:rPr>
                <w:rFonts w:eastAsia="" w:cs="" w:ascii="Arial" w:hAnsi="Arial"/>
                <w:b/>
                <w:kern w:val="0"/>
                <w:sz w:val="17"/>
                <w:szCs w:val="17"/>
                <w:lang w:val="ru-RU" w:eastAsia="ru-RU" w:bidi="ar-SA"/>
              </w:rPr>
              <w:t>7 Прочие условия</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7.1 Все споры и разногласия по Договору разрешаются Сторонами путем переговоров. Претензионный порядок разрешения споров для Сторон обязателен. Срок рассмотрения претензий сторонами – 10 рабочих дней с момента ее получения.</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В случае невозможности разрешить возникшие разногласия Сторон путем переговоров, споры передаются в установленном законом порядке на рассмотрение Арбитражного суда Курской области.</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7.2 Стороны гарантируют, что их наименование, адрес и иные реквизиты, указанные в разделе 8 Договора, изложены в соответствии с действующим законодательством и Единым государственным реестром юридических лиц (далее – ЕГРЮЛ). При выписке счетов-фактур Исполнитель руководствуется сведениями о Заказчике, указанными в разделе 8 Договора. В случае несоответствия сведений о Заказчике, указанных в разделе 8 Договора, сведениям, содержащимся в ЕГРЮЛ, Исполнитель не несет ответственности за любые негативные последствия, наступившие для Заказчика в связи с указанием Исполнителем сведений из раздела 8 во всех документах, оформляемых по Договору, в том числе в счетах-фактурах.</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7.3 Договор не может быть использован в рамках проводимых торгов или закупочных процедур, в качестве согласия Исполнителя на его привлечение как третьего лица (субподрядчика) или коллективного участника на стороне Заказчика. Договор не подтверждает наличия каких-либо партнерских отношений между Исполнителем и Заказчиком, кроме выполнения работ (оказания услуг) прямо предусмотренных Договором и не дает права использования наименования Исполнителя, его товарных знаков, ссылок на Исполнителя и его информационные ресурсы (в том числе в сети Интернет) в целях рекламы, продвижения продукции (работ, услуг) Заказчика, либо и иных целях, прямо не предусмотренных Договором.</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7.4 Договор (на бумажном носителе) составлен в двух экземплярах, имеющих одинаковую силу, по одному для каждой из Сторон. Факсимильные копии Договора и всех связанных с ним документов, полученных по факсу, электронной или иной связи имеют силу оригинала до момента получения Стороной оригинала настоящего Договора и иных связанных с ним документов. Стороны обязуются обменяться подписанным оригиналами настоящего Договора в течение десяти рабочих дней с момента его подписания и обмена посредством факсимильной, электронной или иной связи.</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7.5 Любые приложения, изменения и дополнения к Договору действительны и являются неотъемлемой частью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усиленной квалифицированной электронной подписи (далее – УКЭП).</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Стороны вправе вносить изменения в Договор в случаях, предусмотренных ст.95 Федерального закона № 44-ФЗ.</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7.6 В случае наличия взаимной заинтересованности и технической возможности Стороны пришли к соглашению, что факт перехода на использование ЭДО будет подтвержден  путем совершения конклюдентных действий посредством направления и принятия приглашения по ЭДО через оператора Исполнителя. При использовании Заказчиком иного оператора, Заказчик самостоятельно инициирует настройку роуминга между операторами систем ЭДО Сторон.</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В случае перехода на ЭДО, Стороны отказываются от обмена бумажными первичными документами и счетами-фактурами, соглашаются обмениваться документами с использованием УКЭП и признавать юридическую силу всех полученных или отправленных электронных документов.</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По согласованию Сторон в ЭДО могут быть введены любые неформализованные электронные документы, при обмене такими документами Стороны договорились применять правила, установленные настоящим пунктом.</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Стороны обязаны информировать друг друга о невозможности обмена электронными документами в случае технического сбоя внутренних систем Стороны и т.п. В период, когда обмен электронными документами невозможен, Стороны производят обмен документами на бумажных носителях, подписанными уполномоченными представителями Сторон собственноручной подписью и заверенными печатью организации (при наличии печати) в порядке и в сроки, предусмотренные Договором. Стороны обязаны информировать друг друга о прекращении обстоятельств, обусловливающих невозможность обмена электронными документами, после чего в согласованный срок Стороны возобновляют обмен электронными документами посредством ЭДО.</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В случае предоставления Сторонами персональных данных своих уполномоченных представителей/контактных лиц в целях обмена электронными документами, использования системы ЭДО, Стороны гарантируют наличие предварительного согласия своих уполномоченных представителей/контактных лиц на передачу их персональных данных.</w:t>
            </w:r>
          </w:p>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Любая из Сторон может в любой момент отказаться от участия в ЭДО, направив уведомление об этом другой Стороне в системе ЭДО за тридцать календарных дней до прекращения использования ЭДО.</w:t>
            </w:r>
          </w:p>
        </w:tc>
      </w:tr>
      <w:tr>
        <w:trPr>
          <w:cantSplit w:val="true"/>
        </w:trPr>
        <w:tc>
          <w:tcPr>
            <w:tcW w:w="10773" w:type="dxa"/>
            <w:gridSpan w:val="18"/>
            <w:tcBorders/>
            <w:shd w:color="auto" w:fill="auto" w:val="clear"/>
            <w:tcMar>
              <w:top w:w="0" w:type="dxa"/>
            </w:tcMar>
            <w:vAlign w:val="bottom"/>
          </w:tcPr>
          <w:p>
            <w:pPr>
              <w:pStyle w:val="Normal"/>
              <w:widowControl/>
              <w:suppressAutoHyphens w:val="true"/>
              <w:spacing w:lineRule="auto" w:line="240" w:before="0" w:after="0"/>
              <w:jc w:val="both"/>
              <w:rPr>
                <w:rFonts w:ascii="Arial" w:hAnsi="Arial" w:eastAsia="" w:cs=""/>
                <w:kern w:val="0"/>
                <w:sz w:val="15"/>
                <w:szCs w:val="22"/>
                <w:lang w:val="ru-RU" w:eastAsia="ru-RU" w:bidi="ar-SA"/>
              </w:rPr>
            </w:pPr>
            <w:r>
              <w:rPr>
                <w:rFonts w:eastAsia="" w:cs="" w:ascii="Arial" w:hAnsi="Arial"/>
                <w:kern w:val="0"/>
                <w:sz w:val="17"/>
                <w:szCs w:val="17"/>
                <w:lang w:val="ru-RU" w:eastAsia="ru-RU" w:bidi="ar-SA"/>
              </w:rPr>
              <w:t xml:space="preserve">    </w:t>
            </w:r>
            <w:r>
              <w:rPr>
                <w:rFonts w:eastAsia="" w:cs="" w:ascii="Arial" w:hAnsi="Arial"/>
                <w:kern w:val="0"/>
                <w:sz w:val="17"/>
                <w:szCs w:val="17"/>
                <w:lang w:val="ru-RU" w:eastAsia="ru-RU" w:bidi="ar-SA"/>
              </w:rPr>
              <w:t>7.7 Нормативная документация, Прейскуранты, устанавливающие цены выполняемых работ (оказываемых услуг) по Договору, учредительные и разрешительные документы, формы и образцы документов Исполнителя, размещены на официальном сайте, информационных стендах Исполнителя.</w:t>
            </w:r>
          </w:p>
        </w:tc>
      </w:tr>
      <w:tr>
        <w:trPr>
          <w:cantSplit w:val="true"/>
        </w:trPr>
        <w:tc>
          <w:tcPr>
            <w:tcW w:w="10773" w:type="dxa"/>
            <w:gridSpan w:val="18"/>
            <w:tcBorders/>
            <w:shd w:color="auto" w:fill="auto" w:val="cle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b/>
                <w:kern w:val="0"/>
                <w:sz w:val="17"/>
                <w:szCs w:val="17"/>
                <w:lang w:val="ru-RU" w:eastAsia="ru-RU" w:bidi="ar-SA"/>
              </w:rPr>
              <w:t xml:space="preserve">    </w:t>
            </w:r>
            <w:r>
              <w:rPr>
                <w:rFonts w:eastAsia="" w:cs="" w:ascii="Arial" w:hAnsi="Arial"/>
                <w:b/>
                <w:kern w:val="0"/>
                <w:sz w:val="17"/>
                <w:szCs w:val="17"/>
                <w:lang w:val="ru-RU" w:eastAsia="ru-RU" w:bidi="ar-SA"/>
              </w:rPr>
              <w:t>8 Адреса и реквизиты сторон</w:t>
            </w:r>
          </w:p>
        </w:tc>
      </w:tr>
      <w:tr>
        <w:trPr>
          <w:cantSplit w:val="true"/>
        </w:trPr>
        <w:tc>
          <w:tcPr>
            <w:tcW w:w="5280" w:type="dxa"/>
            <w:gridSpan w:val="7"/>
            <w:tcBorders/>
            <w:shd w:color="auto" w:fill="auto" w:val="clear"/>
          </w:tcPr>
          <w:p>
            <w:pPr>
              <w:pStyle w:val="Normal"/>
              <w:widowControl/>
              <w:suppressAutoHyphens w:val="true"/>
              <w:spacing w:lineRule="auto" w:line="240" w:before="0" w:after="0"/>
              <w:jc w:val="center"/>
              <w:rPr>
                <w:rFonts w:ascii="Arial" w:hAnsi="Arial" w:eastAsia="" w:cs=""/>
                <w:kern w:val="0"/>
                <w:sz w:val="15"/>
                <w:szCs w:val="22"/>
                <w:lang w:val="ru-RU" w:eastAsia="ru-RU" w:bidi="ar-SA"/>
              </w:rPr>
            </w:pPr>
            <w:r>
              <w:rPr>
                <w:rFonts w:eastAsia="" w:cs="" w:ascii="Arial" w:hAnsi="Arial"/>
                <w:b/>
                <w:kern w:val="0"/>
                <w:sz w:val="17"/>
                <w:szCs w:val="17"/>
                <w:lang w:val="ru-RU" w:eastAsia="ru-RU" w:bidi="ar-SA"/>
              </w:rPr>
              <w:t>ИСПОЛНИТЕЛЬ</w:t>
            </w:r>
          </w:p>
        </w:tc>
        <w:tc>
          <w:tcPr>
            <w:tcW w:w="287" w:type="dxa"/>
            <w:tcBorders/>
            <w:shd w:color="auto" w:fill="auto" w:val="clear"/>
          </w:tcPr>
          <w:p>
            <w:pPr>
              <w:pStyle w:val="Normal"/>
              <w:widowControl/>
              <w:suppressAutoHyphens w:val="true"/>
              <w:spacing w:lineRule="auto" w:line="240" w:before="0" w:after="0"/>
              <w:jc w:val="center"/>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206" w:type="dxa"/>
            <w:gridSpan w:val="10"/>
            <w:tcBorders/>
            <w:shd w:color="auto" w:fill="auto" w:val="clear"/>
          </w:tcPr>
          <w:p>
            <w:pPr>
              <w:pStyle w:val="Normal"/>
              <w:widowControl/>
              <w:suppressAutoHyphens w:val="true"/>
              <w:spacing w:lineRule="auto" w:line="240" w:before="0" w:after="0"/>
              <w:jc w:val="center"/>
              <w:rPr>
                <w:rFonts w:ascii="Arial" w:hAnsi="Arial" w:eastAsia="" w:cs=""/>
                <w:kern w:val="0"/>
                <w:sz w:val="15"/>
                <w:szCs w:val="22"/>
                <w:lang w:val="ru-RU" w:eastAsia="ru-RU" w:bidi="ar-SA"/>
              </w:rPr>
            </w:pPr>
            <w:r>
              <w:rPr>
                <w:rFonts w:eastAsia="" w:cs="" w:ascii="Arial" w:hAnsi="Arial"/>
                <w:b/>
                <w:kern w:val="0"/>
                <w:sz w:val="17"/>
                <w:szCs w:val="17"/>
                <w:lang w:val="ru-RU" w:eastAsia="ru-RU" w:bidi="ar-SA"/>
              </w:rPr>
              <w:t>ЗАКАЗЧИК</w:t>
            </w:r>
          </w:p>
        </w:tc>
      </w:tr>
      <w:tr>
        <w:trPr>
          <w:cantSplit w:val="true"/>
        </w:trPr>
        <w:tc>
          <w:tcPr>
            <w:tcW w:w="5280" w:type="dxa"/>
            <w:gridSpan w:val="7"/>
            <w:vMerge w:val="restart"/>
            <w:tcBorders/>
            <w:shd w:color="auto" w:fill="auto" w:val="clear"/>
            <w:tcMar>
              <w:top w:w="0" w:type="dxa"/>
              <w:right w:w="0" w:type="dxa"/>
            </w:tcMar>
          </w:tcPr>
          <w:p>
            <w:pPr>
              <w:pStyle w:val="Normal"/>
              <w:widowControl/>
              <w:suppressAutoHyphens w:val="true"/>
              <w:spacing w:lineRule="auto" w:line="240" w:before="0" w:after="0"/>
              <w:jc w:val="left"/>
              <w:rPr>
                <w:sz w:val="17"/>
                <w:szCs w:val="17"/>
              </w:rPr>
            </w:pPr>
            <w:r>
              <w:rPr>
                <w:sz w:val="17"/>
                <w:szCs w:val="17"/>
              </w:rPr>
            </w:r>
          </w:p>
        </w:tc>
        <w:tc>
          <w:tcPr>
            <w:tcW w:w="287" w:type="dxa"/>
            <w:tcBorders/>
            <w:shd w:color="auto" w:fill="auto" w:val="clear"/>
            <w:tcMar>
              <w:top w:w="0" w:type="dxa"/>
              <w:right w:w="21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206" w:type="dxa"/>
            <w:gridSpan w:val="10"/>
            <w:tcBorders>
              <w:bottom w:val="single" w:sz="4" w:space="0" w:color="000000"/>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7"/>
                <w:szCs w:val="17"/>
                <w:lang w:val="ru-RU" w:eastAsia="ru-RU" w:bidi="ar-SA"/>
              </w:rPr>
              <w:t>Управление Федеральной службы государственной регистрации, кадастра и картографии по Курской области</w:t>
            </w:r>
          </w:p>
        </w:tc>
      </w:tr>
      <w:tr>
        <w:trPr>
          <w:cantSplit w:val="true"/>
        </w:trPr>
        <w:tc>
          <w:tcPr>
            <w:tcW w:w="5280" w:type="dxa"/>
            <w:gridSpan w:val="7"/>
            <w:vMerge w:val="continue"/>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right w:w="21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206" w:type="dxa"/>
            <w:gridSpan w:val="10"/>
            <w:tcBorders>
              <w:bottom w:val="single" w:sz="4" w:space="0" w:color="000000"/>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7"/>
                <w:szCs w:val="17"/>
                <w:lang w:val="ru-RU" w:eastAsia="ru-RU" w:bidi="ar-SA"/>
              </w:rPr>
              <w:t>305016, Курская обл, Курск г, 50 лет Октября ул, дом 4/6</w:t>
            </w:r>
          </w:p>
        </w:tc>
      </w:tr>
      <w:tr>
        <w:trPr>
          <w:cantSplit w:val="true"/>
        </w:trPr>
        <w:tc>
          <w:tcPr>
            <w:tcW w:w="5280" w:type="dxa"/>
            <w:gridSpan w:val="7"/>
            <w:vMerge w:val="continue"/>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right w:w="21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206" w:type="dxa"/>
            <w:gridSpan w:val="10"/>
            <w:tcBorders>
              <w:bottom w:val="single" w:sz="4" w:space="0" w:color="000000"/>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7"/>
                <w:szCs w:val="17"/>
                <w:lang w:val="ru-RU" w:eastAsia="ru-RU" w:bidi="ar-SA"/>
              </w:rPr>
              <w:t>ИНН: 4632048452 КПП: 463201001</w:t>
            </w:r>
          </w:p>
        </w:tc>
      </w:tr>
      <w:tr>
        <w:trPr>
          <w:cantSplit w:val="true"/>
        </w:trPr>
        <w:tc>
          <w:tcPr>
            <w:tcW w:w="5280" w:type="dxa"/>
            <w:gridSpan w:val="7"/>
            <w:vMerge w:val="continue"/>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right w:w="21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206" w:type="dxa"/>
            <w:gridSpan w:val="10"/>
            <w:tcBorders>
              <w:bottom w:val="single" w:sz="4" w:space="0" w:color="000000"/>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7"/>
                <w:szCs w:val="17"/>
                <w:lang w:val="ru-RU" w:eastAsia="ru-RU" w:bidi="ar-SA"/>
              </w:rPr>
              <w:t>ОКЦ № 1 Волго-Вятского ГУ Банка России//УФК по Нижегородской области, г. Нижний Новгород</w:t>
            </w:r>
          </w:p>
        </w:tc>
      </w:tr>
      <w:tr>
        <w:trPr>
          <w:cantSplit w:val="true"/>
        </w:trPr>
        <w:tc>
          <w:tcPr>
            <w:tcW w:w="5280" w:type="dxa"/>
            <w:gridSpan w:val="7"/>
            <w:vMerge w:val="continue"/>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right w:w="21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99"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7"/>
                <w:szCs w:val="17"/>
                <w:lang w:val="ru-RU" w:eastAsia="ru-RU" w:bidi="ar-SA"/>
              </w:rPr>
              <w:t>БИК:</w:t>
            </w:r>
          </w:p>
        </w:tc>
        <w:tc>
          <w:tcPr>
            <w:tcW w:w="4607" w:type="dxa"/>
            <w:gridSpan w:val="8"/>
            <w:tcBorders>
              <w:bottom w:val="single" w:sz="4" w:space="0" w:color="000000"/>
            </w:tcBorders>
            <w:shd w:color="auto" w:fill="auto" w:val="clear"/>
            <w:tcMar>
              <w:top w:w="0" w:type="dxa"/>
            </w:tcMar>
            <w:vAlign w:val="bottom"/>
          </w:tcPr>
          <w:p>
            <w:pPr>
              <w:pStyle w:val="Normal"/>
              <w:suppressAutoHyphens w:val="true"/>
              <w:bidi w:val="0"/>
              <w:spacing w:lineRule="auto" w:line="240" w:before="0" w:after="0"/>
              <w:jc w:val="left"/>
              <w:rPr>
                <w:rFonts w:ascii="Arial" w:hAnsi="Arial"/>
                <w:kern w:val="0"/>
                <w:sz w:val="17"/>
                <w:szCs w:val="17"/>
              </w:rPr>
            </w:pPr>
            <w:r>
              <w:rPr>
                <w:rFonts w:ascii="Arial" w:hAnsi="Arial"/>
                <w:sz w:val="17"/>
                <w:szCs w:val="17"/>
              </w:rPr>
              <w:t>012202102</w:t>
            </w:r>
          </w:p>
        </w:tc>
      </w:tr>
      <w:tr>
        <w:trPr>
          <w:cantSplit w:val="true"/>
        </w:trPr>
        <w:tc>
          <w:tcPr>
            <w:tcW w:w="5280" w:type="dxa"/>
            <w:gridSpan w:val="7"/>
            <w:vMerge w:val="continue"/>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right w:w="21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1935" w:type="dxa"/>
            <w:gridSpan w:val="6"/>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7"/>
                <w:szCs w:val="17"/>
                <w:lang w:val="ru-RU" w:eastAsia="ru-RU" w:bidi="ar-SA"/>
              </w:rPr>
              <w:t>Казначейский счет:</w:t>
            </w:r>
          </w:p>
        </w:tc>
        <w:tc>
          <w:tcPr>
            <w:tcW w:w="3271" w:type="dxa"/>
            <w:gridSpan w:val="4"/>
            <w:tcBorders>
              <w:bottom w:val="single" w:sz="4" w:space="0" w:color="000000"/>
            </w:tcBorders>
            <w:shd w:color="auto" w:fill="auto" w:val="clear"/>
            <w:tcMar>
              <w:top w:w="0" w:type="dxa"/>
            </w:tcMar>
            <w:vAlign w:val="bottom"/>
          </w:tcPr>
          <w:p>
            <w:pPr>
              <w:pStyle w:val="Normal"/>
              <w:suppressAutoHyphens w:val="true"/>
              <w:bidi w:val="0"/>
              <w:spacing w:lineRule="auto" w:line="240" w:before="0" w:after="0"/>
              <w:jc w:val="left"/>
              <w:rPr>
                <w:rFonts w:ascii="Arial" w:hAnsi="Arial"/>
                <w:kern w:val="0"/>
                <w:sz w:val="17"/>
                <w:szCs w:val="17"/>
              </w:rPr>
            </w:pPr>
            <w:r>
              <w:rPr>
                <w:rFonts w:ascii="Arial" w:hAnsi="Arial"/>
                <w:sz w:val="17"/>
                <w:szCs w:val="17"/>
              </w:rPr>
              <w:t>03211643000000013229</w:t>
            </w:r>
          </w:p>
        </w:tc>
      </w:tr>
      <w:tr>
        <w:trPr>
          <w:cantSplit w:val="true"/>
        </w:trPr>
        <w:tc>
          <w:tcPr>
            <w:tcW w:w="5280" w:type="dxa"/>
            <w:gridSpan w:val="7"/>
            <w:vMerge w:val="continue"/>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right w:w="21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99"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7"/>
                <w:szCs w:val="17"/>
                <w:lang w:val="ru-RU" w:eastAsia="ru-RU" w:bidi="ar-SA"/>
              </w:rPr>
              <w:t>ЕКС:</w:t>
            </w:r>
          </w:p>
        </w:tc>
        <w:tc>
          <w:tcPr>
            <w:tcW w:w="4607" w:type="dxa"/>
            <w:gridSpan w:val="8"/>
            <w:tcBorders>
              <w:bottom w:val="single" w:sz="4" w:space="0" w:color="000000"/>
            </w:tcBorders>
            <w:shd w:color="auto" w:fill="auto" w:val="clear"/>
            <w:tcMar>
              <w:top w:w="0" w:type="dxa"/>
            </w:tcMar>
            <w:vAlign w:val="bottom"/>
          </w:tcPr>
          <w:p>
            <w:pPr>
              <w:pStyle w:val="Normal"/>
              <w:suppressAutoHyphens w:val="true"/>
              <w:bidi w:val="0"/>
              <w:spacing w:lineRule="auto" w:line="240" w:before="0" w:after="0"/>
              <w:jc w:val="left"/>
              <w:rPr>
                <w:rFonts w:ascii="Arial" w:hAnsi="Arial"/>
                <w:kern w:val="0"/>
                <w:sz w:val="17"/>
                <w:szCs w:val="17"/>
              </w:rPr>
            </w:pPr>
            <w:r>
              <w:rPr>
                <w:rFonts w:ascii="Arial" w:hAnsi="Arial"/>
                <w:sz w:val="17"/>
                <w:szCs w:val="17"/>
              </w:rPr>
              <w:t>40102810745370000024</w:t>
            </w:r>
          </w:p>
        </w:tc>
      </w:tr>
      <w:tr>
        <w:trPr>
          <w:trHeight w:val="248" w:hRule="atLeast"/>
          <w:cantSplit w:val="true"/>
        </w:trPr>
        <w:tc>
          <w:tcPr>
            <w:tcW w:w="914" w:type="dxa"/>
            <w:gridSpan w:val="2"/>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4"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53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5"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134"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13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3"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80"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3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898"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40"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r>
      <w:tr>
        <w:trPr>
          <w:trHeight w:val="248" w:hRule="atLeast"/>
          <w:cantSplit w:val="true"/>
        </w:trPr>
        <w:tc>
          <w:tcPr>
            <w:tcW w:w="914" w:type="dxa"/>
            <w:gridSpan w:val="2"/>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4"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53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5"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70"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763"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3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898"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40"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r>
      <w:tr>
        <w:trPr>
          <w:trHeight w:val="672" w:hRule="atLeast"/>
          <w:cantSplit w:val="true"/>
        </w:trPr>
        <w:tc>
          <w:tcPr>
            <w:tcW w:w="5280" w:type="dxa"/>
            <w:gridSpan w:val="7"/>
            <w:tcBorders>
              <w:bottom w:val="single" w:sz="4" w:space="0" w:color="000000"/>
            </w:tcBorders>
            <w:shd w:color="auto" w:fill="auto" w:val="clear"/>
            <w:tcMar>
              <w:top w:w="0" w:type="dxa"/>
            </w:tcMar>
          </w:tcPr>
          <w:p>
            <w:pPr>
              <w:pStyle w:val="Normal"/>
              <w:widowControl/>
              <w:suppressAutoHyphens w:val="true"/>
              <w:spacing w:lineRule="auto" w:line="240" w:before="0" w:after="0"/>
              <w:jc w:val="right"/>
              <w:rPr>
                <w:sz w:val="17"/>
                <w:szCs w:val="17"/>
              </w:rPr>
            </w:pPr>
            <w:r>
              <w:rPr>
                <w:sz w:val="17"/>
                <w:szCs w:val="17"/>
              </w:rPr>
            </w:r>
          </w:p>
          <w:p>
            <w:pPr>
              <w:pStyle w:val="Normal"/>
              <w:widowControl/>
              <w:suppressAutoHyphens w:val="true"/>
              <w:spacing w:lineRule="auto" w:line="240" w:before="0" w:after="0"/>
              <w:jc w:val="right"/>
              <w:rPr>
                <w:sz w:val="17"/>
                <w:szCs w:val="17"/>
              </w:rPr>
            </w:pPr>
            <w:r>
              <w:rPr>
                <w:sz w:val="17"/>
                <w:szCs w:val="17"/>
              </w:rPr>
            </w:r>
          </w:p>
        </w:tc>
        <w:tc>
          <w:tcPr>
            <w:tcW w:w="287" w:type="dxa"/>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206" w:type="dxa"/>
            <w:gridSpan w:val="10"/>
            <w:tcBorders>
              <w:bottom w:val="single" w:sz="4" w:space="0" w:color="000000"/>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7"/>
                <w:szCs w:val="17"/>
                <w:lang w:val="ru-RU" w:eastAsia="ru-RU" w:bidi="ar-SA"/>
              </w:rPr>
              <w:t>Заместитель руководителя</w:t>
            </w:r>
          </w:p>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7"/>
                <w:szCs w:val="17"/>
                <w:lang w:val="ru-RU" w:eastAsia="ru-RU" w:bidi="ar-SA"/>
              </w:rPr>
              <w:t>Емельянов Александр Владимирович</w:t>
            </w:r>
          </w:p>
        </w:tc>
      </w:tr>
      <w:tr>
        <w:trPr>
          <w:trHeight w:val="248" w:hRule="atLeast"/>
          <w:cantSplit w:val="true"/>
        </w:trPr>
        <w:tc>
          <w:tcPr>
            <w:tcW w:w="465" w:type="dxa"/>
            <w:tcBorders/>
            <w:shd w:color="auto" w:fill="auto" w:val="clear"/>
            <w:tcMar>
              <w:top w:w="0" w:type="dxa"/>
            </w:tcMar>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49" w:type="dxa"/>
            <w:tcBorders/>
            <w:shd w:color="auto" w:fill="auto" w:val="clear"/>
            <w:tcMar>
              <w:top w:w="0" w:type="dxa"/>
            </w:tcMar>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6" w:type="dxa"/>
            <w:tcBorders/>
            <w:shd w:color="auto" w:fill="auto" w:val="clear"/>
            <w:tcMar>
              <w:top w:w="0" w:type="dxa"/>
            </w:tcMar>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50" w:type="dxa"/>
            <w:tcBorders/>
            <w:shd w:color="auto" w:fill="auto" w:val="clear"/>
            <w:tcMar>
              <w:top w:w="0" w:type="dxa"/>
            </w:tcMar>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4" w:type="dxa"/>
            <w:tcBorders/>
            <w:shd w:color="auto" w:fill="auto" w:val="clear"/>
            <w:tcMar>
              <w:top w:w="0" w:type="dxa"/>
            </w:tcMar>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50" w:type="dxa"/>
            <w:tcBorders/>
            <w:shd w:color="auto" w:fill="auto" w:val="clear"/>
            <w:tcMar>
              <w:top w:w="0" w:type="dxa"/>
            </w:tcMar>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536" w:type="dxa"/>
            <w:tcBorders/>
            <w:shd w:color="auto" w:fill="auto" w:val="clear"/>
            <w:tcMar>
              <w:top w:w="0" w:type="dxa"/>
            </w:tcMar>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5"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134"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136"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3"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80"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37"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898"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7"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40"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r>
      <w:tr>
        <w:trPr>
          <w:trHeight w:val="248" w:hRule="atLeast"/>
          <w:cantSplit w:val="true"/>
        </w:trPr>
        <w:tc>
          <w:tcPr>
            <w:tcW w:w="914" w:type="dxa"/>
            <w:gridSpan w:val="2"/>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gridSpan w:val="2"/>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4" w:type="dxa"/>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50" w:type="dxa"/>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536" w:type="dxa"/>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5"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70"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763"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3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898"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40"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r>
      <w:tr>
        <w:trPr>
          <w:trHeight w:val="248" w:hRule="atLeast"/>
          <w:cantSplit w:val="true"/>
        </w:trPr>
        <w:tc>
          <w:tcPr>
            <w:tcW w:w="5280" w:type="dxa"/>
            <w:gridSpan w:val="7"/>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5" w:type="dxa"/>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741" w:type="dxa"/>
            <w:gridSpan w:val="9"/>
            <w:tcBorders/>
            <w:shd w:color="auto" w:fill="auto" w:val="clear"/>
            <w:tcMar>
              <w:top w:w="0" w:type="dxa"/>
            </w:tcMar>
            <w:vAlign w:val="bottom"/>
          </w:tcPr>
          <w:p>
            <w:pPr>
              <w:pStyle w:val="Normal"/>
              <w:widowControl/>
              <w:suppressAutoHyphens w:val="true"/>
              <w:spacing w:lineRule="auto" w:line="240" w:before="0" w:after="0"/>
              <w:jc w:val="righ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r>
      <w:tr>
        <w:trPr>
          <w:trHeight w:val="248" w:hRule="atLeast"/>
          <w:cantSplit w:val="true"/>
        </w:trPr>
        <w:tc>
          <w:tcPr>
            <w:tcW w:w="914" w:type="dxa"/>
            <w:gridSpan w:val="2"/>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1830" w:type="dxa"/>
            <w:gridSpan w:val="4"/>
            <w:tcBorders/>
            <w:shd w:color="auto" w:fill="auto" w:val="clear"/>
            <w:tcMar>
              <w:top w:w="0" w:type="dxa"/>
            </w:tcMar>
          </w:tcPr>
          <w:p>
            <w:pPr>
              <w:pStyle w:val="Normal"/>
              <w:widowControl/>
              <w:suppressAutoHyphens w:val="true"/>
              <w:spacing w:lineRule="auto" w:line="240" w:before="0" w:after="0"/>
              <w:jc w:val="center"/>
              <w:rPr>
                <w:rFonts w:ascii="Arial" w:hAnsi="Arial" w:eastAsia="" w:cs=""/>
                <w:kern w:val="0"/>
                <w:sz w:val="15"/>
                <w:szCs w:val="22"/>
                <w:lang w:val="ru-RU" w:eastAsia="ru-RU" w:bidi="ar-SA"/>
              </w:rPr>
            </w:pPr>
            <w:r>
              <w:rPr>
                <w:rFonts w:eastAsia="" w:cs="" w:ascii="Arial" w:hAnsi="Arial"/>
                <w:kern w:val="0"/>
                <w:sz w:val="17"/>
                <w:szCs w:val="17"/>
                <w:lang w:val="ru-RU" w:eastAsia="ru-RU" w:bidi="ar-SA"/>
              </w:rPr>
              <w:t>М.П.</w:t>
            </w:r>
          </w:p>
        </w:tc>
        <w:tc>
          <w:tcPr>
            <w:tcW w:w="2536" w:type="dxa"/>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tcMar>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5"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70"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7"/>
                <w:szCs w:val="17"/>
                <w:lang w:val="ru-RU" w:eastAsia="ru-RU" w:bidi="ar-SA"/>
              </w:rPr>
              <w:t>.</w:t>
            </w:r>
          </w:p>
        </w:tc>
        <w:tc>
          <w:tcPr>
            <w:tcW w:w="3014" w:type="dxa"/>
            <w:gridSpan w:val="5"/>
            <w:tcBorders/>
            <w:shd w:color="auto" w:fill="auto" w:val="clear"/>
            <w:tcMar>
              <w:top w:w="0" w:type="dxa"/>
            </w:tcMar>
          </w:tcPr>
          <w:p>
            <w:pPr>
              <w:pStyle w:val="Normal"/>
              <w:widowControl/>
              <w:suppressAutoHyphens w:val="true"/>
              <w:spacing w:lineRule="auto" w:line="240" w:before="0" w:after="0"/>
              <w:jc w:val="center"/>
              <w:rPr>
                <w:rFonts w:ascii="Arial" w:hAnsi="Arial" w:eastAsia="" w:cs=""/>
                <w:kern w:val="0"/>
                <w:sz w:val="15"/>
                <w:szCs w:val="22"/>
                <w:lang w:val="ru-RU" w:eastAsia="ru-RU" w:bidi="ar-SA"/>
              </w:rPr>
            </w:pPr>
            <w:r>
              <w:rPr>
                <w:rFonts w:eastAsia="" w:cs="" w:ascii="Arial" w:hAnsi="Arial"/>
                <w:kern w:val="0"/>
                <w:sz w:val="17"/>
                <w:szCs w:val="17"/>
                <w:lang w:val="ru-RU" w:eastAsia="ru-RU" w:bidi="ar-SA"/>
              </w:rPr>
              <w:t>М.П.</w:t>
            </w:r>
          </w:p>
        </w:tc>
        <w:tc>
          <w:tcPr>
            <w:tcW w:w="917" w:type="dxa"/>
            <w:tcBorders/>
            <w:shd w:color="auto" w:fill="auto" w:val="clear"/>
            <w:tcMar>
              <w:top w:w="0" w:type="dxa"/>
            </w:tcMar>
          </w:tcPr>
          <w:p>
            <w:pPr>
              <w:pStyle w:val="Normal"/>
              <w:widowControl/>
              <w:suppressAutoHyphens w:val="true"/>
              <w:spacing w:lineRule="auto" w:line="240" w:before="0" w:after="0"/>
              <w:jc w:val="center"/>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40"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r>
      <w:tr>
        <w:trPr>
          <w:trHeight w:val="248" w:hRule="atLeast"/>
          <w:cantSplit w:val="true"/>
        </w:trPr>
        <w:tc>
          <w:tcPr>
            <w:tcW w:w="914"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4"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53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5"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70"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763"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3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898"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40"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r>
      <w:tr>
        <w:trPr>
          <w:cantSplit w:val="true"/>
        </w:trPr>
        <w:tc>
          <w:tcPr>
            <w:tcW w:w="914"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4"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53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5"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70"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763"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3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898"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40"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r>
      <w:tr>
        <w:trPr>
          <w:cantSplit w:val="true"/>
        </w:trPr>
        <w:tc>
          <w:tcPr>
            <w:tcW w:w="914"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4"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53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8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65"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270"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763" w:type="dxa"/>
            <w:gridSpan w:val="2"/>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43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898"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6"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917"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c>
          <w:tcPr>
            <w:tcW w:w="540" w:type="dxa"/>
            <w:tcBorders/>
            <w:shd w:color="auto" w:fill="auto" w:val="clear"/>
            <w:tcMar>
              <w:top w:w="0" w:type="dxa"/>
            </w:tcMar>
            <w:vAlign w:val="bottom"/>
          </w:tcPr>
          <w:p>
            <w:pPr>
              <w:pStyle w:val="Normal"/>
              <w:widowControl/>
              <w:suppressAutoHyphens w:val="true"/>
              <w:spacing w:lineRule="auto" w:line="240" w:before="0" w:after="0"/>
              <w:jc w:val="left"/>
              <w:rPr>
                <w:rFonts w:ascii="Arial" w:hAnsi="Arial" w:eastAsia="" w:cs=""/>
                <w:kern w:val="0"/>
                <w:sz w:val="15"/>
                <w:szCs w:val="22"/>
                <w:lang w:val="ru-RU" w:eastAsia="ru-RU" w:bidi="ar-SA"/>
              </w:rPr>
            </w:pPr>
            <w:r>
              <w:rPr>
                <w:rFonts w:eastAsia="" w:cs="" w:ascii="Arial" w:hAnsi="Arial"/>
                <w:kern w:val="0"/>
                <w:sz w:val="15"/>
                <w:szCs w:val="22"/>
                <w:lang w:val="ru-RU" w:eastAsia="ru-RU" w:bidi="ar-SA"/>
              </w:rPr>
            </w:r>
          </w:p>
        </w:tc>
      </w:tr>
    </w:tbl>
    <w:p>
      <w:pPr>
        <w:pStyle w:val="Normal"/>
        <w:widowControl/>
        <w:bidi w:val="0"/>
        <w:spacing w:lineRule="auto" w:line="276" w:before="0" w:after="200"/>
        <w:jc w:val="left"/>
        <w:rPr/>
      </w:pPr>
      <w:r>
        <w:rPr/>
      </w:r>
    </w:p>
    <w:sectPr>
      <w:footerReference w:type="even" r:id="rId2"/>
      <w:footerReference w:type="default" r:id="rId3"/>
      <w:footerReference w:type="first" r:id="rId4"/>
      <w:type w:val="nextPage"/>
      <w:pgSz w:w="11906" w:h="16838"/>
      <w:pgMar w:left="850" w:right="283" w:gutter="0" w:header="0" w:top="283" w:footer="720" w:bottom="77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Obj>
      <w:id w:val="-2053603969"/>
    </w:sdtPr>
    <w:sdtContent>
      <w:p>
        <w:pPr>
          <w:pStyle w:val="Normal"/>
          <w:rPr/>
        </w:pPr>
        <w:r>
          <w:rPr/>
          <w:tab/>
        </w:r>
        <w:r>
          <w:rPr>
            <w:rFonts w:ascii="Arial" w:hAnsi="Arial"/>
            <w:sz w:val="15"/>
          </w:rPr>
          <w:fldChar w:fldCharType="begin"/>
        </w:r>
        <w:r>
          <w:rPr>
            <w:rFonts w:ascii="Arial" w:hAnsi="Arial"/>
            <w:sz w:val="15"/>
          </w:rPr>
          <w:instrText xml:space="preserve"> PAGE </w:instrText>
        </w:r>
        <w:r>
          <w:rPr>
            <w:rFonts w:ascii="Arial" w:hAnsi="Arial"/>
            <w:sz w:val="15"/>
          </w:rPr>
          <w:fldChar w:fldCharType="separate"/>
        </w:r>
        <w:r>
          <w:rPr>
            <w:rFonts w:ascii="Arial" w:hAnsi="Arial"/>
            <w:sz w:val="15"/>
          </w:rPr>
          <w:t>5</w:t>
        </w:r>
        <w:r>
          <w:rPr>
            <w:rFonts w:ascii="Arial" w:hAnsi="Arial"/>
            <w:sz w:val="15"/>
          </w:rPr>
          <w:fldChar w:fldCharType="end"/>
        </w:r>
      </w:p>
    </w:sdtContent>
  </w:sdt>
  <w:p>
    <w:pPr>
      <w:pStyle w:val="Normal"/>
      <w:spacing w:before="0" w:after="20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Obj>
      <w:id w:val="-2053603969"/>
    </w:sdtPr>
    <w:sdtContent>
      <w:p>
        <w:pPr>
          <w:pStyle w:val="Normal"/>
          <w:rPr/>
        </w:pPr>
        <w:r>
          <w:rPr/>
          <w:tab/>
        </w:r>
        <w:r>
          <w:rPr>
            <w:rFonts w:ascii="Arial" w:hAnsi="Arial"/>
            <w:sz w:val="15"/>
          </w:rPr>
          <w:fldChar w:fldCharType="begin"/>
        </w:r>
        <w:r>
          <w:rPr>
            <w:rFonts w:ascii="Arial" w:hAnsi="Arial"/>
            <w:sz w:val="15"/>
          </w:rPr>
          <w:instrText xml:space="preserve"> PAGE </w:instrText>
        </w:r>
        <w:r>
          <w:rPr>
            <w:rFonts w:ascii="Arial" w:hAnsi="Arial"/>
            <w:sz w:val="15"/>
          </w:rPr>
          <w:fldChar w:fldCharType="separate"/>
        </w:r>
        <w:r>
          <w:rPr>
            <w:rFonts w:ascii="Arial" w:hAnsi="Arial"/>
            <w:sz w:val="15"/>
          </w:rPr>
          <w:t>5</w:t>
        </w:r>
        <w:r>
          <w:rPr>
            <w:rFonts w:ascii="Arial" w:hAnsi="Arial"/>
            <w:sz w:val="15"/>
          </w:rPr>
          <w:fldChar w:fldCharType="end"/>
        </w:r>
      </w:p>
    </w:sdtContent>
  </w:sdt>
  <w:p>
    <w:pPr>
      <w:pStyle w:val="Normal"/>
      <w:spacing w:before="0" w:after="200"/>
      <w:rPr/>
    </w:pPr>
    <w:r>
      <w:rPr/>
    </w:r>
  </w:p>
</w:ftr>
</file>

<file path=word/settings.xml><?xml version="1.0" encoding="utf-8"?>
<w:settings xmlns:w="http://schemas.openxmlformats.org/wordprocessingml/2006/main">
  <w:zoom w:percent="17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user2">
    <w:name w:val="Колонтитулы (user)"/>
    <w:basedOn w:val="Normal"/>
    <w:qFormat/>
    <w:pPr/>
    <w:rPr/>
  </w:style>
  <w:style w:type="paragraph" w:styleId="Style16">
    <w:name w:val="Колонтитулы"/>
    <w:basedOn w:val="Normal"/>
    <w:qFormat/>
    <w:pPr/>
    <w:rPr/>
  </w:style>
  <w:style w:type="paragraph" w:styleId="Footer">
    <w:name w:val="footer"/>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user3">
    <w:name w:val="Содержимое таблицы (user)"/>
    <w:basedOn w:val="Normal"/>
    <w:qFormat/>
    <w:pPr>
      <w:widowControl w:val="false"/>
      <w:suppressLineNumbers/>
    </w:pPr>
    <w:rPr/>
  </w:style>
  <w:style w:type="paragraph" w:styleId="user4">
    <w:name w:val="Заголовок таблицы (user)"/>
    <w:basedOn w:val="user3"/>
    <w:qFormat/>
    <w:pPr>
      <w:suppressLineNumbers/>
      <w:jc w:val="center"/>
    </w:pPr>
    <w:rPr>
      <w:b/>
      <w:bCs/>
    </w:rPr>
  </w:style>
  <w:style w:type="numbering" w:styleId="user5"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Style0">
    <w:name w:val="TableStyle0"/>
    <w:pPr>
      <w:spacing w:after="0" w:line="240" w:lineRule="auto"/>
    </w:pPr>
    <w:rPr>
      <w:sz w:val="15"/>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LibreOffice/25.8.4.2$Linux_X86_64 LibreOffice_project/580$Build-2</Application>
  <AppVersion>15.0000</AppVersion>
  <Pages>5</Pages>
  <Words>2888</Words>
  <Characters>21041</Characters>
  <CharactersWithSpaces>24179</CharactersWithSpaces>
  <Paragraphs>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2026-07-17T10:41:00Z</dcterms:created>
  <dc:creator/>
  <dc:description/>
  <dc:language>ru-RU</dc:language>
  <cp:lastModifiedBy/>
  <dcterms:modified xsi:type="dcterms:W3CDTF">2026-07-22T12:46:01Z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