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2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Техническое задание на поставку расходных материалов для оргтехники.</w:t>
      </w:r>
    </w:p>
    <w:p>
      <w:pPr>
        <w:pStyle w:val="Normal"/>
        <w:spacing w:before="0" w:after="0"/>
        <w:jc w:val="start"/>
        <w:rPr/>
      </w:pPr>
      <w:r>
        <w:rPr>
          <w:rFonts w:ascii="Times New Roman" w:hAnsi="Times New Roman"/>
          <w:sz w:val="28"/>
          <w:szCs w:val="28"/>
        </w:rPr>
        <w:t>Осуществить поставку следующего оборудования:</w:t>
      </w:r>
    </w:p>
    <w:tbl>
      <w:tblPr>
        <w:tblpPr w:vertAnchor="text" w:horzAnchor="margin" w:leftFromText="180" w:rightFromText="180" w:tblpX="-169" w:tblpY="103"/>
        <w:tblW w:w="9923" w:type="dxa"/>
        <w:jc w:val="start"/>
        <w:tblInd w:w="108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noHBand="0" w:noVBand="1" w:firstColumn="1" w:lastRow="0" w:lastColumn="0" w:firstRow="1"/>
      </w:tblPr>
      <w:tblGrid>
        <w:gridCol w:w="515"/>
        <w:gridCol w:w="7844"/>
        <w:gridCol w:w="1564"/>
      </w:tblGrid>
      <w:tr>
        <w:trPr>
          <w:trHeight w:val="270" w:hRule="atLeast"/>
        </w:trPr>
        <w:tc>
          <w:tcPr>
            <w:tcW w:w="5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0" w:leader="none"/>
                <w:tab w:val="left" w:pos="3261" w:leader="none"/>
              </w:tabs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78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567" w:leader="none"/>
                <w:tab w:val="left" w:pos="3261" w:leader="none"/>
              </w:tabs>
              <w:spacing w:before="0" w:after="2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56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83" w:leader="none"/>
                <w:tab w:val="left" w:pos="3261" w:leader="none"/>
              </w:tabs>
              <w:spacing w:before="0" w:after="200"/>
              <w:ind w:firstLine="33" w:start="-18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</w:tr>
      <w:tr>
        <w:trPr>
          <w:trHeight w:val="1671" w:hRule="atLeast"/>
        </w:trPr>
        <w:tc>
          <w:tcPr>
            <w:tcW w:w="5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tabs>
                <w:tab w:val="clear" w:pos="708"/>
                <w:tab w:val="left" w:pos="0" w:leader="none"/>
                <w:tab w:val="left" w:pos="3261" w:leader="none"/>
              </w:tabs>
              <w:spacing w:before="0" w:after="20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8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Блок формирования изображения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(Пример: оригинальный блок формирования изображения для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xerox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>225)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Блок формирования изображения для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xerox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225,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230,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sz w:val="28"/>
                <w:szCs w:val="28"/>
              </w:rPr>
              <w:t>235</w:t>
            </w:r>
          </w:p>
          <w:p>
            <w:pPr>
              <w:pStyle w:val="Normal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156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tabs>
                <w:tab w:val="clear" w:pos="708"/>
                <w:tab w:val="left" w:pos="683" w:leader="none"/>
                <w:tab w:val="left" w:pos="3261" w:leader="none"/>
              </w:tabs>
              <w:spacing w:before="0" w:after="200"/>
              <w:ind w:firstLine="33" w:start="-18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>
        <w:trPr>
          <w:trHeight w:val="680" w:hRule="atLeast"/>
        </w:trPr>
        <w:tc>
          <w:tcPr>
            <w:tcW w:w="515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color="auto" w:fill="auto" w:val="clear"/>
          </w:tcPr>
          <w:p>
            <w:pPr>
              <w:pStyle w:val="Normal"/>
              <w:tabs>
                <w:tab w:val="clear" w:pos="708"/>
                <w:tab w:val="left" w:pos="0" w:leader="none"/>
                <w:tab w:val="left" w:pos="3261" w:leader="none"/>
              </w:tabs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784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56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683" w:leader="none"/>
                <w:tab w:val="left" w:pos="3261" w:leader="none"/>
              </w:tabs>
              <w:spacing w:before="0" w:after="200"/>
              <w:ind w:firstLine="56" w:start="-18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>
      <w:pPr>
        <w:pStyle w:val="Normal"/>
        <w:spacing w:before="0" w:after="0"/>
        <w:jc w:val="start"/>
        <w:rPr/>
      </w:pPr>
      <w:r/>
      <w:r>
        <w:rPr>
          <w:rFonts w:ascii="Times New Roman" w:hAnsi="Times New Roman"/>
          <w:sz w:val="28"/>
          <w:szCs w:val="28"/>
        </w:rPr>
        <w:t>Срок поставки – 1</w:t>
      </w:r>
      <w:r>
        <w:rPr>
          <w:rFonts w:ascii="Times New Roman" w:hAnsi="Times New Roman"/>
          <w:sz w:val="28"/>
          <w:szCs w:val="28"/>
        </w:rPr>
        <w:t>0 (десять) рабочих</w:t>
      </w:r>
      <w:r>
        <w:rPr>
          <w:rFonts w:ascii="Times New Roman" w:hAnsi="Times New Roman"/>
          <w:sz w:val="28"/>
          <w:szCs w:val="28"/>
        </w:rPr>
        <w:t xml:space="preserve"> дней с момента подписания Контракта.</w:t>
      </w:r>
    </w:p>
    <w:p>
      <w:pPr>
        <w:pStyle w:val="Normal"/>
        <w:jc w:val="start"/>
        <w:rPr/>
      </w:pPr>
      <w:r>
        <w:rPr>
          <w:rFonts w:ascii="Times New Roman" w:hAnsi="Times New Roman"/>
          <w:sz w:val="28"/>
          <w:szCs w:val="28"/>
        </w:rPr>
        <w:t>Срок гарантии – 12 месяцев.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 xml:space="preserve">Поставляемые расходные материалы должны быть новыми(не бывшими в употреблении), рекомендованными к использованию производителем оргтехники, в котором они будут установлены; их применение не должно привести к прекращению гарантийных обязательств производителя, к порче или преждевременному износу того оборудования, в котором они будут установлены и для которого они предназначены. 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 xml:space="preserve">Расходные материалы и детали должны являться новыми, </w:t>
      </w:r>
      <w:r>
        <w:rPr>
          <w:bCs/>
          <w:sz w:val="28"/>
          <w:szCs w:val="28"/>
        </w:rPr>
        <w:t xml:space="preserve">не восстановленными </w:t>
      </w:r>
      <w:r>
        <w:rPr>
          <w:sz w:val="28"/>
          <w:szCs w:val="28"/>
        </w:rPr>
        <w:t xml:space="preserve">и </w:t>
      </w:r>
      <w:r>
        <w:rPr>
          <w:bCs/>
          <w:sz w:val="28"/>
          <w:szCs w:val="28"/>
        </w:rPr>
        <w:t>не бывшими в употреблении</w:t>
      </w:r>
      <w:r>
        <w:rPr>
          <w:sz w:val="28"/>
          <w:szCs w:val="28"/>
        </w:rPr>
        <w:t xml:space="preserve">. 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 xml:space="preserve">Упаковка и маркировка расходных материалов должна содержать все признаки оригинальности, установленные производителями: </w:t>
      </w:r>
    </w:p>
    <w:p>
      <w:pPr>
        <w:pStyle w:val="Default"/>
        <w:numPr>
          <w:ilvl w:val="0"/>
          <w:numId w:val="2"/>
        </w:numPr>
        <w:spacing w:before="0" w:after="47"/>
        <w:jc w:val="start"/>
        <w:rPr/>
      </w:pPr>
      <w:r>
        <w:rPr>
          <w:sz w:val="28"/>
          <w:szCs w:val="28"/>
        </w:rPr>
        <w:t xml:space="preserve">голограммы, защитные пломбы, марки, содержащие все элементы защиты от подделок (микротекст, изменяемый под углом зрения цвет логотипа, термополоса и т.п.); номер партии на коробке должны совпадать; </w:t>
      </w:r>
    </w:p>
    <w:p>
      <w:pPr>
        <w:pStyle w:val="Default"/>
        <w:numPr>
          <w:ilvl w:val="0"/>
          <w:numId w:val="1"/>
        </w:numPr>
        <w:spacing w:before="0" w:after="47"/>
        <w:jc w:val="start"/>
        <w:rPr/>
      </w:pPr>
      <w:r>
        <w:rPr>
          <w:sz w:val="28"/>
          <w:szCs w:val="28"/>
        </w:rPr>
        <w:t xml:space="preserve"> </w:t>
      </w:r>
      <w:r>
        <w:rPr>
          <w:sz w:val="28"/>
          <w:szCs w:val="28"/>
        </w:rPr>
        <w:t xml:space="preserve">корпус не должен иметь потертостей, царапин, сколов и следов вскрытия. 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 xml:space="preserve">Поставляемые товар должен соответствовать установленным требованиям по ISO/IEC 19752 . Эксплуатация расходных материалов не должна привести к нарушению санитарно-гигиенических норм при их использовании на исправном оборудовании, в которое они будут установлены и для которого они предназначены. 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 xml:space="preserve">Поставляемый товар должен обеспечивать бесперебойную эксплуатацию и качество печати при влажности воздуха 20-80% и хранение при температурах от -20 до 40˚С. </w:t>
      </w:r>
    </w:p>
    <w:p>
      <w:pPr>
        <w:pStyle w:val="Default"/>
        <w:ind w:firstLine="426"/>
        <w:jc w:val="start"/>
        <w:rPr/>
      </w:pPr>
      <w:r>
        <w:rPr>
          <w:bCs/>
          <w:sz w:val="28"/>
          <w:szCs w:val="28"/>
        </w:rPr>
        <w:t>Использование поставленных расходных материалов не должно приводить к прекращению действия сертификата ГОСТ Р у используемой техники (соответствие требований безопасности и электромагнитной совместимости).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>Поставщик гарантирует, что изделие программно и аппаратно совместимо с прошивкой устройства Xerox WorkCentre B225.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>В случае невозможности использования поставленного блока по причине блокировки со стороны устройства, поставщик обязан бесплатно заменить изделие на полностью функционирующее.</w:t>
      </w:r>
    </w:p>
    <w:p>
      <w:pPr>
        <w:pStyle w:val="Default"/>
        <w:ind w:firstLine="426"/>
        <w:jc w:val="start"/>
        <w:rPr/>
      </w:pPr>
      <w:r>
        <w:rPr>
          <w:bCs/>
          <w:sz w:val="28"/>
          <w:szCs w:val="28"/>
        </w:rPr>
        <w:t xml:space="preserve">Поставляемые товары должны соответствовать рекомендациям производителя техники, для которой они предназначены (должны быть рекомендованы производителем техники к применению в ней). 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 xml:space="preserve">Поставляемые товары должны обеспечивать качественную печать на всех материалах, предусмотренных в технике, для которой они предназначены. При печати не должно быть точек, полос, линий, серого фона и других дефектов не связанных с текстом напечатанного документа. </w:t>
      </w:r>
      <w:r>
        <w:rPr>
          <w:bCs/>
          <w:sz w:val="28"/>
          <w:szCs w:val="28"/>
        </w:rPr>
        <w:t xml:space="preserve">В случае выявления </w:t>
      </w:r>
      <w:r>
        <w:rPr>
          <w:sz w:val="28"/>
          <w:szCs w:val="28"/>
        </w:rPr>
        <w:t xml:space="preserve">таких </w:t>
      </w:r>
      <w:r>
        <w:rPr>
          <w:bCs/>
          <w:sz w:val="28"/>
          <w:szCs w:val="28"/>
        </w:rPr>
        <w:t xml:space="preserve">дефектов в процессе эксплуатации </w:t>
      </w:r>
      <w:r>
        <w:rPr>
          <w:sz w:val="28"/>
          <w:szCs w:val="28"/>
        </w:rPr>
        <w:t xml:space="preserve">товара </w:t>
      </w:r>
      <w:r>
        <w:rPr>
          <w:bCs/>
          <w:sz w:val="28"/>
          <w:szCs w:val="28"/>
        </w:rPr>
        <w:t xml:space="preserve">поставщик обязан заменить </w:t>
      </w:r>
      <w:r>
        <w:rPr>
          <w:sz w:val="28"/>
          <w:szCs w:val="28"/>
        </w:rPr>
        <w:t xml:space="preserve">такой товар на аналогичный без дефектов. </w:t>
      </w:r>
    </w:p>
    <w:p>
      <w:pPr>
        <w:pStyle w:val="Default"/>
        <w:ind w:firstLine="426"/>
        <w:jc w:val="start"/>
        <w:rPr/>
      </w:pPr>
      <w:r>
        <w:rPr>
          <w:sz w:val="28"/>
          <w:szCs w:val="28"/>
        </w:rPr>
        <w:t>Гарантийный срок всех наименований товара  12 месяцев с даты подписания документа о приемке.</w:t>
      </w:r>
    </w:p>
    <w:p>
      <w:pPr>
        <w:pStyle w:val="Default"/>
        <w:ind w:firstLine="708"/>
        <w:jc w:val="start"/>
        <w:rPr/>
      </w:pPr>
      <w:r>
        <w:rPr>
          <w:sz w:val="28"/>
          <w:szCs w:val="28"/>
        </w:rPr>
        <w:t>-  гарантийное обслуживание (замена и иные работы и услуги по гарантии) должно осуществляться без затрат со стороны Заказчика;</w:t>
      </w:r>
    </w:p>
    <w:p>
      <w:pPr>
        <w:pStyle w:val="Default"/>
        <w:ind w:firstLine="708"/>
        <w:jc w:val="start"/>
        <w:rPr/>
      </w:pPr>
      <w:r>
        <w:rPr>
          <w:sz w:val="28"/>
          <w:szCs w:val="28"/>
        </w:rPr>
        <w:t>- при причинении вреда имуществу Заказчика вследствие конструктивных, производственных или иных недостатков поставляемых товаров, в течение гарантийного срока, Поставщик возмещает убытки, понесенные Заказчиком.</w:t>
      </w:r>
    </w:p>
    <w:p>
      <w:pPr>
        <w:pStyle w:val="Normal"/>
        <w:ind w:firstLine="426"/>
        <w:jc w:val="start"/>
        <w:rPr/>
      </w:pPr>
      <w:r>
        <w:rPr>
          <w:rFonts w:ascii="Times New Roman" w:hAnsi="Times New Roman"/>
          <w:bCs/>
          <w:sz w:val="28"/>
          <w:szCs w:val="28"/>
        </w:rPr>
        <w:t xml:space="preserve">Доставка </w:t>
      </w:r>
      <w:r>
        <w:rPr>
          <w:rFonts w:ascii="Times New Roman" w:hAnsi="Times New Roman"/>
          <w:sz w:val="28"/>
          <w:szCs w:val="28"/>
        </w:rPr>
        <w:t xml:space="preserve">Товара осуществляется </w:t>
      </w:r>
      <w:r>
        <w:rPr>
          <w:rFonts w:ascii="Times New Roman" w:hAnsi="Times New Roman"/>
          <w:bCs/>
          <w:sz w:val="28"/>
          <w:szCs w:val="28"/>
        </w:rPr>
        <w:t xml:space="preserve">до склада </w:t>
      </w:r>
      <w:r>
        <w:rPr>
          <w:rFonts w:ascii="Times New Roman" w:hAnsi="Times New Roman"/>
          <w:sz w:val="28"/>
          <w:szCs w:val="28"/>
        </w:rPr>
        <w:t xml:space="preserve">заказчика. </w:t>
      </w:r>
      <w:r>
        <w:rPr>
          <w:rFonts w:ascii="Times New Roman" w:hAnsi="Times New Roman"/>
          <w:bCs/>
          <w:sz w:val="28"/>
          <w:szCs w:val="28"/>
        </w:rPr>
        <w:t xml:space="preserve">Дополнительной оплаты </w:t>
      </w:r>
      <w:r>
        <w:rPr>
          <w:rFonts w:ascii="Times New Roman" w:hAnsi="Times New Roman"/>
          <w:sz w:val="28"/>
          <w:szCs w:val="28"/>
        </w:rPr>
        <w:t xml:space="preserve">Заказчиком доставки Товара </w:t>
      </w:r>
      <w:r>
        <w:rPr>
          <w:rFonts w:ascii="Times New Roman" w:hAnsi="Times New Roman"/>
          <w:bCs/>
          <w:sz w:val="28"/>
          <w:szCs w:val="28"/>
        </w:rPr>
        <w:t>не предусмотрено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before="0" w:after="20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200"/>
        <w:ind w:firstLine="426"/>
        <w:jc w:val="both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5940425" cy="290068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426"/>
        <w:jc w:val="both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5940425" cy="3041650"/>
            <wp:effectExtent l="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firstLine="426"/>
        <w:jc w:val="both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5940425" cy="3439160"/>
            <wp:effectExtent l="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20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1" w:characterSet="utf-8"/>
    <w:family w:val="roman"/>
    <w:pitch w:val="variable"/>
  </w:font>
  <w:font w:name="Times New Roman">
    <w:charset w:val="01" w:characterSet="utf-8"/>
    <w:family w:val="roman"/>
    <w:pitch w:val="variable"/>
  </w:font>
  <w:font w:name="Tahoma">
    <w:charset w:val="01" w:characterSet="utf-8"/>
    <w:family w:val="swiss"/>
    <w:pitch w:val="variable"/>
  </w:font>
  <w:font w:name="OpenSymbol">
    <w:altName w:val="Arial Unicode MS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1347"/>
        </w:tabs>
        <w:ind w:start="134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start"/>
      <w:pPr>
        <w:tabs>
          <w:tab w:val="num" w:pos="1707"/>
        </w:tabs>
        <w:ind w:start="170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start"/>
      <w:pPr>
        <w:tabs>
          <w:tab w:val="num" w:pos="2067"/>
        </w:tabs>
        <w:ind w:start="206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start"/>
      <w:pPr>
        <w:tabs>
          <w:tab w:val="num" w:pos="2427"/>
        </w:tabs>
        <w:ind w:start="242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start"/>
      <w:pPr>
        <w:tabs>
          <w:tab w:val="num" w:pos="2787"/>
        </w:tabs>
        <w:ind w:start="278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start"/>
      <w:pPr>
        <w:tabs>
          <w:tab w:val="num" w:pos="3147"/>
        </w:tabs>
        <w:ind w:start="314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start"/>
      <w:pPr>
        <w:tabs>
          <w:tab w:val="num" w:pos="3507"/>
        </w:tabs>
        <w:ind w:start="350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start"/>
      <w:pPr>
        <w:tabs>
          <w:tab w:val="num" w:pos="3867"/>
        </w:tabs>
        <w:ind w:start="386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start"/>
      <w:pPr>
        <w:tabs>
          <w:tab w:val="num" w:pos="4227"/>
        </w:tabs>
        <w:ind w:start="422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b614b"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link w:val="1"/>
    <w:uiPriority w:val="9"/>
    <w:qFormat/>
    <w:rsid w:val="00586b27"/>
    <w:pPr>
      <w:spacing w:lineRule="auto" w:line="240" w:beforeAutospacing="1" w:afterAutospacing="1"/>
      <w:outlineLvl w:val="0"/>
    </w:pPr>
    <w:rPr>
      <w:rFonts w:ascii="Times New Roman" w:hAnsi="Times New Roman" w:eastAsia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6725f0"/>
    <w:rPr>
      <w:rFonts w:ascii="Tahoma" w:hAnsi="Tahoma" w:eastAsia="Calibri" w:cs="Tahoma"/>
      <w:sz w:val="16"/>
      <w:szCs w:val="16"/>
    </w:rPr>
  </w:style>
  <w:style w:type="character" w:styleId="1" w:customStyle="1">
    <w:name w:val="Заголовок 1 Знак"/>
    <w:basedOn w:val="DefaultParagraphFont"/>
    <w:uiPriority w:val="9"/>
    <w:qFormat/>
    <w:rsid w:val="00586b27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061845"/>
    <w:rPr>
      <w:color w:val="0000FF"/>
      <w:u w:val="single"/>
    </w:rPr>
  </w:style>
  <w:style w:type="character" w:styleId="user">
    <w:name w:val="Маркеры (user)"/>
    <w:qFormat/>
    <w:rPr>
      <w:rFonts w:ascii="OpenSymbol" w:hAnsi="OpenSymbol" w:eastAsia="OpenSymbol" w:cs="OpenSymbol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ohit Devanagari"/>
    </w:rPr>
  </w:style>
  <w:style w:type="paragraph" w:styleId="user1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user2">
    <w:name w:val="Указатель (user)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5c16e2"/>
    <w:pPr>
      <w:widowControl/>
      <w:suppressAutoHyphens w:val="true"/>
      <w:bidi w:val="0"/>
      <w:spacing w:lineRule="auto" w:line="240" w:before="0" w:after="0"/>
      <w:jc w:val="star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6725f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6">
    <w:name w:val="Содержимое врезки"/>
    <w:basedOn w:val="Normal"/>
    <w:qFormat/>
    <w:pPr/>
    <w:rPr/>
  </w:style>
  <w:style w:type="paragraph" w:styleId="user3">
    <w:name w:val="Содержимое врезки (user)"/>
    <w:basedOn w:val="Normal"/>
    <w:qFormat/>
    <w:pPr/>
    <w:rPr/>
  </w:style>
  <w:style w:type="paragraph" w:styleId="Style17">
    <w:name w:val="Содержимое таблицы"/>
    <w:basedOn w:val="Normal"/>
    <w:qFormat/>
    <w:pPr>
      <w:widowControl w:val="false"/>
      <w:suppressLineNumbers/>
    </w:pPr>
    <w:rPr/>
  </w:style>
  <w:style w:type="paragraph" w:styleId="Style18">
    <w:name w:val="Заголовок таблицы"/>
    <w:basedOn w:val="Style17"/>
    <w:qFormat/>
    <w:pPr>
      <w:suppressLineNumbers/>
      <w:jc w:val="center"/>
    </w:pPr>
    <w:rPr>
      <w:b/>
      <w:bCs/>
    </w:rPr>
  </w:style>
  <w:style w:type="numbering" w:styleId="Style19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49F2E-4C97-4A6A-BBE7-3EAC61C0E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Application>LibreOffice/26.2.2.2$Linux_X86_64 LibreOffice_project/620$Build-2</Application>
  <AppVersion>15.0000</AppVersion>
  <Pages>4</Pages>
  <Words>416</Words>
  <Characters>2941</Characters>
  <CharactersWithSpaces>3339</CharactersWithSpaces>
  <Paragraphs>32</Paragraphs>
  <Company>РИАМЗ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2024-04-02T09:21:00Z</dcterms:created>
  <dc:creator>Ирина</dc:creator>
  <dc:description/>
  <dc:language>ru-RU</dc:language>
  <cp:lastModifiedBy/>
  <cp:lastPrinted>2026-04-20T06:18:00Z</cp:lastPrinted>
  <dcterms:modified xsi:type="dcterms:W3CDTF">2026-06-01T12:05:03Z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