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6DC3" w14:textId="77777777" w:rsidR="00AA62A0" w:rsidRDefault="00AA62A0" w:rsidP="00AA62A0">
      <w:pPr>
        <w:spacing w:after="0" w:line="240" w:lineRule="auto"/>
        <w:jc w:val="both"/>
        <w:rPr>
          <w:rFonts w:ascii="Times New Roman" w:hAnsi="Times New Roman" w:cs="Times New Roman"/>
          <w:bCs/>
          <w:kern w:val="3"/>
          <w:sz w:val="24"/>
          <w:szCs w:val="24"/>
        </w:rPr>
      </w:pPr>
    </w:p>
    <w:p w14:paraId="08ED65FB" w14:textId="49005C4A" w:rsidR="00AA62A0" w:rsidRDefault="00AA62A0" w:rsidP="00AA62A0">
      <w:pPr>
        <w:spacing w:after="0" w:line="240" w:lineRule="auto"/>
        <w:jc w:val="center"/>
        <w:rPr>
          <w:rFonts w:ascii="Times New Roman" w:hAnsi="Times New Roman" w:cs="Times New Roman"/>
          <w:bCs/>
          <w:kern w:val="3"/>
          <w:sz w:val="24"/>
          <w:szCs w:val="24"/>
        </w:rPr>
      </w:pPr>
      <w:r w:rsidRPr="00261B5F">
        <w:rPr>
          <w:rFonts w:ascii="Times New Roman" w:hAnsi="Times New Roman" w:cs="Times New Roman"/>
          <w:bCs/>
          <w:kern w:val="3"/>
          <w:sz w:val="24"/>
          <w:szCs w:val="24"/>
        </w:rPr>
        <w:t>Описание объекта закупки</w:t>
      </w:r>
    </w:p>
    <w:p w14:paraId="5F00182D" w14:textId="77777777" w:rsidR="00261B5F" w:rsidRPr="00261B5F" w:rsidRDefault="00261B5F" w:rsidP="00AA62A0">
      <w:pPr>
        <w:spacing w:after="0" w:line="240" w:lineRule="auto"/>
        <w:jc w:val="center"/>
        <w:rPr>
          <w:rFonts w:ascii="Times New Roman" w:hAnsi="Times New Roman" w:cs="Times New Roman"/>
          <w:bCs/>
          <w:kern w:val="3"/>
          <w:sz w:val="24"/>
          <w:szCs w:val="24"/>
        </w:rPr>
      </w:pPr>
    </w:p>
    <w:p w14:paraId="310E3560" w14:textId="77777777" w:rsidR="00D05FCA" w:rsidRDefault="00D05FCA" w:rsidP="00D05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Общие параметры</w:t>
      </w:r>
    </w:p>
    <w:p w14:paraId="3E54EBD8" w14:textId="7BB9146B" w:rsidR="00FB2CCA" w:rsidRPr="00D05FCA" w:rsidRDefault="0083339B" w:rsidP="00D05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Производитель                                                                                               </w:t>
      </w:r>
      <w:r w:rsidRPr="0083339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>HP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    </w:t>
      </w:r>
    </w:p>
    <w:p w14:paraId="665D5E2E" w14:textId="1507DEE0" w:rsidR="00D05FCA" w:rsidRPr="00D05FCA" w:rsidRDefault="00D05FCA" w:rsidP="00E36603">
      <w:pPr>
        <w:shd w:val="clear" w:color="auto" w:fill="F3F6FB"/>
        <w:spacing w:after="0" w:line="240" w:lineRule="auto"/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Категория</w:t>
      </w:r>
      <w:r w:rsidR="00E36603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                                                                                                          </w:t>
      </w: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Серверные жесткие диски</w:t>
      </w:r>
    </w:p>
    <w:p w14:paraId="547DCA1C" w14:textId="6F7FFFE0" w:rsidR="00D05FCA" w:rsidRPr="00D05FCA" w:rsidRDefault="00D05FCA" w:rsidP="00FB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Бренд</w:t>
      </w:r>
      <w:r w:rsidR="00FB2C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                                                                                                                   </w:t>
      </w: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HPE</w:t>
      </w:r>
    </w:p>
    <w:p w14:paraId="78BF8130" w14:textId="77777777" w:rsidR="00D05FCA" w:rsidRPr="00D05FCA" w:rsidRDefault="00D05FCA" w:rsidP="00D05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Технические параметры</w:t>
      </w:r>
    </w:p>
    <w:p w14:paraId="62010863" w14:textId="1A1CC84B" w:rsidR="00D05FCA" w:rsidRPr="00D05FCA" w:rsidRDefault="00D05FCA" w:rsidP="00FB2CCA">
      <w:pPr>
        <w:shd w:val="clear" w:color="auto" w:fill="F3F6FB"/>
        <w:spacing w:after="0" w:line="240" w:lineRule="auto"/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Тип диска</w:t>
      </w:r>
      <w:r w:rsidR="00FB2C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                                                                                                            </w:t>
      </w: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HDD</w:t>
      </w:r>
    </w:p>
    <w:p w14:paraId="41248664" w14:textId="5E1D64CF" w:rsidR="00D05FCA" w:rsidRPr="00D05FCA" w:rsidRDefault="00D05FCA" w:rsidP="00FB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Форм-фактор</w:t>
      </w:r>
      <w:r w:rsidR="00FB2C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                                                                                                      </w:t>
      </w: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2,5 SFF</w:t>
      </w:r>
    </w:p>
    <w:p w14:paraId="2D780CD2" w14:textId="07698CC4" w:rsidR="00D05FCA" w:rsidRPr="00D05FCA" w:rsidRDefault="00D05FCA" w:rsidP="00FB2CCA">
      <w:pPr>
        <w:shd w:val="clear" w:color="auto" w:fill="F3F6FB"/>
        <w:spacing w:after="0" w:line="240" w:lineRule="auto"/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Объем жесткого диска</w:t>
      </w:r>
      <w:r w:rsidR="00FB2C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                                                                                      </w:t>
      </w: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900 ГБ</w:t>
      </w:r>
    </w:p>
    <w:p w14:paraId="525BC8DD" w14:textId="3E9A61DD" w:rsidR="00D05FCA" w:rsidRPr="00D05FCA" w:rsidRDefault="00D05FCA" w:rsidP="00FB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Поддержка горячей замены (Hot </w:t>
      </w:r>
      <w:proofErr w:type="gramStart"/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Swap)</w:t>
      </w:r>
      <w:r w:rsidR="00FB2C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   </w:t>
      </w:r>
      <w:proofErr w:type="gramEnd"/>
      <w:r w:rsidR="00FB2C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                                                      </w:t>
      </w: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Hot Swap</w:t>
      </w:r>
    </w:p>
    <w:p w14:paraId="41473831" w14:textId="524D3F42" w:rsidR="00FB2CCA" w:rsidRDefault="00D05FCA" w:rsidP="00FB2CCA">
      <w:pPr>
        <w:shd w:val="clear" w:color="auto" w:fill="F3F6FB"/>
        <w:spacing w:after="0" w:line="240" w:lineRule="auto"/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Интерфейс</w:t>
      </w:r>
      <w:r w:rsidR="00FB2C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                                                                                                            </w:t>
      </w: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SAS</w:t>
      </w:r>
    </w:p>
    <w:p w14:paraId="451A50FB" w14:textId="4FEBCAEC" w:rsidR="00D05FCA" w:rsidRDefault="00D05FCA" w:rsidP="00FB2CCA">
      <w:pPr>
        <w:shd w:val="clear" w:color="auto" w:fill="F3F6FB"/>
        <w:spacing w:after="0" w:line="240" w:lineRule="auto"/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</w:pP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Скорость вращения шпинделя</w:t>
      </w:r>
      <w:r w:rsidR="00FB2C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 xml:space="preserve">                                                                        </w:t>
      </w: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1</w:t>
      </w:r>
      <w:r w:rsidR="00E36603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5</w:t>
      </w:r>
      <w:r w:rsidRPr="00D05FCA"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000 об/мин</w:t>
      </w:r>
    </w:p>
    <w:p w14:paraId="6E59762B" w14:textId="77777777" w:rsidR="0083339B" w:rsidRDefault="00FB2CCA" w:rsidP="00FB2CCA">
      <w:pPr>
        <w:rPr>
          <w:rFonts w:ascii="Times New Roman" w:hAnsi="Times New Roman" w:cs="Times New Roman"/>
          <w:sz w:val="24"/>
          <w:szCs w:val="24"/>
        </w:rPr>
      </w:pPr>
      <w:r w:rsidRPr="00FB2CCA">
        <w:rPr>
          <w:rFonts w:ascii="Times New Roman" w:hAnsi="Times New Roman" w:cs="Times New Roman"/>
          <w:sz w:val="24"/>
          <w:szCs w:val="24"/>
        </w:rPr>
        <w:t xml:space="preserve">Количество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2CCA">
        <w:rPr>
          <w:rFonts w:ascii="Times New Roman" w:hAnsi="Times New Roman" w:cs="Times New Roman"/>
          <w:sz w:val="24"/>
          <w:szCs w:val="24"/>
        </w:rPr>
        <w:t xml:space="preserve">               14 шт    </w:t>
      </w:r>
    </w:p>
    <w:p w14:paraId="67F71C14" w14:textId="549B66A0" w:rsidR="00AA62A0" w:rsidRPr="00261B5F" w:rsidRDefault="00FB2CCA" w:rsidP="00FB2CCA">
      <w:pPr>
        <w:rPr>
          <w:rFonts w:ascii="Times New Roman" w:hAnsi="Times New Roman" w:cs="Times New Roman"/>
          <w:bCs/>
          <w:kern w:val="3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20C51939" wp14:editId="4BE94F9A">
            <wp:extent cx="4675210" cy="4454225"/>
            <wp:effectExtent l="0" t="3810" r="7620" b="7620"/>
            <wp:docPr id="501122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22069" name="Рисунок 5011220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95966" cy="447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0A297" w14:textId="77777777" w:rsidR="00AA62A0" w:rsidRDefault="00AA62A0" w:rsidP="00AA62A0">
      <w:pPr>
        <w:spacing w:after="0" w:line="240" w:lineRule="auto"/>
        <w:jc w:val="both"/>
        <w:rPr>
          <w:rFonts w:ascii="Times New Roman" w:hAnsi="Times New Roman" w:cs="Times New Roman"/>
          <w:bCs/>
          <w:kern w:val="3"/>
          <w:sz w:val="24"/>
          <w:szCs w:val="24"/>
        </w:rPr>
      </w:pPr>
    </w:p>
    <w:p w14:paraId="3150B0F2" w14:textId="4DBA1150" w:rsidR="00AA62A0" w:rsidRPr="00AA62A0" w:rsidRDefault="00AA62A0" w:rsidP="00AA62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"/>
          <w:sz w:val="24"/>
          <w:szCs w:val="24"/>
        </w:rPr>
      </w:pPr>
      <w:r w:rsidRPr="00AA62A0">
        <w:rPr>
          <w:rFonts w:ascii="Times New Roman" w:hAnsi="Times New Roman" w:cs="Times New Roman"/>
          <w:sz w:val="24"/>
          <w:szCs w:val="24"/>
        </w:rPr>
        <w:t>Поставляемый диски должны быть новыми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19B22E1" w14:textId="06513B78" w:rsidR="00AA62A0" w:rsidRPr="00AA62A0" w:rsidRDefault="00AA62A0" w:rsidP="00AA62A0">
      <w:pPr>
        <w:spacing w:after="0" w:line="240" w:lineRule="auto"/>
        <w:jc w:val="both"/>
        <w:rPr>
          <w:rFonts w:ascii="Times New Roman" w:hAnsi="Times New Roman" w:cs="Times New Roman"/>
          <w:bCs/>
          <w:kern w:val="3"/>
          <w:sz w:val="24"/>
          <w:szCs w:val="24"/>
        </w:rPr>
      </w:pPr>
      <w:r w:rsidRPr="009B0E7C">
        <w:rPr>
          <w:rFonts w:ascii="Times New Roman" w:hAnsi="Times New Roman" w:cs="Times New Roman"/>
          <w:bCs/>
          <w:kern w:val="3"/>
          <w:sz w:val="24"/>
          <w:szCs w:val="24"/>
        </w:rPr>
        <w:t xml:space="preserve">Поставка </w:t>
      </w:r>
      <w:r>
        <w:rPr>
          <w:rFonts w:ascii="Times New Roman" w:hAnsi="Times New Roman" w:cs="Times New Roman"/>
          <w:bCs/>
          <w:kern w:val="3"/>
          <w:sz w:val="24"/>
          <w:szCs w:val="24"/>
          <w:lang w:val="en-US"/>
        </w:rPr>
        <w:t>HDD</w:t>
      </w:r>
      <w:r w:rsidRPr="009B0E7C">
        <w:rPr>
          <w:rFonts w:ascii="Times New Roman" w:hAnsi="Times New Roman" w:cs="Times New Roman"/>
          <w:bCs/>
          <w:kern w:val="3"/>
          <w:sz w:val="24"/>
          <w:szCs w:val="24"/>
        </w:rPr>
        <w:t xml:space="preserve"> отличного от </w:t>
      </w:r>
      <w:r>
        <w:rPr>
          <w:rFonts w:ascii="Times New Roman" w:hAnsi="Times New Roman" w:cs="Times New Roman"/>
          <w:bCs/>
          <w:kern w:val="3"/>
          <w:sz w:val="24"/>
          <w:szCs w:val="24"/>
          <w:lang w:val="en-US"/>
        </w:rPr>
        <w:t>HPE</w:t>
      </w:r>
      <w:r w:rsidRPr="009B0E7C">
        <w:rPr>
          <w:rFonts w:ascii="Times New Roman" w:hAnsi="Times New Roman" w:cs="Times New Roman"/>
          <w:bCs/>
          <w:kern w:val="3"/>
          <w:sz w:val="24"/>
          <w:szCs w:val="24"/>
        </w:rPr>
        <w:t xml:space="preserve">, не допускается ввиду необходимости обеспечения </w:t>
      </w:r>
      <w:r>
        <w:rPr>
          <w:rFonts w:ascii="Times New Roman" w:hAnsi="Times New Roman" w:cs="Times New Roman"/>
          <w:bCs/>
          <w:kern w:val="3"/>
          <w:sz w:val="24"/>
          <w:szCs w:val="24"/>
        </w:rPr>
        <w:t>стабильности, работы без сбоев</w:t>
      </w:r>
      <w:r w:rsidRPr="009B0E7C">
        <w:rPr>
          <w:rFonts w:ascii="Times New Roman" w:hAnsi="Times New Roman" w:cs="Times New Roman"/>
          <w:bCs/>
          <w:kern w:val="3"/>
          <w:sz w:val="24"/>
          <w:szCs w:val="24"/>
        </w:rPr>
        <w:t>, взаимодействия и интеграции с существующими у Заказчика</w:t>
      </w:r>
      <w:r w:rsidR="00976354">
        <w:rPr>
          <w:rFonts w:ascii="Times New Roman" w:hAnsi="Times New Roman" w:cs="Times New Roman"/>
          <w:bCs/>
          <w:kern w:val="3"/>
          <w:sz w:val="24"/>
          <w:szCs w:val="24"/>
        </w:rPr>
        <w:t xml:space="preserve"> аппаратными и</w:t>
      </w:r>
      <w:r w:rsidRPr="009B0E7C">
        <w:rPr>
          <w:rFonts w:ascii="Times New Roman" w:hAnsi="Times New Roman" w:cs="Times New Roman"/>
          <w:bCs/>
          <w:kern w:val="3"/>
          <w:sz w:val="24"/>
          <w:szCs w:val="24"/>
        </w:rPr>
        <w:t xml:space="preserve"> программными решениями.</w:t>
      </w:r>
      <w:r>
        <w:rPr>
          <w:rFonts w:ascii="Times New Roman" w:hAnsi="Times New Roman" w:cs="Times New Roman"/>
          <w:bCs/>
          <w:kern w:val="3"/>
          <w:sz w:val="24"/>
          <w:szCs w:val="24"/>
        </w:rPr>
        <w:t xml:space="preserve"> </w:t>
      </w:r>
      <w:r w:rsidRPr="00AA62A0">
        <w:rPr>
          <w:rFonts w:ascii="Times New Roman" w:hAnsi="Times New Roman" w:cs="Times New Roman"/>
          <w:bCs/>
          <w:kern w:val="3"/>
          <w:sz w:val="24"/>
          <w:szCs w:val="24"/>
        </w:rPr>
        <w:t xml:space="preserve">Внедрение </w:t>
      </w:r>
      <w:r w:rsidRPr="00AA62A0">
        <w:rPr>
          <w:rFonts w:ascii="Times New Roman" w:hAnsi="Times New Roman" w:cs="Times New Roman"/>
          <w:bCs/>
          <w:kern w:val="3"/>
          <w:sz w:val="24"/>
          <w:szCs w:val="24"/>
          <w:lang w:val="en-US"/>
        </w:rPr>
        <w:t>HDD</w:t>
      </w:r>
      <w:r w:rsidRPr="00AA62A0">
        <w:rPr>
          <w:rFonts w:ascii="Times New Roman" w:hAnsi="Times New Roman" w:cs="Times New Roman"/>
          <w:bCs/>
          <w:kern w:val="3"/>
          <w:sz w:val="24"/>
          <w:szCs w:val="24"/>
        </w:rPr>
        <w:t xml:space="preserve"> других производителей </w:t>
      </w:r>
      <w:r w:rsidRPr="00AA62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установка диска другой марки приведёт к конфликту</w:t>
      </w:r>
      <w:r w:rsidR="00976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устройства</w:t>
      </w:r>
      <w:r w:rsidRPr="00AA62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возникает риски, что</w:t>
      </w:r>
      <w:r w:rsidRPr="00AA62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система не запустится, возникн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овение</w:t>
      </w:r>
      <w:r w:rsidRPr="00AA62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сбо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ев</w:t>
      </w:r>
      <w:r w:rsidRPr="00AA62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 потер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AA62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данных</w:t>
      </w:r>
      <w:r w:rsidR="00261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Техническим паспортом сервера </w:t>
      </w:r>
      <w:r w:rsidR="00261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HP</w:t>
      </w:r>
      <w:r w:rsidR="00261B5F" w:rsidRPr="00261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61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</w:t>
      </w:r>
      <w:r w:rsidR="00261B5F" w:rsidRPr="00261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roliant dl380 gen10</w:t>
      </w:r>
      <w:r w:rsidR="00261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допускается использование жестких дисков иных производителей (совместимых). </w:t>
      </w:r>
      <w:r w:rsidR="00E366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Устанавливается гарантийный срок не м</w:t>
      </w:r>
      <w:r w:rsidR="00FA5A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E366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нее 1 года</w:t>
      </w:r>
      <w:r w:rsidR="00FA5A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даты поставки.</w:t>
      </w:r>
    </w:p>
    <w:p w14:paraId="41169086" w14:textId="77777777" w:rsidR="00B403B4" w:rsidRDefault="00B403B4"/>
    <w:p w14:paraId="1F2ACC1C" w14:textId="66FD4407" w:rsidR="00E36603" w:rsidRDefault="00E36603"/>
    <w:sectPr w:rsidR="00E36603" w:rsidSect="00FB2CC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A0"/>
    <w:rsid w:val="00261B5F"/>
    <w:rsid w:val="002D0F8C"/>
    <w:rsid w:val="003C43A1"/>
    <w:rsid w:val="004C1BB2"/>
    <w:rsid w:val="00523D80"/>
    <w:rsid w:val="00661577"/>
    <w:rsid w:val="0083339B"/>
    <w:rsid w:val="00950F7E"/>
    <w:rsid w:val="00976354"/>
    <w:rsid w:val="009B25E8"/>
    <w:rsid w:val="009D20F2"/>
    <w:rsid w:val="00AA62A0"/>
    <w:rsid w:val="00B403B4"/>
    <w:rsid w:val="00CC0D19"/>
    <w:rsid w:val="00D05FCA"/>
    <w:rsid w:val="00E36603"/>
    <w:rsid w:val="00FA5A02"/>
    <w:rsid w:val="00F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5C33"/>
  <w15:chartTrackingRefBased/>
  <w15:docId w15:val="{3D0AC53A-37F2-4473-AB08-A02B58F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A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62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2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2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2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2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2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2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2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2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2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2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2A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6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2A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6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2A0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A62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62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6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Владимирович</dc:creator>
  <cp:keywords/>
  <dc:description/>
  <cp:lastModifiedBy>Иванов Сергей Владимирович</cp:lastModifiedBy>
  <cp:revision>11</cp:revision>
  <dcterms:created xsi:type="dcterms:W3CDTF">2026-06-22T09:02:00Z</dcterms:created>
  <dcterms:modified xsi:type="dcterms:W3CDTF">2026-06-22T12:46:00Z</dcterms:modified>
</cp:coreProperties>
</file>