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media/image2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ОБОСНОВАНИЕ НАЧАЛЬНОЙ (МАКСИМАЛЬНОЙ) ЦЕНЫ ГОСУДАРСТВЕННОГО КОНТРАКТА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(в соответствии с Приказом Минстроя России от 23.12.2019 N 841/пр 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Протокол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начальной (максимальной) цены контракта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Объект закупки: </w:t>
      </w:r>
      <w:r>
        <w:rPr>
          <w:rFonts w:cs="Times New Roman" w:ascii="Times New Roman" w:hAnsi="Times New Roman"/>
          <w:sz w:val="24"/>
          <w:szCs w:val="24"/>
        </w:rPr>
        <w:t>Выполнение работ по капитальному ремонту помещений здания, расположенного по адресу: Пензенская область, г. Кузнецк, ул. Белинского, д.82 (замена дверных блоков)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Начальная (максимальная) цена контракта составляет: </w:t>
      </w:r>
      <w:r>
        <w:rPr>
          <w:rFonts w:cs="Times New Roman" w:ascii="Times New Roman" w:hAnsi="Times New Roman"/>
          <w:bCs/>
          <w:sz w:val="26"/>
          <w:szCs w:val="26"/>
        </w:rPr>
        <w:t>191 </w:t>
      </w:r>
      <w:r>
        <w:rPr>
          <w:rFonts w:cs="Times New Roman" w:ascii="Times New Roman" w:hAnsi="Times New Roman"/>
          <w:bCs/>
          <w:sz w:val="26"/>
          <w:szCs w:val="26"/>
          <w:shd w:fill="auto" w:val="clear"/>
        </w:rPr>
        <w:t>554</w:t>
      </w:r>
      <w:r>
        <w:rPr>
          <w:rFonts w:cs="Times New Roman" w:ascii="Times New Roman" w:hAnsi="Times New Roman"/>
          <w:bCs/>
          <w:sz w:val="26"/>
          <w:szCs w:val="26"/>
        </w:rPr>
        <w:t>,00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руб.</w:t>
      </w:r>
      <w:r>
        <w:rPr>
          <w:rFonts w:cs="Times New Roman" w:ascii="Times New Roman" w:hAnsi="Times New Roman"/>
          <w:sz w:val="24"/>
          <w:szCs w:val="24"/>
        </w:rPr>
        <w:t xml:space="preserve"> (Сто девяносто одна тысяча пятьсот пятьдесят четыре рубля 00 коп.).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Начальная (максимальная) цена контракта включает в себя расходы на: </w:t>
      </w:r>
      <w:r>
        <w:rPr>
          <w:rFonts w:cs="Times New Roman" w:ascii="Times New Roman" w:hAnsi="Times New Roman"/>
          <w:sz w:val="24"/>
          <w:szCs w:val="24"/>
        </w:rPr>
        <w:t>строительные работы, НДС.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Расчет начальной (максимальной) цены контракта.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70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Заказчик: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Заместитель руководителя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Управления Росреестра по Пензенской области ________________ С.П. Демина</w:t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Приложение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Протоколу начальной (максимальной) цены контракта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Расчет начальной (максимальной) цены контракта.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по объекту: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Выполнение работ по капитальному ремонту помещений здания, расположенного по адресу: Пензенская область, г. Кузнецк, ул. Белинского, д.82 (замена дверных блоков)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Используемый метод определения начальной (максимальной) цены Государственного контракта (далее – НМЦК): в соответствии со ст.22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Государственным заказчиком при определении НМЦК  использовался проектно-сметный метод.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Начальная (максимальная) цена Государственного контракта в соответствии с Приказом Минстроя России от 23.12.2019 N 841/пр 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 составляет </w:t>
      </w:r>
      <w:r>
        <w:rPr>
          <w:rFonts w:cs="Times New Roman" w:ascii="Times New Roman" w:hAnsi="Times New Roman"/>
          <w:bCs/>
          <w:sz w:val="26"/>
          <w:szCs w:val="26"/>
          <w:shd w:fill="auto" w:val="clear"/>
        </w:rPr>
        <w:t>192 402,16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руб.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этом согласно ч.2 ст.72 БК РФ государственные контракты заключаются и оплачиваются в пределах лимитов бюджетных обязательств. Ч.3 ст.219 БК РФ устанавливается, что получатель бюджетных средств принимает бюджетные обязательства в пределах доведенных до него лимитов бюджетных обязательств.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Таким образом, Заказчик принимает НМЦК настоящей закупки соответствующей выделенным лимитам бюджетных обязательств: </w:t>
      </w:r>
      <w:r>
        <w:rPr>
          <w:rFonts w:cs="Times New Roman" w:ascii="Times New Roman" w:hAnsi="Times New Roman"/>
          <w:bCs/>
          <w:sz w:val="26"/>
          <w:szCs w:val="26"/>
        </w:rPr>
        <w:t>191</w:t>
      </w:r>
      <w:r>
        <w:rPr>
          <w:rFonts w:cs="Times New Roman" w:ascii="Times New Roman" w:hAnsi="Times New Roman"/>
          <w:bCs/>
          <w:sz w:val="26"/>
          <w:szCs w:val="26"/>
          <w:shd w:fill="auto" w:val="clear"/>
        </w:rPr>
        <w:t> 554,</w:t>
      </w:r>
      <w:r>
        <w:rPr>
          <w:rFonts w:cs="Times New Roman" w:ascii="Times New Roman" w:hAnsi="Times New Roman"/>
          <w:bCs/>
          <w:sz w:val="26"/>
          <w:szCs w:val="26"/>
        </w:rPr>
        <w:t>00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руб.</w:t>
      </w:r>
      <w:r>
        <w:rPr>
          <w:rFonts w:cs="Times New Roman" w:ascii="Times New Roman" w:hAnsi="Times New Roman"/>
          <w:sz w:val="24"/>
          <w:szCs w:val="24"/>
        </w:rPr>
        <w:t xml:space="preserve"> (Сто девяносто одна тысяча пятьсот пятьдесят четыре рубля 00 коп.).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 единицу измерения работ по капитальному ремонту принять усл.ед.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Основания для расчета: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Локальный сметный расчет № ЛС-02-01-01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Приказ Минстроя России от 23.12.2019 N 841/пр 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руб.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04" w:type="dxa"/>
        <w:jc w:val="left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41"/>
        <w:gridCol w:w="1579"/>
        <w:gridCol w:w="1546"/>
        <w:gridCol w:w="1742"/>
        <w:gridCol w:w="1384"/>
        <w:gridCol w:w="1711"/>
      </w:tblGrid>
      <w:tr>
        <w:trPr>
          <w:trHeight w:val="2551" w:hRule="atLeast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Наименование работ и затрат</w:t>
            </w:r>
          </w:p>
        </w:tc>
        <w:tc>
          <w:tcPr>
            <w:tcW w:w="1579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Стоимость работ в ценах на дату утверждения сметной документации на    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  2 кв. 2026, руб.</w:t>
            </w:r>
          </w:p>
        </w:tc>
        <w:tc>
          <w:tcPr>
            <w:tcW w:w="1546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 xml:space="preserve">Индекс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hd w:fill="auto" w:val="clear"/>
              </w:rPr>
              <w:t>фактической</w:t>
            </w: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 xml:space="preserve"> инфляции</w:t>
            </w:r>
          </w:p>
        </w:tc>
        <w:tc>
          <w:tcPr>
            <w:tcW w:w="1742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Стоимость работ в ценах на дату формирования начальной (максимальной) цены контракта на </w:t>
            </w:r>
            <w:r>
              <w:rPr>
                <w:rFonts w:cs="Times New Roman" w:ascii="Times New Roman" w:hAnsi="Times New Roman"/>
                <w:b/>
                <w:color w:val="000000"/>
              </w:rPr>
              <w:t>июль 2026</w:t>
            </w:r>
            <w:r>
              <w:rPr>
                <w:rFonts w:cs="Times New Roman" w:ascii="Times New Roman" w:hAnsi="Times New Roman"/>
                <w:color w:val="000000"/>
              </w:rPr>
              <w:t>,  руб.</w:t>
            </w:r>
          </w:p>
        </w:tc>
        <w:tc>
          <w:tcPr>
            <w:tcW w:w="1384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Индекс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прогнозной</w:t>
            </w:r>
            <w:r>
              <w:rPr>
                <w:rFonts w:cs="Times New Roman" w:ascii="Times New Roman" w:hAnsi="Times New Roman"/>
                <w:color w:val="000000"/>
              </w:rPr>
              <w:t xml:space="preserve"> инфляции на период выполнения работ</w:t>
            </w:r>
          </w:p>
        </w:tc>
        <w:tc>
          <w:tcPr>
            <w:tcW w:w="1711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Начальная (максимальная) цена контракта с учетом индекса прогнозной инфляции на период выполнения работ, руб.</w:t>
            </w:r>
          </w:p>
        </w:tc>
      </w:tr>
      <w:tr>
        <w:trPr>
          <w:trHeight w:val="30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703" w:hRule="atLeast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Строительные работы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157000,19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54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> 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157000,19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1,0045</w:t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157706,69</w:t>
            </w:r>
          </w:p>
        </w:tc>
      </w:tr>
      <w:tr>
        <w:trPr>
          <w:trHeight w:val="571" w:hRule="atLeast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Стоимость без учета НДС 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157000,19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54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157000,19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157706,69</w:t>
            </w:r>
          </w:p>
        </w:tc>
      </w:tr>
      <w:tr>
        <w:trPr>
          <w:trHeight w:val="427" w:hRule="atLeast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НДС ( 22%) 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34540,04</w:t>
            </w:r>
          </w:p>
        </w:tc>
        <w:tc>
          <w:tcPr>
            <w:tcW w:w="15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34540,04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34695,47</w:t>
            </w:r>
          </w:p>
        </w:tc>
      </w:tr>
      <w:tr>
        <w:trPr>
          <w:trHeight w:val="775" w:hRule="atLeast"/>
        </w:trPr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Стоимость с учетом НДС 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191540,23</w:t>
            </w:r>
          </w:p>
        </w:tc>
        <w:tc>
          <w:tcPr>
            <w:tcW w:w="15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191540,23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192402,16</w:t>
            </w:r>
          </w:p>
        </w:tc>
      </w:tr>
    </w:tbl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636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9"/>
        <w:gridCol w:w="2792"/>
        <w:gridCol w:w="2256"/>
        <w:gridCol w:w="791"/>
        <w:gridCol w:w="944"/>
        <w:gridCol w:w="899"/>
        <w:gridCol w:w="970"/>
        <w:gridCol w:w="87"/>
        <w:gridCol w:w="1045"/>
        <w:gridCol w:w="282"/>
        <w:gridCol w:w="238"/>
        <w:gridCol w:w="191"/>
      </w:tblGrid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843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</w:tr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Сроки выполнения работ</w:t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843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</w:tc>
      </w:tr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Продолжительность капитального ремонта</w:t>
            </w:r>
          </w:p>
        </w:tc>
        <w:tc>
          <w:tcPr>
            <w:tcW w:w="4656" w:type="dxa"/>
            <w:gridSpan w:val="8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2 месяца</w:t>
            </w:r>
          </w:p>
        </w:tc>
      </w:tr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Начало проведения работ </w:t>
            </w:r>
          </w:p>
        </w:tc>
        <w:tc>
          <w:tcPr>
            <w:tcW w:w="4656" w:type="dxa"/>
            <w:gridSpan w:val="8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август 2026 г.</w:t>
            </w:r>
          </w:p>
        </w:tc>
      </w:tr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Окончание проведения работ </w:t>
            </w:r>
          </w:p>
        </w:tc>
        <w:tc>
          <w:tcPr>
            <w:tcW w:w="4656" w:type="dxa"/>
            <w:gridSpan w:val="8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сентябрь 2026 г.</w:t>
            </w:r>
          </w:p>
        </w:tc>
      </w:tr>
      <w:tr>
        <w:trPr>
          <w:trHeight w:val="338" w:hRule="atLeast"/>
        </w:trPr>
        <w:tc>
          <w:tcPr>
            <w:tcW w:w="597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Уровень цен утвержденной сметы  </w:t>
            </w:r>
          </w:p>
        </w:tc>
        <w:tc>
          <w:tcPr>
            <w:tcW w:w="4656" w:type="dxa"/>
            <w:gridSpan w:val="8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2 квартал 2026 г. </w:t>
            </w:r>
          </w:p>
        </w:tc>
      </w:tr>
      <w:tr>
        <w:trPr>
          <w:trHeight w:val="338" w:hRule="atLeast"/>
        </w:trPr>
        <w:tc>
          <w:tcPr>
            <w:tcW w:w="10634" w:type="dxa"/>
            <w:gridSpan w:val="12"/>
            <w:tcBorders/>
          </w:tcPr>
          <w:p>
            <w:pPr>
              <w:pStyle w:val="ListParagraph"/>
              <w:widowControl w:val="false"/>
              <w:ind w:left="0" w:hanging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8" w:hRule="atLeast"/>
        </w:trPr>
        <w:tc>
          <w:tcPr>
            <w:tcW w:w="9923" w:type="dxa"/>
            <w:gridSpan w:val="9"/>
            <w:tcBorders/>
          </w:tcPr>
          <w:tbl>
            <w:tblPr>
              <w:tblW w:w="981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815"/>
            </w:tblGrid>
            <w:tr>
              <w:trPr>
                <w:trHeight w:val="335" w:hRule="atLeast"/>
              </w:trPr>
              <w:tc>
                <w:tcPr>
                  <w:tcW w:w="9815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20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  <w:t xml:space="preserve">1. Расчет индекса фактической инфляции с использованием ИПЦ Росстата </w:t>
                  </w:r>
                </w:p>
              </w:tc>
            </w:tr>
            <w:tr>
              <w:trPr>
                <w:trHeight w:val="1170" w:hRule="atLeast"/>
              </w:trPr>
              <w:tc>
                <w:tcPr>
                  <w:tcW w:w="981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200"/>
                    <w:jc w:val="both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shd w:fill="auto" w:val="clear"/>
                    </w:rPr>
                    <w:t>Отсутствует, т.к. для определения НМЦК используется сметная документация, разработанная на основании применяемой на дату определения НМЦК сметно-нормативной базы, в уровне цен II кв. 2026 г., действующих на дату определения НМЦК.</w:t>
                  </w:r>
                </w:p>
              </w:tc>
            </w:tr>
          </w:tbl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175" w:hang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Расчет индекса прогнозной инфляции на период выполнения работ (по прогнозу, размещенному на сайте Минэкономразвития России, от отрасли «Инвестиции в основной капитал»)</w:t>
            </w:r>
          </w:p>
        </w:tc>
        <w:tc>
          <w:tcPr>
            <w:tcW w:w="28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3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0066" w:type="dxa"/>
            <w:gridSpan w:val="9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Годовой индекс прогнозной инфляции ( отрасль "Инвестиции в основной капитал"): </w:t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39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7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2026 год</w:t>
            </w:r>
          </w:p>
        </w:tc>
        <w:tc>
          <w:tcPr>
            <w:tcW w:w="225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105,50%</w:t>
            </w:r>
          </w:p>
        </w:tc>
        <w:tc>
          <w:tcPr>
            <w:tcW w:w="173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6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2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10066" w:type="dxa"/>
            <w:gridSpan w:val="9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соответствии с Порядком Индекс прогнозной инфляции на один месяц определяется по формуле: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/>
              <w:drawing>
                <wp:inline distT="0" distB="0" distL="0" distR="0">
                  <wp:extent cx="1685925" cy="295275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где: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</w:t>
            </w:r>
            <w:r>
              <w:rPr>
                <w:rFonts w:cs="Times New Roman" w:ascii="Times New Roman" w:hAnsi="Times New Roman"/>
                <w:vertAlign w:val="subscript"/>
              </w:rPr>
              <w:t>инфл.мес.</w:t>
            </w:r>
            <w:r>
              <w:rPr>
                <w:rFonts w:cs="Times New Roman" w:ascii="Times New Roman" w:hAnsi="Times New Roman"/>
              </w:rPr>
              <w:t xml:space="preserve"> - индекс прогнозной инфляции на один месяц, полученное значение округляется до 4 знаков после запятой;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</w:t>
            </w:r>
            <w:r>
              <w:rPr>
                <w:rFonts w:cs="Times New Roman" w:ascii="Times New Roman" w:hAnsi="Times New Roman"/>
                <w:vertAlign w:val="subscript"/>
              </w:rPr>
              <w:t>инфл.год.</w:t>
            </w:r>
            <w:r>
              <w:rPr>
                <w:rFonts w:cs="Times New Roman" w:ascii="Times New Roman" w:hAnsi="Times New Roman"/>
              </w:rPr>
              <w:t xml:space="preserve"> - индекс-дефлятор Министерства экономического развития Российской Федерации по строке "Инвестиции в основной капитал (капитальные вложения)", установленный в целом на год.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rPr>
                <w:rFonts w:eastAsia="Times New Roman"/>
              </w:rPr>
            </w:pPr>
            <w:r>
              <w:rPr/>
              <w:t>К</w:t>
            </w:r>
            <w:r>
              <w:rPr>
                <w:vertAlign w:val="subscript"/>
              </w:rPr>
              <w:t xml:space="preserve">инфл.мес = </w:t>
            </w:r>
            <w:r>
              <w:rPr/>
            </w:r>
            <m:oMath xmlns:m="http://schemas.openxmlformats.org/officeDocument/2006/math">
              <m:rad>
                <m:deg>
                  <m:r>
                    <w:rPr>
                      <w:rFonts w:ascii="Cambria Math" w:hAnsi="Cambria Math"/>
                    </w:rPr>
                    <m:t xml:space="preserve">12</m:t>
                  </m:r>
                </m:deg>
                <m:e>
                  <m:r>
                    <w:rPr>
                      <w:rFonts w:ascii="Cambria Math" w:hAnsi="Cambria Math"/>
                    </w:rPr>
                    <m:t xml:space="preserve">1,0550</m:t>
                  </m:r>
                </m:e>
              </m:rad>
            </m:oMath>
            <w:r>
              <w:rPr>
                <w:iCs/>
                <w:color w:val="000000" w:themeColor="text1"/>
                <w:sz w:val="26"/>
                <w:szCs w:val="26"/>
              </w:rPr>
              <w:t>= 1,0045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1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066" w:type="dxa"/>
            <w:gridSpan w:val="9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 соответствии с Порядком индекс прогнозной инфляции для периода выполнения работ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рассчитывается по формуле: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2686050" cy="581025"/>
                  <wp:effectExtent l="0" t="0" r="0" b="0"/>
                  <wp:docPr id="2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z w:val="24"/>
                <w:szCs w:val="24"/>
                <w:vertAlign w:val="subscript"/>
              </w:rPr>
              <w:t>инфл.пер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- индекс прогнозной инфляции для периода выполнения работ, полученное значение округляется до 4 знаков после запятой;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- период от даты определения НМЦК до даты окончания работ, мес.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10205" w:type="dxa"/>
            <w:gridSpan w:val="10"/>
            <w:tcBorders/>
            <w:shd w:color="auto" w:fill="auto" w:val="clear"/>
            <w:vAlign w:val="bottom"/>
          </w:tcPr>
          <w:tbl>
            <w:tblPr>
              <w:tblW w:w="12980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12980"/>
            </w:tblGrid>
            <w:tr>
              <w:trPr>
                <w:trHeight w:val="630" w:hRule="atLeast"/>
              </w:trPr>
              <w:tc>
                <w:tcPr>
                  <w:tcW w:w="1298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>
                    <w:rPr>
                      <w:rFonts w:cs="Times New Roman" w:ascii="Times New Roman" w:hAnsi="Times New Roman"/>
                      <w:sz w:val="26"/>
                      <w:szCs w:val="26"/>
                    </w:rPr>
                    <w:t>К</w:t>
                  </w:r>
                  <w:r>
                    <w:rPr>
                      <w:rFonts w:cs="Times New Roman" w:ascii="Times New Roman" w:hAnsi="Times New Roman"/>
                      <w:sz w:val="26"/>
                      <w:szCs w:val="26"/>
                      <w:vertAlign w:val="subscript"/>
                    </w:rPr>
                    <w:t xml:space="preserve">инфл.пер = </w:t>
                  </w:r>
                  <w:r>
                    <w:rPr>
                      <w:rFonts w:cs="Times New Roman" w:ascii="Times New Roman" w:hAnsi="Times New Roman"/>
                      <w:sz w:val="36"/>
                      <w:szCs w:val="36"/>
                      <w:vertAlign w:val="subscript"/>
                    </w:rPr>
                    <w:t>(1.0045</w:t>
                  </w:r>
                  <w:r>
                    <w:rPr>
                      <w:rFonts w:cs="Times New Roman" w:ascii="Times New Roman" w:hAnsi="Times New Roman"/>
                      <w:sz w:val="36"/>
                      <w:szCs w:val="36"/>
                      <w:vertAlign w:val="superscript"/>
                    </w:rPr>
                    <w:t>2</w:t>
                  </w:r>
                  <w:r>
                    <w:rPr>
                      <w:rFonts w:cs="Times New Roman" w:ascii="Times New Roman" w:hAnsi="Times New Roman"/>
                      <w:sz w:val="36"/>
                      <w:szCs w:val="36"/>
                      <w:vertAlign w:val="subscript"/>
                    </w:rPr>
                    <w:t xml:space="preserve">-1)/2+1 = </w:t>
                  </w:r>
                  <w:r>
                    <w:rPr>
                      <w:rFonts w:cs="Times New Roman" w:ascii="Times New Roman" w:hAnsi="Times New Roman"/>
                      <w:b/>
                      <w:sz w:val="36"/>
                      <w:szCs w:val="36"/>
                      <w:vertAlign w:val="subscript"/>
                    </w:rPr>
                    <w:t>1,0045</w:t>
                  </w:r>
                </w:p>
                <w:p>
                  <w:pPr>
                    <w:pStyle w:val="Normal"/>
                    <w:widowControl w:val="false"/>
                    <w:spacing w:before="0" w:after="20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Заказчик: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Заместитель руководителя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6"/>
          <w:szCs w:val="26"/>
        </w:rPr>
        <w:t>Управления Росреестра по Пензенской области             ______________ С.П. Демина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  <w:t>Ведомость объемов конструктивных решений (элементов)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  <w:t>и комплексов (видов) работ, оборудования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lang w:eastAsia="en-US"/>
        </w:rPr>
      </w:pPr>
      <w:r>
        <w:rPr>
          <w:rFonts w:eastAsia="@StarSymbol" w:cs="Times New Roman" w:ascii="Times New Roman" w:hAnsi="Times New Roman"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Капитальный ремонт помещений здания, расположенного по адресу: Пензенская область, г. Кузнецк, ул. Белинского, д.82 (замена дверных блоков)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@StarSymbol" w:cs="Times New Roman"/>
          <w:lang w:eastAsia="en-US"/>
        </w:rPr>
      </w:pPr>
      <w:r>
        <w:rPr>
          <w:rFonts w:eastAsia="@StarSymbol" w:cs="Times New Roman" w:ascii="Times New Roman" w:hAnsi="Times New Roman"/>
          <w:lang w:eastAsia="en-US"/>
        </w:rPr>
      </w:r>
    </w:p>
    <w:tbl>
      <w:tblPr>
        <w:tblW w:w="9843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3483"/>
        <w:gridCol w:w="3261"/>
        <w:gridCol w:w="1276"/>
        <w:gridCol w:w="1276"/>
      </w:tblGrid>
      <w:tr>
        <w:trPr>
          <w:trHeight w:val="205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N п/п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Наименование конструктивных решений (элементов), комплексов (видов) работ</w:t>
            </w:r>
            <w:r>
              <w:rPr>
                <w:rFonts w:eastAsia="@StarSymbol" w:cs="Times New Roman" w:ascii="Times New Roman" w:hAnsi="Times New Roman"/>
              </w:rPr>
              <w:t xml:space="preserve">, оборудования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Количество (объем работ)</w:t>
            </w:r>
          </w:p>
        </w:tc>
      </w:tr>
      <w:tr>
        <w:trPr>
          <w:trHeight w:val="141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5</w:t>
            </w:r>
          </w:p>
        </w:tc>
      </w:tr>
      <w:tr>
        <w:trPr>
          <w:trHeight w:val="28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</w:rPr>
            </w:pPr>
            <w:r>
              <w:rPr>
                <w:rFonts w:eastAsia="@StarSymbol" w:cs="Times New Roman" w:ascii="Times New Roman" w:hAnsi="Times New Roman"/>
              </w:rPr>
              <w:t xml:space="preserve">Локальный сметный расчет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</w:rPr>
            </w:pPr>
            <w:r>
              <w:rPr>
                <w:rFonts w:eastAsia="@StarSymbol" w:cs="Times New Roman" w:ascii="Times New Roman" w:hAnsi="Times New Roman"/>
              </w:rPr>
              <w:t xml:space="preserve">№ </w:t>
            </w:r>
            <w:r>
              <w:rPr>
                <w:rFonts w:eastAsia="@StarSymbol" w:cs="Times New Roman" w:ascii="Times New Roman" w:hAnsi="Times New Roman"/>
              </w:rPr>
              <w:t>ЛС-02-01-01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 w:eastAsia="@StarSymbol" w:cs="Times New Roman"/>
              </w:rPr>
            </w:pPr>
            <w:r>
              <w:rPr>
                <w:rFonts w:eastAsia="@StarSymbol" w:cs="Times New Roman" w:ascii="Times New Roman" w:hAnsi="Times New Roman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SimSun" w:cs="Times New Roman"/>
                <w:color w:val="000000"/>
              </w:rPr>
            </w:pPr>
            <w:r>
              <w:rPr>
                <w:rFonts w:eastAsia="SimSun" w:cs="Times New Roman" w:ascii="Times New Roman" w:hAnsi="Times New Roman"/>
                <w:color w:val="000000"/>
              </w:rPr>
              <w:t>Замена дверных блоков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lang w:eastAsia="en-US"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1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tbl>
      <w:tblPr>
        <w:tblW w:w="902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39"/>
        <w:gridCol w:w="341"/>
        <w:gridCol w:w="7247"/>
      </w:tblGrid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Составил</w:t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начальника административно-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хозяйственного отдела                                                               О.Н. Гаврилова</w:t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4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(должность, подпись, инициалы, фамилия)</w:t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Проверил</w:t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4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(должность, подпись, инициалы, фамилия)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</w:rPr>
      </w:pPr>
      <w:r>
        <w:rPr>
          <w:rFonts w:eastAsia="@StarSymbol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sz w:val="26"/>
          <w:szCs w:val="26"/>
          <w:lang w:eastAsia="en-US"/>
        </w:rPr>
      </w:pPr>
      <w:r>
        <w:rPr>
          <w:rFonts w:eastAsia="@StarSymbol" w:cs="Times New Roman" w:ascii="Times New Roman" w:hAnsi="Times New Roman"/>
          <w:b/>
          <w:sz w:val="26"/>
          <w:szCs w:val="26"/>
          <w:lang w:eastAsia="en-US"/>
        </w:rPr>
        <w:t>Проект сметы контракта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@StarSymbol" w:cs="Times New Roman"/>
          <w:b/>
          <w:lang w:eastAsia="en-US"/>
        </w:rPr>
      </w:pPr>
      <w:r>
        <w:rPr>
          <w:rFonts w:eastAsia="@StarSymbol" w:cs="Times New Roman" w:ascii="Times New Roman" w:hAnsi="Times New Roman"/>
          <w:b/>
          <w:lang w:eastAsia="en-US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Капитальный ремонт помещений здания, расположенного по адресу: Пензенская область, г. Кузнецк, ул. Белинского, д.82 (замена дверных блоков)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@StarSymbol" w:cs="Times New Roman"/>
          <w:lang w:eastAsia="en-US"/>
        </w:rPr>
      </w:pPr>
      <w:r>
        <w:rPr>
          <w:rFonts w:eastAsia="@StarSymbol" w:cs="Times New Roman" w:ascii="Times New Roman" w:hAnsi="Times New Roman"/>
          <w:lang w:eastAsia="en-US"/>
        </w:rPr>
        <w:t xml:space="preserve"> </w:t>
      </w:r>
      <w:r>
        <w:rPr>
          <w:rFonts w:eastAsia="@StarSymbol" w:cs="Times New Roman" w:ascii="Times New Roman" w:hAnsi="Times New Roman"/>
          <w:lang w:eastAsia="en-US"/>
        </w:rPr>
        <w:t>(наименование объекта)</w:t>
      </w:r>
    </w:p>
    <w:tbl>
      <w:tblPr>
        <w:tblpPr w:bottomFromText="0" w:horzAnchor="margin" w:leftFromText="180" w:rightFromText="180" w:tblpX="0" w:tblpXSpec="center" w:tblpY="330" w:topFromText="0" w:vertAnchor="text"/>
        <w:tblW w:w="10409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81"/>
        <w:gridCol w:w="1133"/>
        <w:gridCol w:w="1357"/>
        <w:gridCol w:w="1479"/>
        <w:gridCol w:w="1416"/>
        <w:gridCol w:w="127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 xml:space="preserve">Наименование конструктивных решений (элементов), комплексов (видов) работ, оборудования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Единица измерения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 xml:space="preserve">Количество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(объем работ)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Цена на единицу измерения*,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 xml:space="preserve">Стоимость всего*, руб.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 xml:space="preserve">Страна происхождения оборудования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7</w:t>
            </w:r>
          </w:p>
        </w:tc>
      </w:tr>
      <w:tr>
        <w:trPr>
          <w:trHeight w:val="3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SimSun" w:cs="Times New Roman"/>
                <w:color w:val="000000"/>
              </w:rPr>
            </w:pPr>
            <w:r>
              <w:rPr>
                <w:rFonts w:eastAsia="SimSun" w:cs="Times New Roman" w:ascii="Times New Roman" w:hAnsi="Times New Roman"/>
                <w:color w:val="000000"/>
              </w:rPr>
              <w:t>Замена дверных блоков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  <w:strike/>
              </w:rPr>
            </w:pPr>
            <w:r>
              <w:rPr>
                <w:rFonts w:eastAsia="@StarSymbol" w:cs="Times New Roman" w:ascii="Times New Roman" w:hAnsi="Times New Roman"/>
                <w:lang w:eastAsia="en-US"/>
              </w:rPr>
              <w:t>штука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auto" w:val="clear"/>
              </w:rPr>
              <w:t>191 554,00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shd w:fill="auto" w:val="clear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auto" w:val="clear"/>
              </w:rPr>
              <w:t>191 554,00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shd w:fill="auto" w:val="clea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-</w:t>
            </w:r>
          </w:p>
        </w:tc>
      </w:tr>
      <w:tr>
        <w:trPr>
          <w:trHeight w:val="41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  <w:t>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  <w:b/>
                <w:bCs/>
              </w:rPr>
            </w:pPr>
            <w:r>
              <w:rPr>
                <w:rFonts w:eastAsia="@StarSymbol" w:cs="Times New Roman" w:ascii="Times New Roman" w:hAnsi="Times New Roman"/>
                <w:b/>
                <w:bCs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  <w:bCs/>
              </w:rPr>
            </w:pPr>
            <w:r>
              <w:rPr>
                <w:rFonts w:eastAsia="@StarSymbol" w:cs="Times New Roman" w:ascii="Times New Roman" w:hAnsi="Times New Roman"/>
                <w:bCs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b/>
                <w:color w:val="00000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hd w:fill="auto" w:val="clear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auto" w:val="clear"/>
              </w:rPr>
              <w:t>191 554,00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@StarSymbol" w:cs="Times New Roman"/>
                <w:bCs/>
                <w:highlight w:val="red"/>
              </w:rPr>
            </w:pPr>
            <w:r>
              <w:rPr>
                <w:rFonts w:eastAsia="@StarSymbol" w:cs="Times New Roman" w:ascii="Times New Roman" w:hAnsi="Times New Roman"/>
                <w:bCs/>
                <w:highlight w:val="red"/>
              </w:rPr>
            </w:r>
          </w:p>
        </w:tc>
      </w:tr>
    </w:tbl>
    <w:tbl>
      <w:tblPr>
        <w:tblW w:w="902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39"/>
        <w:gridCol w:w="341"/>
        <w:gridCol w:w="7247"/>
      </w:tblGrid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Заказчик</w:t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72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724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(должность, подпись, инициалы, фамилия)</w:t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Подрядчик</w:t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72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7247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(должность, подпись, инициалы, фамилия)</w:t>
            </w:r>
          </w:p>
        </w:tc>
      </w:tr>
    </w:tbl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Normal"/>
        <w:suppressAutoHyphens w:val="true"/>
        <w:spacing w:lineRule="atLeast" w:line="220" w:before="0" w:after="0"/>
        <w:jc w:val="both"/>
        <w:rPr>
          <w:rFonts w:ascii="Times New Roman" w:hAnsi="Times New Roman" w:eastAsia="Cambria Math" w:cs="Times New Roman"/>
          <w:sz w:val="18"/>
          <w:szCs w:val="18"/>
          <w:lang w:eastAsia="ar-SA"/>
        </w:rPr>
      </w:pPr>
      <w:r>
        <w:rPr>
          <w:rFonts w:eastAsia="Cambria Math" w:cs="Times New Roman" w:ascii="Times New Roman" w:hAnsi="Times New Roman"/>
          <w:sz w:val="18"/>
          <w:szCs w:val="18"/>
          <w:lang w:eastAsia="ar-SA"/>
        </w:rPr>
      </w:r>
    </w:p>
    <w:p>
      <w:pPr>
        <w:pStyle w:val="ListParagraph"/>
        <w:suppressAutoHyphens w:val="true"/>
        <w:spacing w:lineRule="atLeast" w:line="220"/>
        <w:ind w:left="0" w:hanging="0"/>
        <w:jc w:val="both"/>
        <w:rPr>
          <w:rFonts w:eastAsia="Cambria Math"/>
          <w:lang w:eastAsia="ar-SA"/>
        </w:rPr>
      </w:pPr>
      <w:r>
        <w:rPr>
          <w:rFonts w:eastAsia="Cambria Math"/>
          <w:lang w:eastAsia="ar-SA"/>
        </w:rPr>
        <w:t xml:space="preserve">*- расчет выполнен с учетом </w:t>
      </w:r>
      <w:r>
        <w:rPr/>
        <w:t xml:space="preserve"> НДС (22%)</w:t>
      </w:r>
    </w:p>
    <w:sectPr>
      <w:type w:val="nextPage"/>
      <w:pgSz w:w="11906" w:h="16838"/>
      <w:pgMar w:left="1418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248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9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6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3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0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8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5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24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f2c1b"/>
    <w:pPr>
      <w:widowControl/>
      <w:bidi w:val="0"/>
      <w:spacing w:lineRule="auto" w:line="276" w:before="0" w:after="20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2f2c1b"/>
    <w:rPr>
      <w:rFonts w:ascii="Arial" w:hAnsi="Arial"/>
      <w:sz w:val="22"/>
      <w:szCs w:val="22"/>
    </w:rPr>
  </w:style>
  <w:style w:type="character" w:styleId="Style14" w:customStyle="1">
    <w:name w:val="Абзац списка Знак"/>
    <w:link w:val="ListParagraph"/>
    <w:uiPriority w:val="99"/>
    <w:qFormat/>
    <w:locked/>
    <w:rsid w:val="004c24a0"/>
    <w:rPr/>
  </w:style>
  <w:style w:type="character" w:styleId="Style15" w:customStyle="1">
    <w:name w:val="Текст выноски Знак"/>
    <w:basedOn w:val="DefaultParagraphFont"/>
    <w:link w:val="BalloonText"/>
    <w:qFormat/>
    <w:rsid w:val="00094c40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link w:val="ConsPlusNormal"/>
    <w:qFormat/>
    <w:rsid w:val="002f2c1b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2f2c1b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14"/>
    <w:uiPriority w:val="99"/>
    <w:qFormat/>
    <w:rsid w:val="004c24a0"/>
    <w:pPr>
      <w:spacing w:lineRule="auto" w:line="240" w:before="0" w:after="0"/>
      <w:ind w:left="720" w:hanging="0"/>
      <w:contextualSpacing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8802f3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</w:rPr>
  </w:style>
  <w:style w:type="paragraph" w:styleId="BalloonText">
    <w:name w:val="Balloon Text"/>
    <w:basedOn w:val="Normal"/>
    <w:link w:val="Style15"/>
    <w:qFormat/>
    <w:rsid w:val="00094c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626B-D2EC-4924-A8BD-5D3A57AE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Application>LibreOffice/7.5.6.2$Linux_X86_64 LibreOffice_project/50$Build-2</Application>
  <AppVersion>15.0000</AppVersion>
  <Pages>6</Pages>
  <Words>907</Words>
  <Characters>6426</Characters>
  <CharactersWithSpaces>7303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2022-03-21T10:25:00Z</dcterms:created>
  <dc:creator>Сави Анна Михайловна</dc:creator>
  <dc:description/>
  <dc:language>ru-RU</dc:language>
  <cp:lastModifiedBy/>
  <cp:lastPrinted>2024-05-16T06:07:00Z</cp:lastPrinted>
  <dcterms:modified xsi:type="dcterms:W3CDTF">2026-07-28T13:46:17Z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