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4A2A7B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ГОТ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1C3B64">
        <w:rPr>
          <w:b/>
          <w:sz w:val="20"/>
          <w:szCs w:val="20"/>
        </w:rPr>
        <w:t xml:space="preserve">им. Д.Г. </w:t>
      </w:r>
      <w:proofErr w:type="spellStart"/>
      <w:r w:rsidR="001C3B64">
        <w:rPr>
          <w:b/>
          <w:sz w:val="20"/>
          <w:szCs w:val="20"/>
        </w:rPr>
        <w:t>Кнорре</w:t>
      </w:r>
      <w:proofErr w:type="spellEnd"/>
      <w:r w:rsidR="001C3B64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1C3B64">
        <w:rPr>
          <w:b/>
          <w:bCs/>
          <w:color w:val="000000"/>
          <w:sz w:val="20"/>
          <w:szCs w:val="20"/>
        </w:rPr>
        <w:t>ферментов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1C3B64">
        <w:rPr>
          <w:b/>
          <w:sz w:val="20"/>
          <w:szCs w:val="20"/>
        </w:rPr>
        <w:t>1</w:t>
      </w:r>
      <w:r w:rsidR="00796CB5">
        <w:rPr>
          <w:b/>
          <w:sz w:val="20"/>
          <w:szCs w:val="20"/>
        </w:rPr>
        <w:t>5</w:t>
      </w:r>
      <w:r w:rsidR="00507F54" w:rsidRPr="0012340B">
        <w:rPr>
          <w:b/>
          <w:sz w:val="20"/>
          <w:szCs w:val="20"/>
        </w:rPr>
        <w:t xml:space="preserve"> (</w:t>
      </w:r>
      <w:r w:rsidR="00796CB5">
        <w:rPr>
          <w:b/>
          <w:sz w:val="20"/>
          <w:szCs w:val="20"/>
        </w:rPr>
        <w:t>пятнадцать</w:t>
      </w:r>
      <w:bookmarkStart w:id="0" w:name="_GoBack"/>
      <w:bookmarkEnd w:id="0"/>
      <w:r w:rsidR="000F3652" w:rsidRPr="0012340B">
        <w:rPr>
          <w:b/>
          <w:sz w:val="20"/>
          <w:szCs w:val="20"/>
        </w:rPr>
        <w:t xml:space="preserve">) </w:t>
      </w:r>
      <w:r w:rsidR="001C3B64">
        <w:rPr>
          <w:b/>
          <w:sz w:val="20"/>
          <w:szCs w:val="20"/>
        </w:rPr>
        <w:t>рабочих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4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6520"/>
        <w:gridCol w:w="1508"/>
        <w:gridCol w:w="1327"/>
        <w:gridCol w:w="579"/>
        <w:gridCol w:w="766"/>
        <w:gridCol w:w="1065"/>
        <w:gridCol w:w="1138"/>
      </w:tblGrid>
      <w:tr w:rsidR="00166FD1" w:rsidRPr="00EA4B7C" w:rsidTr="000F774D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№ 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4A2A7B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bCs/>
                <w:sz w:val="20"/>
                <w:szCs w:val="20"/>
              </w:rPr>
            </w:pPr>
            <w:r w:rsidRPr="00EA4B7C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EA4B7C" w:rsidRDefault="00166FD1" w:rsidP="00C101BB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Стоимость с НДС, руб.</w:t>
            </w:r>
          </w:p>
        </w:tc>
      </w:tr>
      <w:tr w:rsidR="001C3B64" w:rsidRPr="00EA4B7C" w:rsidTr="000F774D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tabs>
                <w:tab w:val="left" w:pos="513"/>
              </w:tabs>
              <w:rPr>
                <w:color w:val="000000"/>
                <w:sz w:val="20"/>
                <w:szCs w:val="20"/>
              </w:rPr>
            </w:pPr>
            <w:r w:rsidRPr="00EA4B7C">
              <w:rPr>
                <w:color w:val="000000"/>
                <w:sz w:val="20"/>
                <w:szCs w:val="20"/>
              </w:rPr>
              <w:t xml:space="preserve">ДНК полимераза I </w:t>
            </w:r>
            <w:proofErr w:type="spellStart"/>
            <w:r w:rsidRPr="00EA4B7C">
              <w:rPr>
                <w:color w:val="000000"/>
                <w:sz w:val="20"/>
                <w:szCs w:val="20"/>
              </w:rPr>
              <w:t>E.coli</w:t>
            </w:r>
            <w:proofErr w:type="spellEnd"/>
            <w:r w:rsidRPr="00EA4B7C">
              <w:rPr>
                <w:color w:val="000000"/>
                <w:sz w:val="20"/>
                <w:szCs w:val="20"/>
              </w:rPr>
              <w:t xml:space="preserve"> (Фрагмент </w:t>
            </w:r>
            <w:proofErr w:type="spellStart"/>
            <w:r w:rsidRPr="00EA4B7C">
              <w:rPr>
                <w:color w:val="000000"/>
                <w:sz w:val="20"/>
                <w:szCs w:val="20"/>
              </w:rPr>
              <w:t>Кленова</w:t>
            </w:r>
            <w:proofErr w:type="spellEnd"/>
            <w:r w:rsidRPr="00EA4B7C">
              <w:rPr>
                <w:color w:val="000000"/>
                <w:sz w:val="20"/>
                <w:szCs w:val="20"/>
              </w:rPr>
              <w:t xml:space="preserve">), 1 пробирка, 200 </w:t>
            </w:r>
            <w:proofErr w:type="spellStart"/>
            <w:r w:rsidRPr="00EA4B7C">
              <w:rPr>
                <w:color w:val="000000"/>
                <w:sz w:val="20"/>
                <w:szCs w:val="20"/>
              </w:rPr>
              <w:t>е.а</w:t>
            </w:r>
            <w:proofErr w:type="spellEnd"/>
            <w:r w:rsidRPr="00EA4B7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76" w:type="dxa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3969"/>
            </w:tblGrid>
            <w:tr w:rsidR="001C3B64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Концентрация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5000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е.а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>./мл</w:t>
                  </w:r>
                </w:p>
              </w:tc>
            </w:tr>
            <w:tr w:rsidR="001C3B64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Источник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E.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coli</w:t>
                  </w:r>
                  <w:proofErr w:type="spellEnd"/>
                </w:p>
              </w:tc>
            </w:tr>
            <w:tr w:rsidR="001C3B64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200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е.а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C3B64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Условия хранения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−20°C; буфер: 10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KH2PO4(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7.5); 50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KCl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; 0.5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EDTA; 10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2-меркаптоэтанол; 50% глицерин</w:t>
                  </w:r>
                </w:p>
              </w:tc>
            </w:tr>
            <w:tr w:rsidR="001C3B64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Оптимальная температура реакции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B64" w:rsidRPr="00EA4B7C" w:rsidRDefault="001C3B64" w:rsidP="001C3B6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37°C</w:t>
                  </w:r>
                </w:p>
              </w:tc>
            </w:tr>
          </w:tbl>
          <w:p w:rsidR="001C3B64" w:rsidRPr="00EA4B7C" w:rsidRDefault="00EA4B7C" w:rsidP="001C3B64">
            <w:pPr>
              <w:pStyle w:val="2"/>
              <w:spacing w:before="0" w:beforeAutospacing="0" w:after="0" w:afterAutospacing="0"/>
              <w:ind w:firstLine="4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Артикул Е325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EA4B7C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20.14.64.000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64" w:rsidRPr="00EA4B7C" w:rsidRDefault="001C3B64" w:rsidP="001C3B6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4B7C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B64" w:rsidRPr="00EA4B7C" w:rsidRDefault="001C3B64" w:rsidP="001C3B64">
            <w:pPr>
              <w:jc w:val="center"/>
              <w:rPr>
                <w:color w:val="000000"/>
                <w:sz w:val="20"/>
                <w:szCs w:val="20"/>
              </w:rPr>
            </w:pPr>
            <w:r w:rsidRPr="00EA4B7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</w:tr>
      <w:tr w:rsidR="001C3B64" w:rsidRPr="00EA4B7C" w:rsidTr="000F774D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tabs>
                <w:tab w:val="center" w:pos="1506"/>
                <w:tab w:val="right" w:pos="3013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EA4B7C">
              <w:rPr>
                <w:color w:val="000000"/>
                <w:sz w:val="20"/>
                <w:szCs w:val="20"/>
              </w:rPr>
              <w:t>Экзонуклеаза</w:t>
            </w:r>
            <w:proofErr w:type="spellEnd"/>
            <w:r w:rsidRPr="00EA4B7C">
              <w:rPr>
                <w:color w:val="000000"/>
                <w:sz w:val="20"/>
                <w:szCs w:val="20"/>
              </w:rPr>
              <w:t xml:space="preserve"> III, 1 пробирка, 5000 </w:t>
            </w:r>
            <w:proofErr w:type="spellStart"/>
            <w:r w:rsidRPr="00EA4B7C">
              <w:rPr>
                <w:color w:val="000000"/>
                <w:sz w:val="20"/>
                <w:szCs w:val="20"/>
              </w:rPr>
              <w:t>е.а</w:t>
            </w:r>
            <w:proofErr w:type="spellEnd"/>
            <w:r w:rsidRPr="00EA4B7C">
              <w:rPr>
                <w:color w:val="000000"/>
                <w:sz w:val="20"/>
                <w:szCs w:val="20"/>
              </w:rPr>
              <w:t>.</w:t>
            </w:r>
            <w:r w:rsidRPr="00EA4B7C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76" w:type="dxa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3969"/>
            </w:tblGrid>
            <w:tr w:rsidR="00EA4B7C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Концентрация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40000-100000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e.а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>./мл</w:t>
                  </w:r>
                </w:p>
              </w:tc>
            </w:tr>
            <w:tr w:rsidR="00EA4B7C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Источник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E.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coli</w:t>
                  </w:r>
                  <w:proofErr w:type="spellEnd"/>
                </w:p>
              </w:tc>
            </w:tr>
            <w:tr w:rsidR="00EA4B7C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5000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е.а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EA4B7C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Условия хранения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−20°C; буфер: 10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Tris-HCl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7.5, 50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KCl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, 0.5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EDTA, 1 </w:t>
                  </w:r>
                  <w:proofErr w:type="spellStart"/>
                  <w:r w:rsidRPr="00EA4B7C">
                    <w:rPr>
                      <w:color w:val="000000"/>
                      <w:sz w:val="20"/>
                      <w:szCs w:val="20"/>
                    </w:rPr>
                    <w:t>mM</w:t>
                  </w:r>
                  <w:proofErr w:type="spellEnd"/>
                  <w:r w:rsidRPr="00EA4B7C">
                    <w:rPr>
                      <w:color w:val="000000"/>
                      <w:sz w:val="20"/>
                      <w:szCs w:val="20"/>
                    </w:rPr>
                    <w:t xml:space="preserve"> 2-меркаптоэтанол, 50% глицерин</w:t>
                  </w:r>
                </w:p>
              </w:tc>
            </w:tr>
            <w:tr w:rsidR="00EA4B7C" w:rsidRPr="00EA4B7C" w:rsidTr="003E0FB0">
              <w:trPr>
                <w:trHeight w:val="300"/>
              </w:trPr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Оптимальная температура реакции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A4B7C" w:rsidRPr="00EA4B7C" w:rsidRDefault="00EA4B7C" w:rsidP="00EA4B7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A4B7C">
                    <w:rPr>
                      <w:color w:val="000000"/>
                      <w:sz w:val="20"/>
                      <w:szCs w:val="20"/>
                    </w:rPr>
                    <w:t>37°C</w:t>
                  </w:r>
                </w:p>
              </w:tc>
            </w:tr>
          </w:tbl>
          <w:p w:rsidR="001C3B64" w:rsidRPr="00EA4B7C" w:rsidRDefault="00EA4B7C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Артикул Е345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EA4B7C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20.14.64.000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4B7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64" w:rsidRPr="00EA4B7C" w:rsidRDefault="001C3B64" w:rsidP="001C3B6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4B7C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B64" w:rsidRPr="00EA4B7C" w:rsidRDefault="001C3B64" w:rsidP="001C3B64">
            <w:pPr>
              <w:jc w:val="center"/>
              <w:rPr>
                <w:color w:val="000000"/>
                <w:sz w:val="20"/>
                <w:szCs w:val="20"/>
              </w:rPr>
            </w:pPr>
            <w:r w:rsidRPr="00EA4B7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</w:tr>
      <w:tr w:rsidR="001C3B64" w:rsidRPr="00EA4B7C" w:rsidTr="000F774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  <w:r w:rsidRPr="00EA4B7C">
              <w:rPr>
                <w:sz w:val="20"/>
                <w:szCs w:val="20"/>
              </w:rPr>
              <w:t>Итого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B64" w:rsidRPr="00EA4B7C" w:rsidRDefault="001C3B64" w:rsidP="001C3B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6CB5">
      <w:rPr>
        <w:rStyle w:val="a4"/>
        <w:noProof/>
      </w:rPr>
      <w:t>2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67737"/>
    <w:rsid w:val="00073B3F"/>
    <w:rsid w:val="000810F3"/>
    <w:rsid w:val="000A5E3A"/>
    <w:rsid w:val="000A6D68"/>
    <w:rsid w:val="000B6ABD"/>
    <w:rsid w:val="000F3652"/>
    <w:rsid w:val="000F774D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C3B6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87259"/>
    <w:rsid w:val="003973F7"/>
    <w:rsid w:val="003A5E46"/>
    <w:rsid w:val="003A667E"/>
    <w:rsid w:val="003B631C"/>
    <w:rsid w:val="003C008A"/>
    <w:rsid w:val="003D17E1"/>
    <w:rsid w:val="003E0FB0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96CB5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4EB6"/>
    <w:rsid w:val="00B06219"/>
    <w:rsid w:val="00B15E07"/>
    <w:rsid w:val="00B46924"/>
    <w:rsid w:val="00B5583A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939A9"/>
    <w:rsid w:val="00EA0C3C"/>
    <w:rsid w:val="00EA4B7C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2D7FBF4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B6F3-7653-4F62-9650-8321CF96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5</Pages>
  <Words>1500</Words>
  <Characters>10767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12243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65</cp:revision>
  <cp:lastPrinted>2026-01-23T08:25:00Z</cp:lastPrinted>
  <dcterms:created xsi:type="dcterms:W3CDTF">2025-02-19T04:24:00Z</dcterms:created>
  <dcterms:modified xsi:type="dcterms:W3CDTF">2026-06-25T09:00:00Z</dcterms:modified>
</cp:coreProperties>
</file>