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proofErr w:type="gramStart"/>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9667AB">
        <w:rPr>
          <w:rFonts w:ascii="Times New Roman" w:hAnsi="Times New Roman"/>
          <w:sz w:val="24"/>
          <w:szCs w:val="24"/>
        </w:rPr>
        <w:t>положений бюджетного законодательства Российской Федерации цены Контракта</w:t>
      </w:r>
      <w:proofErr w:type="gramEnd"/>
      <w:r w:rsidRPr="009667AB">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 xml:space="preserve">Государственный заказчик вправе принять решение </w:t>
      </w:r>
      <w:proofErr w:type="gramStart"/>
      <w:r w:rsidRPr="009667AB">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sidRPr="003A2F0E">
        <w:rPr>
          <w:rFonts w:ascii="Times New Roman" w:hAnsi="Times New Roman"/>
          <w:sz w:val="24"/>
          <w:szCs w:val="24"/>
        </w:rPr>
        <w:t>и</w:t>
      </w:r>
      <w:proofErr w:type="gramEnd"/>
      <w:r w:rsidRPr="003A2F0E">
        <w:rPr>
          <w:rFonts w:ascii="Times New Roman" w:hAnsi="Times New Roman"/>
          <w:sz w:val="24"/>
          <w:szCs w:val="24"/>
        </w:rPr>
        <w:t xml:space="preserve">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w:t>
      </w:r>
      <w:proofErr w:type="gramStart"/>
      <w:r w:rsidRPr="00CA5675">
        <w:rPr>
          <w:rFonts w:ascii="Times New Roman" w:hAnsi="Times New Roman"/>
          <w:sz w:val="24"/>
          <w:szCs w:val="24"/>
        </w:rPr>
        <w:t>кт вст</w:t>
      </w:r>
      <w:proofErr w:type="gramEnd"/>
      <w:r w:rsidRPr="00CA5675">
        <w:rPr>
          <w:rFonts w:ascii="Times New Roman" w:hAnsi="Times New Roman"/>
          <w:sz w:val="24"/>
          <w:szCs w:val="24"/>
        </w:rPr>
        <w:t>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w:t>
      </w:r>
      <w:proofErr w:type="gramStart"/>
      <w:r w:rsidRPr="00BC3B27">
        <w:rPr>
          <w:rFonts w:ascii="Times New Roman" w:hAnsi="Times New Roman" w:cs="Times New Roman"/>
          <w:b/>
        </w:rPr>
        <w:t>федеральной</w:t>
      </w:r>
      <w:proofErr w:type="gramEnd"/>
      <w:r w:rsidRPr="00BC3B27">
        <w:rPr>
          <w:rFonts w:ascii="Times New Roman" w:hAnsi="Times New Roman" w:cs="Times New Roman"/>
          <w:b/>
        </w:rPr>
        <w:t xml:space="preserve">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proofErr w:type="gramStart"/>
      <w:r w:rsidRPr="00BC3B27">
        <w:rPr>
          <w:bCs/>
          <w:kern w:val="3"/>
          <w:sz w:val="22"/>
          <w:szCs w:val="22"/>
          <w:lang w:eastAsia="en-US"/>
        </w:rPr>
        <w:t>л</w:t>
      </w:r>
      <w:proofErr w:type="gramEnd"/>
      <w:r w:rsidRPr="00BC3B27">
        <w:rPr>
          <w:bCs/>
          <w:kern w:val="3"/>
          <w:sz w:val="22"/>
          <w:szCs w:val="22"/>
          <w:lang w:eastAsia="en-US"/>
        </w:rPr>
        <w:t xml:space="preserve">/с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proofErr w:type="gramStart"/>
      <w:r w:rsidRPr="00BC3B27">
        <w:rPr>
          <w:bCs/>
          <w:kern w:val="3"/>
          <w:sz w:val="22"/>
          <w:szCs w:val="22"/>
          <w:lang w:eastAsia="en-US"/>
        </w:rPr>
        <w:t>р</w:t>
      </w:r>
      <w:proofErr w:type="spellEnd"/>
      <w:proofErr w:type="gram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3071"/>
        <w:gridCol w:w="709"/>
        <w:gridCol w:w="992"/>
        <w:gridCol w:w="992"/>
        <w:gridCol w:w="1562"/>
        <w:gridCol w:w="1984"/>
        <w:gridCol w:w="1844"/>
        <w:gridCol w:w="1840"/>
      </w:tblGrid>
      <w:tr w:rsidR="00071D49" w:rsidRPr="001708C3" w:rsidTr="003E3280">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proofErr w:type="gramStart"/>
            <w:r w:rsidRPr="001708C3">
              <w:rPr>
                <w:sz w:val="18"/>
                <w:szCs w:val="18"/>
              </w:rPr>
              <w:t>п</w:t>
            </w:r>
            <w:proofErr w:type="spellEnd"/>
            <w:proofErr w:type="gram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3071"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709"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62"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98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DE3485" w:rsidRPr="00DE3485" w:rsidTr="00DE3485">
        <w:trPr>
          <w:trHeight w:val="1897"/>
        </w:trPr>
        <w:tc>
          <w:tcPr>
            <w:tcW w:w="425"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sidRPr="00DE3485">
              <w:rPr>
                <w:rFonts w:ascii="Times New Roman" w:hAnsi="Times New Roman" w:cs="Times New Roman"/>
                <w:sz w:val="16"/>
                <w:szCs w:val="16"/>
              </w:rPr>
              <w:t>1</w:t>
            </w:r>
          </w:p>
        </w:tc>
        <w:tc>
          <w:tcPr>
            <w:tcW w:w="1323" w:type="dxa"/>
            <w:tcBorders>
              <w:top w:val="single" w:sz="4" w:space="0" w:color="000000"/>
              <w:left w:val="single" w:sz="4" w:space="0" w:color="000000"/>
            </w:tcBorders>
          </w:tcPr>
          <w:p w:rsidR="00DE3485" w:rsidRPr="00DE3485" w:rsidRDefault="00DE3485" w:rsidP="00482D3B">
            <w:pPr>
              <w:widowControl w:val="0"/>
              <w:autoSpaceDE w:val="0"/>
              <w:autoSpaceDN w:val="0"/>
              <w:adjustRightInd w:val="0"/>
              <w:spacing w:line="240" w:lineRule="auto"/>
              <w:jc w:val="center"/>
              <w:rPr>
                <w:rFonts w:ascii="Times New Roman" w:hAnsi="Times New Roman" w:cs="Times New Roman"/>
                <w:sz w:val="16"/>
                <w:szCs w:val="16"/>
              </w:rPr>
            </w:pPr>
            <w:r w:rsidRPr="00DE3485">
              <w:rPr>
                <w:rFonts w:ascii="Times New Roman CYR" w:hAnsi="Times New Roman CYR" w:cs="Times New Roman CYR"/>
                <w:sz w:val="16"/>
                <w:szCs w:val="16"/>
              </w:rPr>
              <w:t xml:space="preserve">Планка </w:t>
            </w:r>
            <w:proofErr w:type="gramStart"/>
            <w:r w:rsidRPr="00DE3485">
              <w:rPr>
                <w:rFonts w:ascii="Times New Roman CYR" w:hAnsi="Times New Roman CYR" w:cs="Times New Roman CYR"/>
                <w:sz w:val="16"/>
                <w:szCs w:val="16"/>
              </w:rPr>
              <w:t>для</w:t>
            </w:r>
            <w:proofErr w:type="gramEnd"/>
            <w:r w:rsidRPr="00DE3485">
              <w:rPr>
                <w:rFonts w:ascii="Times New Roman CYR" w:hAnsi="Times New Roman CYR" w:cs="Times New Roman CYR"/>
                <w:sz w:val="16"/>
                <w:szCs w:val="16"/>
              </w:rPr>
              <w:t xml:space="preserve"> подвесного потолкаТ-24/600</w:t>
            </w:r>
          </w:p>
        </w:tc>
        <w:tc>
          <w:tcPr>
            <w:tcW w:w="3071" w:type="dxa"/>
            <w:tcBorders>
              <w:top w:val="single" w:sz="4" w:space="0" w:color="000000"/>
              <w:left w:val="single" w:sz="4" w:space="0" w:color="000000"/>
              <w:right w:val="single" w:sz="4" w:space="0" w:color="000000"/>
            </w:tcBorders>
          </w:tcPr>
          <w:p w:rsidR="00DE3485" w:rsidRPr="00DE3485" w:rsidRDefault="00DE3485" w:rsidP="00482D3B">
            <w:pPr>
              <w:spacing w:after="0" w:line="240" w:lineRule="auto"/>
              <w:rPr>
                <w:rFonts w:ascii="Times New Roman" w:hAnsi="Times New Roman" w:cs="Times New Roman"/>
                <w:sz w:val="16"/>
                <w:szCs w:val="16"/>
              </w:rPr>
            </w:pP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Вид - </w:t>
            </w:r>
            <w:r w:rsidRPr="00DE3485">
              <w:rPr>
                <w:rFonts w:ascii="Roboto" w:eastAsia="Roboto" w:hAnsi="Roboto" w:cs="Roboto"/>
                <w:color w:val="334059"/>
                <w:sz w:val="16"/>
                <w:szCs w:val="16"/>
                <w:shd w:val="clear" w:color="auto" w:fill="FFFFFF"/>
              </w:rPr>
              <w:t>потолочный</w:t>
            </w:r>
          </w:p>
          <w:p w:rsidR="00DE3485" w:rsidRPr="00DE3485" w:rsidRDefault="00DE3485" w:rsidP="007221D7">
            <w:pPr>
              <w:spacing w:after="0" w:line="240" w:lineRule="atLeast"/>
              <w:textAlignment w:val="baseline"/>
              <w:rPr>
                <w:sz w:val="16"/>
                <w:szCs w:val="16"/>
              </w:rPr>
            </w:pPr>
            <w:r w:rsidRPr="00DE3485">
              <w:rPr>
                <w:rStyle w:val="cardmaininfotitle"/>
                <w:rFonts w:ascii="XO Thames" w:hAnsi="XO Thames" w:cs="XO Thames"/>
                <w:color w:val="334059"/>
                <w:sz w:val="16"/>
                <w:szCs w:val="16"/>
                <w:shd w:val="clear" w:color="auto" w:fill="FFFFFF"/>
              </w:rPr>
              <w:t xml:space="preserve">Ширина </w:t>
            </w:r>
            <w:proofErr w:type="spellStart"/>
            <w:r w:rsidRPr="00DE3485">
              <w:rPr>
                <w:rStyle w:val="cardmaininfotitle"/>
                <w:rFonts w:ascii="XO Thames" w:hAnsi="XO Thames" w:cs="XO Thames"/>
                <w:color w:val="334059"/>
                <w:sz w:val="16"/>
                <w:szCs w:val="16"/>
                <w:shd w:val="clear" w:color="auto" w:fill="FFFFFF"/>
              </w:rPr>
              <w:t>шапки</w:t>
            </w:r>
            <w:proofErr w:type="gramStart"/>
            <w:r w:rsidRPr="00DE3485">
              <w:rPr>
                <w:rStyle w:val="cardmaininfotitle"/>
                <w:rFonts w:ascii="XO Thames" w:hAnsi="XO Thames" w:cs="XO Thames"/>
                <w:color w:val="334059"/>
                <w:sz w:val="16"/>
                <w:szCs w:val="16"/>
                <w:shd w:val="clear" w:color="auto" w:fill="FFFFFF"/>
              </w:rPr>
              <w:t>,м</w:t>
            </w:r>
            <w:proofErr w:type="gramEnd"/>
            <w:r w:rsidRPr="00DE3485">
              <w:rPr>
                <w:rStyle w:val="cardmaininfotitle"/>
                <w:rFonts w:ascii="XO Thames" w:hAnsi="XO Thames" w:cs="XO Thames"/>
                <w:color w:val="334059"/>
                <w:sz w:val="16"/>
                <w:szCs w:val="16"/>
                <w:shd w:val="clear" w:color="auto" w:fill="FFFFFF"/>
              </w:rPr>
              <w:t>м</w:t>
            </w:r>
            <w:proofErr w:type="spellEnd"/>
            <w:r w:rsidRPr="00DE3485">
              <w:rPr>
                <w:sz w:val="16"/>
                <w:szCs w:val="16"/>
              </w:rPr>
              <w:t xml:space="preserve"> - </w:t>
            </w:r>
            <w:r w:rsidRPr="00DE3485">
              <w:rPr>
                <w:rFonts w:ascii="Roboto" w:hAnsi="Roboto"/>
                <w:color w:val="334059"/>
                <w:sz w:val="16"/>
                <w:szCs w:val="16"/>
                <w:shd w:val="clear" w:color="auto" w:fill="FFFFFF"/>
              </w:rPr>
              <w:t>24</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Длина профиля - </w:t>
            </w:r>
            <w:r w:rsidRPr="00DE3485">
              <w:rPr>
                <w:rFonts w:ascii="Roboto" w:hAnsi="Roboto"/>
                <w:color w:val="334059"/>
                <w:sz w:val="16"/>
                <w:szCs w:val="16"/>
                <w:shd w:val="clear" w:color="auto" w:fill="FFFFFF"/>
              </w:rPr>
              <w:t>600 мм</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Тип замка - </w:t>
            </w:r>
            <w:r w:rsidRPr="00DE3485">
              <w:rPr>
                <w:rFonts w:ascii="Roboto" w:eastAsia="Roboto" w:hAnsi="Roboto" w:cs="Roboto"/>
                <w:color w:val="334059"/>
                <w:sz w:val="16"/>
                <w:szCs w:val="16"/>
                <w:shd w:val="clear" w:color="auto" w:fill="FFFFFF"/>
              </w:rPr>
              <w:t>Цельно вырубленный</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Тип соединения - </w:t>
            </w:r>
            <w:r w:rsidRPr="00DE3485">
              <w:rPr>
                <w:rFonts w:ascii="Roboto" w:eastAsia="Roboto" w:hAnsi="Roboto" w:cs="Roboto"/>
                <w:color w:val="334059"/>
                <w:sz w:val="16"/>
                <w:szCs w:val="16"/>
                <w:shd w:val="clear" w:color="auto" w:fill="FFFFFF"/>
              </w:rPr>
              <w:t>Внахлест</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Материал изготовления - </w:t>
            </w:r>
            <w:r w:rsidRPr="00DE3485">
              <w:rPr>
                <w:rFonts w:ascii="Roboto" w:eastAsia="Roboto" w:hAnsi="Roboto" w:cs="Roboto"/>
                <w:color w:val="334059"/>
                <w:sz w:val="16"/>
                <w:szCs w:val="16"/>
                <w:shd w:val="clear" w:color="auto" w:fill="FFFFFF"/>
              </w:rPr>
              <w:t>сталь</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Класс горючести - </w:t>
            </w:r>
            <w:r w:rsidRPr="00DE3485">
              <w:rPr>
                <w:rFonts w:ascii="Roboto" w:eastAsia="Roboto" w:hAnsi="Roboto" w:cs="Roboto"/>
                <w:color w:val="334059"/>
                <w:sz w:val="16"/>
                <w:szCs w:val="16"/>
                <w:shd w:val="clear" w:color="auto" w:fill="FFFFFF"/>
              </w:rPr>
              <w:t>Негорючий</w:t>
            </w:r>
          </w:p>
        </w:tc>
        <w:tc>
          <w:tcPr>
            <w:tcW w:w="709"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sidRPr="00DE3485">
              <w:rPr>
                <w:rFonts w:ascii="Times New Roman" w:hAnsi="Times New Roman" w:cs="Times New Roman"/>
                <w:sz w:val="16"/>
                <w:szCs w:val="16"/>
              </w:rPr>
              <w:t>Шт.</w:t>
            </w:r>
          </w:p>
        </w:tc>
        <w:tc>
          <w:tcPr>
            <w:tcW w:w="992"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Pr>
                <w:rFonts w:ascii="Times New Roman" w:hAnsi="Times New Roman" w:cs="Times New Roman"/>
                <w:sz w:val="16"/>
                <w:szCs w:val="16"/>
              </w:rPr>
              <w:t>110</w:t>
            </w:r>
          </w:p>
        </w:tc>
        <w:tc>
          <w:tcPr>
            <w:tcW w:w="992" w:type="dxa"/>
            <w:vMerge w:val="restart"/>
            <w:tcBorders>
              <w:top w:val="single" w:sz="4" w:space="0" w:color="000000"/>
              <w:left w:val="single" w:sz="4" w:space="0" w:color="000000"/>
            </w:tcBorders>
          </w:tcPr>
          <w:p w:rsidR="00DE3485" w:rsidRPr="00DE3485" w:rsidRDefault="00DE3485" w:rsidP="00C3074F">
            <w:pPr>
              <w:jc w:val="both"/>
              <w:rPr>
                <w:color w:val="000000"/>
                <w:sz w:val="16"/>
                <w:szCs w:val="16"/>
                <w:shd w:val="clear" w:color="auto" w:fill="FFFFFF"/>
              </w:rPr>
            </w:pPr>
            <w:r w:rsidRPr="00DE3485">
              <w:rPr>
                <w:color w:val="000000"/>
                <w:sz w:val="16"/>
                <w:szCs w:val="16"/>
                <w:shd w:val="clear" w:color="auto" w:fill="FFFFFF"/>
              </w:rPr>
              <w:t xml:space="preserve">     </w:t>
            </w:r>
          </w:p>
          <w:p w:rsidR="00DE3485" w:rsidRPr="00DE3485" w:rsidRDefault="00DE3485" w:rsidP="00C3074F">
            <w:pPr>
              <w:jc w:val="both"/>
              <w:rPr>
                <w:color w:val="000000"/>
                <w:sz w:val="16"/>
                <w:szCs w:val="16"/>
                <w:shd w:val="clear" w:color="auto" w:fill="FFFFFF"/>
              </w:rPr>
            </w:pPr>
          </w:p>
          <w:p w:rsidR="00813C1E" w:rsidRDefault="00813C1E" w:rsidP="00813C1E">
            <w:pPr>
              <w:jc w:val="both"/>
              <w:rPr>
                <w:color w:val="000000"/>
                <w:sz w:val="24"/>
                <w:szCs w:val="24"/>
                <w:shd w:val="clear" w:color="auto" w:fill="FFFFFF"/>
              </w:rPr>
            </w:pPr>
            <w:r>
              <w:rPr>
                <w:color w:val="000000"/>
                <w:sz w:val="24"/>
                <w:szCs w:val="24"/>
                <w:shd w:val="clear" w:color="auto" w:fill="FFFFFF"/>
              </w:rPr>
              <w:t xml:space="preserve">           </w:t>
            </w:r>
            <w:r w:rsidRPr="00813C1E">
              <w:rPr>
                <w:color w:val="000000"/>
                <w:sz w:val="16"/>
                <w:szCs w:val="16"/>
                <w:highlight w:val="yellow"/>
                <w:shd w:val="clear" w:color="auto" w:fill="FFFFFF"/>
              </w:rPr>
              <w:t>Гарантийный срок</w:t>
            </w:r>
            <w:r w:rsidRPr="00813C1E">
              <w:rPr>
                <w:color w:val="000000"/>
                <w:sz w:val="16"/>
                <w:szCs w:val="16"/>
                <w:shd w:val="clear" w:color="auto" w:fill="FFFFFF"/>
              </w:rPr>
              <w:t xml:space="preserve"> годности не менее 12 месяцев от общего срока хранения</w:t>
            </w:r>
            <w:r>
              <w:rPr>
                <w:color w:val="000000"/>
                <w:sz w:val="24"/>
                <w:szCs w:val="24"/>
                <w:shd w:val="clear" w:color="auto" w:fill="FFFFFF"/>
              </w:rPr>
              <w:t>.</w:t>
            </w:r>
          </w:p>
          <w:p w:rsidR="00DE3485" w:rsidRPr="00DE3485" w:rsidRDefault="00DE3485" w:rsidP="00482D3B">
            <w:pPr>
              <w:pStyle w:val="af1"/>
              <w:jc w:val="center"/>
              <w:rPr>
                <w:rFonts w:ascii="Times New Roman" w:hAnsi="Times New Roman" w:cs="Times New Roman"/>
                <w:b/>
                <w:sz w:val="16"/>
                <w:szCs w:val="16"/>
              </w:rPr>
            </w:pPr>
          </w:p>
        </w:tc>
        <w:tc>
          <w:tcPr>
            <w:tcW w:w="1562" w:type="dxa"/>
            <w:vMerge w:val="restart"/>
            <w:tcBorders>
              <w:top w:val="single" w:sz="4" w:space="0" w:color="000000"/>
              <w:left w:val="single" w:sz="4" w:space="0" w:color="000000"/>
              <w:right w:val="single" w:sz="4" w:space="0" w:color="000000"/>
            </w:tcBorders>
          </w:tcPr>
          <w:p w:rsidR="00DE3485" w:rsidRPr="00DE3485" w:rsidRDefault="00DE3485" w:rsidP="00482D3B">
            <w:pPr>
              <w:pStyle w:val="Style11"/>
              <w:widowControl/>
              <w:spacing w:line="276" w:lineRule="auto"/>
              <w:ind w:firstLine="0"/>
              <w:rPr>
                <w:rFonts w:eastAsia="Times New Roman"/>
                <w:sz w:val="16"/>
                <w:szCs w:val="16"/>
              </w:rPr>
            </w:pPr>
          </w:p>
          <w:p w:rsidR="00DE3485" w:rsidRPr="00DE3485" w:rsidRDefault="00DE3485" w:rsidP="00482D3B">
            <w:pPr>
              <w:pStyle w:val="Style11"/>
              <w:widowControl/>
              <w:spacing w:line="276" w:lineRule="auto"/>
              <w:ind w:firstLine="0"/>
              <w:rPr>
                <w:rFonts w:eastAsia="Times New Roman"/>
                <w:sz w:val="16"/>
                <w:szCs w:val="16"/>
              </w:rPr>
            </w:pPr>
          </w:p>
          <w:p w:rsidR="00DE3485" w:rsidRPr="00DE3485" w:rsidRDefault="00DE3485" w:rsidP="00482D3B">
            <w:pPr>
              <w:pStyle w:val="Style11"/>
              <w:widowControl/>
              <w:spacing w:line="276" w:lineRule="auto"/>
              <w:ind w:firstLine="0"/>
              <w:rPr>
                <w:rFonts w:eastAsia="Times New Roman"/>
                <w:sz w:val="16"/>
                <w:szCs w:val="16"/>
              </w:rPr>
            </w:pPr>
          </w:p>
          <w:p w:rsidR="00DE3485" w:rsidRPr="00DE3485" w:rsidRDefault="00DE3485" w:rsidP="00482D3B">
            <w:pPr>
              <w:pStyle w:val="Style11"/>
              <w:widowControl/>
              <w:spacing w:line="276" w:lineRule="auto"/>
              <w:ind w:firstLine="0"/>
              <w:rPr>
                <w:rFonts w:eastAsia="Times New Roman"/>
                <w:sz w:val="16"/>
                <w:szCs w:val="16"/>
              </w:rPr>
            </w:pPr>
          </w:p>
          <w:p w:rsidR="00DE3485" w:rsidRPr="00DE3485" w:rsidRDefault="00DE3485" w:rsidP="00482D3B">
            <w:pPr>
              <w:pStyle w:val="Style11"/>
              <w:widowControl/>
              <w:spacing w:line="276" w:lineRule="auto"/>
              <w:ind w:firstLine="0"/>
              <w:rPr>
                <w:rFonts w:eastAsia="Times New Roman"/>
                <w:sz w:val="16"/>
                <w:szCs w:val="16"/>
              </w:rPr>
            </w:pPr>
          </w:p>
          <w:p w:rsidR="00DE3485" w:rsidRPr="00DE3485" w:rsidRDefault="00DE3485" w:rsidP="00482D3B">
            <w:pPr>
              <w:pStyle w:val="Style11"/>
              <w:widowControl/>
              <w:spacing w:line="276" w:lineRule="auto"/>
              <w:ind w:firstLine="0"/>
              <w:rPr>
                <w:rFonts w:eastAsia="Times New Roman"/>
                <w:sz w:val="16"/>
                <w:szCs w:val="16"/>
              </w:rPr>
            </w:pPr>
          </w:p>
          <w:p w:rsidR="00DE3485" w:rsidRPr="00DE3485" w:rsidRDefault="00DE3485" w:rsidP="00482D3B">
            <w:pPr>
              <w:pStyle w:val="Style11"/>
              <w:widowControl/>
              <w:spacing w:line="276" w:lineRule="auto"/>
              <w:ind w:firstLine="0"/>
              <w:rPr>
                <w:rFonts w:eastAsia="Times New Roman"/>
                <w:sz w:val="16"/>
                <w:szCs w:val="16"/>
              </w:rPr>
            </w:pPr>
          </w:p>
          <w:p w:rsidR="00DE3485" w:rsidRPr="00DE3485" w:rsidRDefault="00DE3485" w:rsidP="00482D3B">
            <w:pPr>
              <w:pStyle w:val="Style11"/>
              <w:widowControl/>
              <w:spacing w:line="276" w:lineRule="auto"/>
              <w:ind w:firstLine="0"/>
              <w:rPr>
                <w:rFonts w:eastAsia="Times New Roman"/>
                <w:sz w:val="16"/>
                <w:szCs w:val="16"/>
              </w:rPr>
            </w:pPr>
            <w:r w:rsidRPr="00DE3485">
              <w:rPr>
                <w:rFonts w:eastAsia="Times New Roman"/>
                <w:sz w:val="16"/>
                <w:szCs w:val="16"/>
              </w:rPr>
              <w:t>Поставку товара осуществлять в течение 5 рабочих дней с момента подписания государственного контракта.</w:t>
            </w:r>
          </w:p>
          <w:p w:rsidR="00DE3485" w:rsidRPr="00DE3485" w:rsidRDefault="00DE3485" w:rsidP="00482D3B">
            <w:pPr>
              <w:pStyle w:val="Style11"/>
              <w:widowControl/>
              <w:spacing w:line="240" w:lineRule="exact"/>
              <w:ind w:firstLine="0"/>
              <w:rPr>
                <w:sz w:val="16"/>
                <w:szCs w:val="16"/>
              </w:rPr>
            </w:pPr>
          </w:p>
          <w:p w:rsidR="00DE3485" w:rsidRPr="00DE3485" w:rsidRDefault="00DE3485" w:rsidP="00482D3B">
            <w:pPr>
              <w:pStyle w:val="Style11"/>
              <w:widowControl/>
              <w:spacing w:line="240" w:lineRule="exact"/>
              <w:ind w:firstLine="0"/>
              <w:rPr>
                <w:sz w:val="16"/>
                <w:szCs w:val="16"/>
              </w:rPr>
            </w:pPr>
          </w:p>
          <w:p w:rsidR="00DE3485" w:rsidRPr="00DE3485" w:rsidRDefault="00DE3485" w:rsidP="00482D3B">
            <w:pPr>
              <w:spacing w:line="240" w:lineRule="auto"/>
              <w:jc w:val="both"/>
              <w:rPr>
                <w:rFonts w:ascii="Times New Roman" w:hAnsi="Times New Roman" w:cs="Times New Roman"/>
                <w:sz w:val="16"/>
                <w:szCs w:val="16"/>
              </w:rPr>
            </w:pPr>
          </w:p>
        </w:tc>
        <w:tc>
          <w:tcPr>
            <w:tcW w:w="1984"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p>
        </w:tc>
        <w:tc>
          <w:tcPr>
            <w:tcW w:w="1844" w:type="dxa"/>
            <w:tcBorders>
              <w:top w:val="single" w:sz="4" w:space="0" w:color="000000"/>
              <w:left w:val="single" w:sz="4" w:space="0" w:color="000000"/>
            </w:tcBorders>
          </w:tcPr>
          <w:p w:rsidR="00DE3485" w:rsidRPr="00DE3485" w:rsidRDefault="00DE3485" w:rsidP="00482D3B">
            <w:pPr>
              <w:pStyle w:val="af1"/>
              <w:rPr>
                <w:rFonts w:ascii="Times New Roman" w:hAnsi="Times New Roman" w:cs="Times New Roman"/>
                <w:sz w:val="16"/>
                <w:szCs w:val="16"/>
              </w:rPr>
            </w:pPr>
          </w:p>
        </w:tc>
        <w:tc>
          <w:tcPr>
            <w:tcW w:w="1840" w:type="dxa"/>
            <w:tcBorders>
              <w:top w:val="single" w:sz="4" w:space="0" w:color="000000"/>
              <w:left w:val="single" w:sz="4" w:space="0" w:color="000000"/>
              <w:right w:val="single" w:sz="4" w:space="0" w:color="000000"/>
            </w:tcBorders>
          </w:tcPr>
          <w:p w:rsidR="00DE3485" w:rsidRPr="00DE3485" w:rsidRDefault="00DE3485" w:rsidP="00482D3B">
            <w:pPr>
              <w:pStyle w:val="af1"/>
              <w:jc w:val="center"/>
              <w:rPr>
                <w:rFonts w:ascii="Times New Roman" w:hAnsi="Times New Roman" w:cs="Times New Roman"/>
                <w:sz w:val="16"/>
                <w:szCs w:val="16"/>
              </w:rPr>
            </w:pPr>
            <w:r w:rsidRPr="00DE3485">
              <w:rPr>
                <w:rFonts w:ascii="Times New Roman" w:hAnsi="Times New Roman" w:cs="Times New Roman"/>
                <w:sz w:val="16"/>
                <w:szCs w:val="16"/>
              </w:rPr>
              <w:t>РФ</w:t>
            </w:r>
          </w:p>
        </w:tc>
      </w:tr>
      <w:tr w:rsidR="00DE3485" w:rsidRPr="00DE3485" w:rsidTr="00B16F9C">
        <w:tc>
          <w:tcPr>
            <w:tcW w:w="425"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sidRPr="00DE3485">
              <w:rPr>
                <w:rFonts w:ascii="Times New Roman" w:hAnsi="Times New Roman" w:cs="Times New Roman"/>
                <w:sz w:val="16"/>
                <w:szCs w:val="16"/>
              </w:rPr>
              <w:t>2</w:t>
            </w:r>
          </w:p>
        </w:tc>
        <w:tc>
          <w:tcPr>
            <w:tcW w:w="1323" w:type="dxa"/>
            <w:tcBorders>
              <w:top w:val="single" w:sz="4" w:space="0" w:color="000000"/>
              <w:left w:val="single" w:sz="4" w:space="0" w:color="000000"/>
            </w:tcBorders>
          </w:tcPr>
          <w:p w:rsidR="00DE3485" w:rsidRPr="00DE3485" w:rsidRDefault="00DE3485" w:rsidP="00482D3B">
            <w:pPr>
              <w:shd w:val="clear" w:color="auto" w:fill="FFFFFF"/>
              <w:textAlignment w:val="baseline"/>
              <w:rPr>
                <w:rFonts w:ascii="Times New Roman" w:hAnsi="Times New Roman" w:cs="Times New Roman"/>
                <w:sz w:val="16"/>
                <w:szCs w:val="16"/>
              </w:rPr>
            </w:pPr>
            <w:r w:rsidRPr="00DE3485">
              <w:rPr>
                <w:rFonts w:ascii="Times New Roman CYR" w:hAnsi="Times New Roman CYR" w:cs="Times New Roman CYR"/>
                <w:sz w:val="16"/>
                <w:szCs w:val="16"/>
              </w:rPr>
              <w:t xml:space="preserve">Планка </w:t>
            </w:r>
            <w:proofErr w:type="gramStart"/>
            <w:r w:rsidRPr="00DE3485">
              <w:rPr>
                <w:rFonts w:ascii="Times New Roman CYR" w:hAnsi="Times New Roman CYR" w:cs="Times New Roman CYR"/>
                <w:sz w:val="16"/>
                <w:szCs w:val="16"/>
              </w:rPr>
              <w:t>для</w:t>
            </w:r>
            <w:proofErr w:type="gramEnd"/>
            <w:r w:rsidRPr="00DE3485">
              <w:rPr>
                <w:rFonts w:ascii="Times New Roman CYR" w:hAnsi="Times New Roman CYR" w:cs="Times New Roman CYR"/>
                <w:sz w:val="16"/>
                <w:szCs w:val="16"/>
              </w:rPr>
              <w:t xml:space="preserve"> подвесного потолкаТ-24/1200</w:t>
            </w:r>
          </w:p>
        </w:tc>
        <w:tc>
          <w:tcPr>
            <w:tcW w:w="3071" w:type="dxa"/>
            <w:tcBorders>
              <w:top w:val="single" w:sz="4" w:space="0" w:color="000000"/>
              <w:left w:val="single" w:sz="4" w:space="0" w:color="000000"/>
              <w:right w:val="single" w:sz="4" w:space="0" w:color="000000"/>
            </w:tcBorders>
          </w:tcPr>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Вид - </w:t>
            </w:r>
            <w:r w:rsidRPr="00DE3485">
              <w:rPr>
                <w:rFonts w:ascii="Roboto" w:eastAsia="Roboto" w:hAnsi="Roboto" w:cs="Roboto"/>
                <w:color w:val="334059"/>
                <w:sz w:val="16"/>
                <w:szCs w:val="16"/>
                <w:shd w:val="clear" w:color="auto" w:fill="FFFFFF"/>
              </w:rPr>
              <w:t>потолочный</w:t>
            </w:r>
          </w:p>
          <w:p w:rsidR="00DE3485" w:rsidRPr="00DE3485" w:rsidRDefault="00DE3485" w:rsidP="007221D7">
            <w:pPr>
              <w:spacing w:after="0" w:line="240" w:lineRule="atLeast"/>
              <w:textAlignment w:val="baseline"/>
              <w:rPr>
                <w:sz w:val="16"/>
                <w:szCs w:val="16"/>
              </w:rPr>
            </w:pPr>
            <w:r w:rsidRPr="00DE3485">
              <w:rPr>
                <w:rStyle w:val="cardmaininfotitle"/>
                <w:rFonts w:ascii="XO Thames" w:hAnsi="XO Thames" w:cs="XO Thames"/>
                <w:color w:val="334059"/>
                <w:sz w:val="16"/>
                <w:szCs w:val="16"/>
                <w:shd w:val="clear" w:color="auto" w:fill="FFFFFF"/>
              </w:rPr>
              <w:t xml:space="preserve">Ширина </w:t>
            </w:r>
            <w:proofErr w:type="spellStart"/>
            <w:r w:rsidRPr="00DE3485">
              <w:rPr>
                <w:rStyle w:val="cardmaininfotitle"/>
                <w:rFonts w:ascii="XO Thames" w:hAnsi="XO Thames" w:cs="XO Thames"/>
                <w:color w:val="334059"/>
                <w:sz w:val="16"/>
                <w:szCs w:val="16"/>
                <w:shd w:val="clear" w:color="auto" w:fill="FFFFFF"/>
              </w:rPr>
              <w:t>шапки</w:t>
            </w:r>
            <w:proofErr w:type="gramStart"/>
            <w:r w:rsidRPr="00DE3485">
              <w:rPr>
                <w:rStyle w:val="cardmaininfotitle"/>
                <w:rFonts w:ascii="XO Thames" w:hAnsi="XO Thames" w:cs="XO Thames"/>
                <w:color w:val="334059"/>
                <w:sz w:val="16"/>
                <w:szCs w:val="16"/>
                <w:shd w:val="clear" w:color="auto" w:fill="FFFFFF"/>
              </w:rPr>
              <w:t>,м</w:t>
            </w:r>
            <w:proofErr w:type="gramEnd"/>
            <w:r w:rsidRPr="00DE3485">
              <w:rPr>
                <w:rStyle w:val="cardmaininfotitle"/>
                <w:rFonts w:ascii="XO Thames" w:hAnsi="XO Thames" w:cs="XO Thames"/>
                <w:color w:val="334059"/>
                <w:sz w:val="16"/>
                <w:szCs w:val="16"/>
                <w:shd w:val="clear" w:color="auto" w:fill="FFFFFF"/>
              </w:rPr>
              <w:t>м</w:t>
            </w:r>
            <w:proofErr w:type="spellEnd"/>
            <w:r w:rsidRPr="00DE3485">
              <w:rPr>
                <w:sz w:val="16"/>
                <w:szCs w:val="16"/>
              </w:rPr>
              <w:t xml:space="preserve"> - </w:t>
            </w:r>
            <w:r w:rsidRPr="00DE3485">
              <w:rPr>
                <w:rFonts w:ascii="Roboto" w:hAnsi="Roboto"/>
                <w:color w:val="334059"/>
                <w:sz w:val="16"/>
                <w:szCs w:val="16"/>
                <w:shd w:val="clear" w:color="auto" w:fill="FFFFFF"/>
              </w:rPr>
              <w:t>24</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Длина профиля - </w:t>
            </w:r>
            <w:r w:rsidRPr="00DE3485">
              <w:rPr>
                <w:rFonts w:ascii="Roboto" w:hAnsi="Roboto"/>
                <w:color w:val="334059"/>
                <w:sz w:val="16"/>
                <w:szCs w:val="16"/>
                <w:shd w:val="clear" w:color="auto" w:fill="FFFFFF"/>
              </w:rPr>
              <w:t>1200 мм</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Тип замка - </w:t>
            </w:r>
            <w:r w:rsidRPr="00DE3485">
              <w:rPr>
                <w:rFonts w:ascii="Roboto" w:eastAsia="Roboto" w:hAnsi="Roboto" w:cs="Roboto"/>
                <w:color w:val="334059"/>
                <w:sz w:val="16"/>
                <w:szCs w:val="16"/>
                <w:shd w:val="clear" w:color="auto" w:fill="FFFFFF"/>
              </w:rPr>
              <w:t>Цельно вырубленный</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Тип соединения - </w:t>
            </w:r>
            <w:r w:rsidRPr="00DE3485">
              <w:rPr>
                <w:rFonts w:ascii="Roboto" w:eastAsia="Roboto" w:hAnsi="Roboto" w:cs="Roboto"/>
                <w:color w:val="334059"/>
                <w:sz w:val="16"/>
                <w:szCs w:val="16"/>
                <w:shd w:val="clear" w:color="auto" w:fill="FFFFFF"/>
              </w:rPr>
              <w:t>Внахлест</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Материал изготовления - </w:t>
            </w:r>
            <w:r w:rsidRPr="00DE3485">
              <w:rPr>
                <w:rFonts w:ascii="Roboto" w:eastAsia="Roboto" w:hAnsi="Roboto" w:cs="Roboto"/>
                <w:color w:val="334059"/>
                <w:sz w:val="16"/>
                <w:szCs w:val="16"/>
                <w:shd w:val="clear" w:color="auto" w:fill="FFFFFF"/>
              </w:rPr>
              <w:t>сталь</w:t>
            </w:r>
          </w:p>
          <w:p w:rsidR="00DE3485" w:rsidRPr="00DE3485" w:rsidRDefault="00DE3485" w:rsidP="007221D7">
            <w:pPr>
              <w:spacing w:after="0" w:line="240" w:lineRule="auto"/>
              <w:rPr>
                <w:rFonts w:ascii="Times New Roman" w:hAnsi="Times New Roman" w:cs="Times New Roman"/>
                <w:sz w:val="16"/>
                <w:szCs w:val="16"/>
              </w:rPr>
            </w:pPr>
            <w:r w:rsidRPr="00DE3485">
              <w:rPr>
                <w:rStyle w:val="cardmaininfotitle"/>
                <w:rFonts w:ascii="XO Thames" w:hAnsi="XO Thames" w:cs="XO Thames"/>
                <w:color w:val="334059"/>
                <w:sz w:val="16"/>
                <w:szCs w:val="16"/>
                <w:shd w:val="clear" w:color="auto" w:fill="FFFFFF"/>
              </w:rPr>
              <w:t xml:space="preserve">Класс горючести - </w:t>
            </w:r>
            <w:r w:rsidRPr="00DE3485">
              <w:rPr>
                <w:rFonts w:ascii="Roboto" w:eastAsia="Roboto" w:hAnsi="Roboto" w:cs="Roboto"/>
                <w:color w:val="334059"/>
                <w:sz w:val="16"/>
                <w:szCs w:val="16"/>
                <w:shd w:val="clear" w:color="auto" w:fill="FFFFFF"/>
              </w:rPr>
              <w:t>Негорючий</w:t>
            </w:r>
          </w:p>
        </w:tc>
        <w:tc>
          <w:tcPr>
            <w:tcW w:w="709"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Pr>
                <w:rFonts w:ascii="Times New Roman" w:hAnsi="Times New Roman" w:cs="Times New Roman"/>
                <w:sz w:val="16"/>
                <w:szCs w:val="16"/>
              </w:rPr>
              <w:t>Шт.</w:t>
            </w:r>
          </w:p>
        </w:tc>
        <w:tc>
          <w:tcPr>
            <w:tcW w:w="992"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Pr>
                <w:rFonts w:ascii="Times New Roman" w:hAnsi="Times New Roman" w:cs="Times New Roman"/>
                <w:sz w:val="16"/>
                <w:szCs w:val="16"/>
              </w:rPr>
              <w:t>110</w:t>
            </w:r>
          </w:p>
        </w:tc>
        <w:tc>
          <w:tcPr>
            <w:tcW w:w="992" w:type="dxa"/>
            <w:vMerge/>
            <w:tcBorders>
              <w:left w:val="single" w:sz="4" w:space="0" w:color="000000"/>
            </w:tcBorders>
          </w:tcPr>
          <w:p w:rsidR="00DE3485" w:rsidRPr="00DE3485" w:rsidRDefault="00DE3485" w:rsidP="00C3074F">
            <w:pPr>
              <w:jc w:val="both"/>
              <w:rPr>
                <w:color w:val="000000"/>
                <w:sz w:val="16"/>
                <w:szCs w:val="16"/>
                <w:shd w:val="clear" w:color="auto" w:fill="FFFFFF"/>
              </w:rPr>
            </w:pPr>
          </w:p>
        </w:tc>
        <w:tc>
          <w:tcPr>
            <w:tcW w:w="1562" w:type="dxa"/>
            <w:vMerge/>
            <w:tcBorders>
              <w:left w:val="single" w:sz="4" w:space="0" w:color="000000"/>
              <w:right w:val="single" w:sz="4" w:space="0" w:color="000000"/>
            </w:tcBorders>
          </w:tcPr>
          <w:p w:rsidR="00DE3485" w:rsidRPr="00DE3485" w:rsidRDefault="00DE3485"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p>
        </w:tc>
        <w:tc>
          <w:tcPr>
            <w:tcW w:w="1844" w:type="dxa"/>
            <w:tcBorders>
              <w:top w:val="single" w:sz="4" w:space="0" w:color="000000"/>
              <w:left w:val="single" w:sz="4" w:space="0" w:color="000000"/>
            </w:tcBorders>
          </w:tcPr>
          <w:p w:rsidR="00DE3485" w:rsidRPr="00DE3485" w:rsidRDefault="00DE3485" w:rsidP="00482D3B">
            <w:pPr>
              <w:pStyle w:val="af1"/>
              <w:rPr>
                <w:rFonts w:ascii="Times New Roman" w:hAnsi="Times New Roman" w:cs="Times New Roman"/>
                <w:sz w:val="16"/>
                <w:szCs w:val="16"/>
              </w:rPr>
            </w:pPr>
          </w:p>
        </w:tc>
        <w:tc>
          <w:tcPr>
            <w:tcW w:w="1840" w:type="dxa"/>
            <w:tcBorders>
              <w:top w:val="single" w:sz="4" w:space="0" w:color="000000"/>
              <w:left w:val="single" w:sz="4" w:space="0" w:color="000000"/>
              <w:right w:val="single" w:sz="4" w:space="0" w:color="000000"/>
            </w:tcBorders>
          </w:tcPr>
          <w:p w:rsidR="00DE3485" w:rsidRPr="00DE3485" w:rsidRDefault="00DE3485" w:rsidP="00482D3B">
            <w:pPr>
              <w:pStyle w:val="af1"/>
              <w:jc w:val="center"/>
              <w:rPr>
                <w:rFonts w:ascii="Times New Roman" w:hAnsi="Times New Roman" w:cs="Times New Roman"/>
                <w:sz w:val="16"/>
                <w:szCs w:val="16"/>
              </w:rPr>
            </w:pPr>
          </w:p>
        </w:tc>
      </w:tr>
      <w:tr w:rsidR="00DE3485" w:rsidRPr="00DE3485" w:rsidTr="00F91A07">
        <w:tc>
          <w:tcPr>
            <w:tcW w:w="425"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sidRPr="00DE3485">
              <w:rPr>
                <w:rFonts w:ascii="Times New Roman" w:hAnsi="Times New Roman" w:cs="Times New Roman"/>
                <w:sz w:val="16"/>
                <w:szCs w:val="16"/>
              </w:rPr>
              <w:t>3</w:t>
            </w:r>
          </w:p>
        </w:tc>
        <w:tc>
          <w:tcPr>
            <w:tcW w:w="1323" w:type="dxa"/>
            <w:tcBorders>
              <w:top w:val="single" w:sz="4" w:space="0" w:color="000000"/>
              <w:left w:val="single" w:sz="4" w:space="0" w:color="000000"/>
            </w:tcBorders>
          </w:tcPr>
          <w:p w:rsidR="00DE3485" w:rsidRPr="00DE3485" w:rsidRDefault="00DE3485" w:rsidP="00482D3B">
            <w:pPr>
              <w:shd w:val="clear" w:color="auto" w:fill="FFFFFF"/>
              <w:textAlignment w:val="baseline"/>
              <w:rPr>
                <w:rFonts w:ascii="Times New Roman" w:hAnsi="Times New Roman" w:cs="Times New Roman"/>
                <w:sz w:val="16"/>
                <w:szCs w:val="16"/>
              </w:rPr>
            </w:pPr>
            <w:r w:rsidRPr="00DE3485">
              <w:rPr>
                <w:rFonts w:ascii="Times New Roman CYR" w:hAnsi="Times New Roman CYR" w:cs="Times New Roman CYR"/>
                <w:sz w:val="16"/>
                <w:szCs w:val="16"/>
              </w:rPr>
              <w:t xml:space="preserve">Планка </w:t>
            </w:r>
            <w:proofErr w:type="gramStart"/>
            <w:r w:rsidRPr="00DE3485">
              <w:rPr>
                <w:rFonts w:ascii="Times New Roman CYR" w:hAnsi="Times New Roman CYR" w:cs="Times New Roman CYR"/>
                <w:sz w:val="16"/>
                <w:szCs w:val="16"/>
              </w:rPr>
              <w:t>для</w:t>
            </w:r>
            <w:proofErr w:type="gramEnd"/>
            <w:r w:rsidRPr="00DE3485">
              <w:rPr>
                <w:rFonts w:ascii="Times New Roman CYR" w:hAnsi="Times New Roman CYR" w:cs="Times New Roman CYR"/>
                <w:sz w:val="16"/>
                <w:szCs w:val="16"/>
              </w:rPr>
              <w:t xml:space="preserve"> подвесного потолкаТ-24/3700</w:t>
            </w:r>
          </w:p>
        </w:tc>
        <w:tc>
          <w:tcPr>
            <w:tcW w:w="3071" w:type="dxa"/>
            <w:tcBorders>
              <w:top w:val="single" w:sz="4" w:space="0" w:color="000000"/>
              <w:left w:val="single" w:sz="4" w:space="0" w:color="000000"/>
              <w:right w:val="single" w:sz="4" w:space="0" w:color="000000"/>
            </w:tcBorders>
          </w:tcPr>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Вид - </w:t>
            </w:r>
            <w:r w:rsidRPr="00DE3485">
              <w:rPr>
                <w:rFonts w:ascii="Roboto" w:eastAsia="Roboto" w:hAnsi="Roboto" w:cs="Roboto"/>
                <w:color w:val="334059"/>
                <w:sz w:val="16"/>
                <w:szCs w:val="16"/>
                <w:shd w:val="clear" w:color="auto" w:fill="FFFFFF"/>
              </w:rPr>
              <w:t>потолочный</w:t>
            </w:r>
          </w:p>
          <w:p w:rsidR="00DE3485" w:rsidRPr="00DE3485" w:rsidRDefault="00DE3485" w:rsidP="007221D7">
            <w:pPr>
              <w:spacing w:after="0" w:line="240" w:lineRule="atLeast"/>
              <w:textAlignment w:val="baseline"/>
              <w:rPr>
                <w:sz w:val="16"/>
                <w:szCs w:val="16"/>
              </w:rPr>
            </w:pPr>
            <w:r w:rsidRPr="00DE3485">
              <w:rPr>
                <w:rStyle w:val="cardmaininfotitle"/>
                <w:rFonts w:ascii="XO Thames" w:hAnsi="XO Thames" w:cs="XO Thames"/>
                <w:color w:val="334059"/>
                <w:sz w:val="16"/>
                <w:szCs w:val="16"/>
                <w:shd w:val="clear" w:color="auto" w:fill="FFFFFF"/>
              </w:rPr>
              <w:t xml:space="preserve">Ширина </w:t>
            </w:r>
            <w:proofErr w:type="spellStart"/>
            <w:r w:rsidRPr="00DE3485">
              <w:rPr>
                <w:rStyle w:val="cardmaininfotitle"/>
                <w:rFonts w:ascii="XO Thames" w:hAnsi="XO Thames" w:cs="XO Thames"/>
                <w:color w:val="334059"/>
                <w:sz w:val="16"/>
                <w:szCs w:val="16"/>
                <w:shd w:val="clear" w:color="auto" w:fill="FFFFFF"/>
              </w:rPr>
              <w:t>шапки</w:t>
            </w:r>
            <w:proofErr w:type="gramStart"/>
            <w:r w:rsidRPr="00DE3485">
              <w:rPr>
                <w:rStyle w:val="cardmaininfotitle"/>
                <w:rFonts w:ascii="XO Thames" w:hAnsi="XO Thames" w:cs="XO Thames"/>
                <w:color w:val="334059"/>
                <w:sz w:val="16"/>
                <w:szCs w:val="16"/>
                <w:shd w:val="clear" w:color="auto" w:fill="FFFFFF"/>
              </w:rPr>
              <w:t>,м</w:t>
            </w:r>
            <w:proofErr w:type="gramEnd"/>
            <w:r w:rsidRPr="00DE3485">
              <w:rPr>
                <w:rStyle w:val="cardmaininfotitle"/>
                <w:rFonts w:ascii="XO Thames" w:hAnsi="XO Thames" w:cs="XO Thames"/>
                <w:color w:val="334059"/>
                <w:sz w:val="16"/>
                <w:szCs w:val="16"/>
                <w:shd w:val="clear" w:color="auto" w:fill="FFFFFF"/>
              </w:rPr>
              <w:t>м</w:t>
            </w:r>
            <w:proofErr w:type="spellEnd"/>
            <w:r w:rsidRPr="00DE3485">
              <w:rPr>
                <w:sz w:val="16"/>
                <w:szCs w:val="16"/>
              </w:rPr>
              <w:t xml:space="preserve"> - </w:t>
            </w:r>
            <w:r w:rsidRPr="00DE3485">
              <w:rPr>
                <w:rFonts w:ascii="Roboto" w:hAnsi="Roboto"/>
                <w:color w:val="334059"/>
                <w:sz w:val="16"/>
                <w:szCs w:val="16"/>
                <w:shd w:val="clear" w:color="auto" w:fill="FFFFFF"/>
              </w:rPr>
              <w:t>24</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Длина профиля - </w:t>
            </w:r>
            <w:r w:rsidR="00D631FC">
              <w:rPr>
                <w:rFonts w:ascii="Roboto" w:hAnsi="Roboto"/>
                <w:color w:val="334059"/>
                <w:sz w:val="16"/>
                <w:szCs w:val="16"/>
                <w:shd w:val="clear" w:color="auto" w:fill="FFFFFF"/>
              </w:rPr>
              <w:t>3700</w:t>
            </w:r>
            <w:r w:rsidRPr="00DE3485">
              <w:rPr>
                <w:rFonts w:ascii="Roboto" w:hAnsi="Roboto"/>
                <w:color w:val="334059"/>
                <w:sz w:val="16"/>
                <w:szCs w:val="16"/>
                <w:shd w:val="clear" w:color="auto" w:fill="FFFFFF"/>
              </w:rPr>
              <w:t xml:space="preserve"> мм</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Тип замка - </w:t>
            </w:r>
            <w:r w:rsidRPr="00DE3485">
              <w:rPr>
                <w:rFonts w:ascii="Roboto" w:eastAsia="Roboto" w:hAnsi="Roboto" w:cs="Roboto"/>
                <w:color w:val="334059"/>
                <w:sz w:val="16"/>
                <w:szCs w:val="16"/>
                <w:shd w:val="clear" w:color="auto" w:fill="FFFFFF"/>
              </w:rPr>
              <w:t>Цельно вырубленный</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Тип соединения - </w:t>
            </w:r>
            <w:r w:rsidRPr="00DE3485">
              <w:rPr>
                <w:rFonts w:ascii="Roboto" w:eastAsia="Roboto" w:hAnsi="Roboto" w:cs="Roboto"/>
                <w:color w:val="334059"/>
                <w:sz w:val="16"/>
                <w:szCs w:val="16"/>
                <w:shd w:val="clear" w:color="auto" w:fill="FFFFFF"/>
              </w:rPr>
              <w:t>Внахлест</w:t>
            </w:r>
          </w:p>
          <w:p w:rsidR="00DE3485" w:rsidRPr="00DE3485" w:rsidRDefault="00DE3485" w:rsidP="007221D7">
            <w:pPr>
              <w:spacing w:after="0" w:line="240" w:lineRule="atLeast"/>
              <w:textAlignment w:val="baseline"/>
              <w:rPr>
                <w:rFonts w:ascii="XO Thames" w:hAnsi="XO Thames" w:cs="XO Thames"/>
                <w:color w:val="334059"/>
                <w:sz w:val="16"/>
                <w:szCs w:val="16"/>
                <w:shd w:val="clear" w:color="auto" w:fill="FFFFFF"/>
              </w:rPr>
            </w:pPr>
            <w:r w:rsidRPr="00DE3485">
              <w:rPr>
                <w:rStyle w:val="cardmaininfotitle"/>
                <w:rFonts w:ascii="XO Thames" w:hAnsi="XO Thames" w:cs="XO Thames"/>
                <w:color w:val="334059"/>
                <w:sz w:val="16"/>
                <w:szCs w:val="16"/>
                <w:shd w:val="clear" w:color="auto" w:fill="FFFFFF"/>
              </w:rPr>
              <w:t xml:space="preserve">Материал изготовления - </w:t>
            </w:r>
            <w:r w:rsidRPr="00DE3485">
              <w:rPr>
                <w:rFonts w:ascii="Roboto" w:eastAsia="Roboto" w:hAnsi="Roboto" w:cs="Roboto"/>
                <w:color w:val="334059"/>
                <w:sz w:val="16"/>
                <w:szCs w:val="16"/>
                <w:shd w:val="clear" w:color="auto" w:fill="FFFFFF"/>
              </w:rPr>
              <w:t>сталь</w:t>
            </w:r>
          </w:p>
          <w:p w:rsidR="00DE3485" w:rsidRPr="00DE3485" w:rsidRDefault="00DE3485" w:rsidP="007221D7">
            <w:pPr>
              <w:spacing w:after="0" w:line="240" w:lineRule="auto"/>
              <w:rPr>
                <w:rFonts w:ascii="Times New Roman" w:hAnsi="Times New Roman" w:cs="Times New Roman"/>
                <w:sz w:val="16"/>
                <w:szCs w:val="16"/>
              </w:rPr>
            </w:pPr>
            <w:r w:rsidRPr="00DE3485">
              <w:rPr>
                <w:rStyle w:val="cardmaininfotitle"/>
                <w:rFonts w:ascii="XO Thames" w:hAnsi="XO Thames" w:cs="XO Thames"/>
                <w:color w:val="334059"/>
                <w:sz w:val="16"/>
                <w:szCs w:val="16"/>
                <w:shd w:val="clear" w:color="auto" w:fill="FFFFFF"/>
              </w:rPr>
              <w:t xml:space="preserve">Класс горючести - </w:t>
            </w:r>
            <w:r w:rsidRPr="00DE3485">
              <w:rPr>
                <w:rFonts w:ascii="Roboto" w:eastAsia="Roboto" w:hAnsi="Roboto" w:cs="Roboto"/>
                <w:color w:val="334059"/>
                <w:sz w:val="16"/>
                <w:szCs w:val="16"/>
                <w:shd w:val="clear" w:color="auto" w:fill="FFFFFF"/>
              </w:rPr>
              <w:t>Негорючий</w:t>
            </w:r>
          </w:p>
        </w:tc>
        <w:tc>
          <w:tcPr>
            <w:tcW w:w="709"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Pr>
                <w:rFonts w:ascii="Times New Roman" w:hAnsi="Times New Roman" w:cs="Times New Roman"/>
                <w:sz w:val="16"/>
                <w:szCs w:val="16"/>
              </w:rPr>
              <w:t>Шт.</w:t>
            </w:r>
          </w:p>
        </w:tc>
        <w:tc>
          <w:tcPr>
            <w:tcW w:w="992"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Pr>
                <w:rFonts w:ascii="Times New Roman" w:hAnsi="Times New Roman" w:cs="Times New Roman"/>
                <w:sz w:val="16"/>
                <w:szCs w:val="16"/>
              </w:rPr>
              <w:t>21</w:t>
            </w:r>
          </w:p>
        </w:tc>
        <w:tc>
          <w:tcPr>
            <w:tcW w:w="992" w:type="dxa"/>
            <w:vMerge/>
            <w:tcBorders>
              <w:left w:val="single" w:sz="4" w:space="0" w:color="000000"/>
            </w:tcBorders>
          </w:tcPr>
          <w:p w:rsidR="00DE3485" w:rsidRPr="00DE3485" w:rsidRDefault="00DE3485" w:rsidP="00C3074F">
            <w:pPr>
              <w:jc w:val="both"/>
              <w:rPr>
                <w:color w:val="000000"/>
                <w:sz w:val="16"/>
                <w:szCs w:val="16"/>
                <w:shd w:val="clear" w:color="auto" w:fill="FFFFFF"/>
              </w:rPr>
            </w:pPr>
          </w:p>
        </w:tc>
        <w:tc>
          <w:tcPr>
            <w:tcW w:w="1562" w:type="dxa"/>
            <w:vMerge/>
            <w:tcBorders>
              <w:left w:val="single" w:sz="4" w:space="0" w:color="000000"/>
              <w:right w:val="single" w:sz="4" w:space="0" w:color="000000"/>
            </w:tcBorders>
          </w:tcPr>
          <w:p w:rsidR="00DE3485" w:rsidRPr="00DE3485" w:rsidRDefault="00DE3485"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p>
        </w:tc>
        <w:tc>
          <w:tcPr>
            <w:tcW w:w="1844" w:type="dxa"/>
            <w:tcBorders>
              <w:top w:val="single" w:sz="4" w:space="0" w:color="000000"/>
              <w:left w:val="single" w:sz="4" w:space="0" w:color="000000"/>
            </w:tcBorders>
          </w:tcPr>
          <w:p w:rsidR="00DE3485" w:rsidRPr="00DE3485" w:rsidRDefault="00DE3485" w:rsidP="00482D3B">
            <w:pPr>
              <w:pStyle w:val="af1"/>
              <w:rPr>
                <w:rFonts w:ascii="Times New Roman" w:hAnsi="Times New Roman" w:cs="Times New Roman"/>
                <w:sz w:val="16"/>
                <w:szCs w:val="16"/>
              </w:rPr>
            </w:pPr>
          </w:p>
        </w:tc>
        <w:tc>
          <w:tcPr>
            <w:tcW w:w="1840" w:type="dxa"/>
            <w:tcBorders>
              <w:top w:val="single" w:sz="4" w:space="0" w:color="000000"/>
              <w:left w:val="single" w:sz="4" w:space="0" w:color="000000"/>
              <w:right w:val="single" w:sz="4" w:space="0" w:color="000000"/>
            </w:tcBorders>
          </w:tcPr>
          <w:p w:rsidR="00DE3485" w:rsidRPr="00DE3485" w:rsidRDefault="00DE3485" w:rsidP="00482D3B">
            <w:pPr>
              <w:pStyle w:val="af1"/>
              <w:jc w:val="center"/>
              <w:rPr>
                <w:rFonts w:ascii="Times New Roman" w:hAnsi="Times New Roman" w:cs="Times New Roman"/>
                <w:sz w:val="16"/>
                <w:szCs w:val="16"/>
              </w:rPr>
            </w:pPr>
          </w:p>
        </w:tc>
      </w:tr>
      <w:tr w:rsidR="00DE3485" w:rsidRPr="00DE3485" w:rsidTr="00F91A07">
        <w:tc>
          <w:tcPr>
            <w:tcW w:w="425"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sidRPr="00DE3485">
              <w:rPr>
                <w:rFonts w:ascii="Times New Roman" w:hAnsi="Times New Roman" w:cs="Times New Roman"/>
                <w:sz w:val="16"/>
                <w:szCs w:val="16"/>
              </w:rPr>
              <w:t>4</w:t>
            </w:r>
          </w:p>
        </w:tc>
        <w:tc>
          <w:tcPr>
            <w:tcW w:w="1323" w:type="dxa"/>
            <w:tcBorders>
              <w:top w:val="single" w:sz="4" w:space="0" w:color="000000"/>
              <w:left w:val="single" w:sz="4" w:space="0" w:color="000000"/>
            </w:tcBorders>
          </w:tcPr>
          <w:p w:rsidR="00DE3485" w:rsidRPr="00DE3485" w:rsidRDefault="00DE3485" w:rsidP="007221D7">
            <w:pPr>
              <w:widowControl w:val="0"/>
              <w:autoSpaceDE w:val="0"/>
              <w:autoSpaceDN w:val="0"/>
              <w:adjustRightInd w:val="0"/>
              <w:spacing w:after="0" w:line="240" w:lineRule="auto"/>
              <w:jc w:val="center"/>
              <w:rPr>
                <w:rFonts w:ascii="Times New Roman CYR" w:hAnsi="Times New Roman CYR" w:cs="Times New Roman CYR"/>
                <w:sz w:val="16"/>
                <w:szCs w:val="16"/>
              </w:rPr>
            </w:pPr>
            <w:r w:rsidRPr="00DE3485">
              <w:rPr>
                <w:rFonts w:ascii="Times New Roman CYR" w:hAnsi="Times New Roman CYR" w:cs="Times New Roman CYR"/>
                <w:sz w:val="16"/>
                <w:szCs w:val="16"/>
              </w:rPr>
              <w:t>Уголок</w:t>
            </w:r>
          </w:p>
          <w:p w:rsidR="00DE3485" w:rsidRPr="00DE3485" w:rsidRDefault="00DE3485" w:rsidP="007221D7">
            <w:pPr>
              <w:shd w:val="clear" w:color="auto" w:fill="FFFFFF"/>
              <w:textAlignment w:val="baseline"/>
              <w:rPr>
                <w:rFonts w:ascii="Times New Roman" w:hAnsi="Times New Roman" w:cs="Times New Roman"/>
                <w:sz w:val="16"/>
                <w:szCs w:val="16"/>
              </w:rPr>
            </w:pPr>
            <w:r w:rsidRPr="00DE3485">
              <w:rPr>
                <w:rFonts w:ascii="Times New Roman CYR" w:hAnsi="Times New Roman CYR" w:cs="Times New Roman CYR"/>
                <w:sz w:val="16"/>
                <w:szCs w:val="16"/>
              </w:rPr>
              <w:t xml:space="preserve"> для подвесного потолка</w:t>
            </w:r>
          </w:p>
        </w:tc>
        <w:tc>
          <w:tcPr>
            <w:tcW w:w="3071" w:type="dxa"/>
            <w:tcBorders>
              <w:top w:val="single" w:sz="4" w:space="0" w:color="000000"/>
              <w:left w:val="single" w:sz="4" w:space="0" w:color="000000"/>
              <w:right w:val="single" w:sz="4" w:space="0" w:color="000000"/>
            </w:tcBorders>
          </w:tcPr>
          <w:p w:rsidR="00DE3485" w:rsidRPr="00DE3485" w:rsidRDefault="00DE3485" w:rsidP="007221D7">
            <w:pPr>
              <w:shd w:val="clear" w:color="auto" w:fill="FFFFFF"/>
              <w:spacing w:after="0" w:line="240" w:lineRule="auto"/>
              <w:textAlignment w:val="baseline"/>
              <w:rPr>
                <w:rFonts w:ascii="Times New Roman" w:eastAsia="Times New Roman" w:hAnsi="Times New Roman" w:cs="Times New Roman"/>
                <w:sz w:val="16"/>
                <w:szCs w:val="16"/>
                <w:bdr w:val="none" w:sz="0" w:space="0" w:color="auto" w:frame="1"/>
              </w:rPr>
            </w:pPr>
            <w:r w:rsidRPr="00DE3485">
              <w:rPr>
                <w:rFonts w:ascii="Times New Roman" w:eastAsia="Times New Roman" w:hAnsi="Times New Roman" w:cs="Times New Roman"/>
                <w:sz w:val="16"/>
                <w:szCs w:val="16"/>
                <w:bdr w:val="none" w:sz="0" w:space="0" w:color="auto" w:frame="1"/>
              </w:rPr>
              <w:t xml:space="preserve">Тип </w:t>
            </w:r>
            <w:proofErr w:type="spellStart"/>
            <w:proofErr w:type="gramStart"/>
            <w:r w:rsidRPr="00DE3485">
              <w:rPr>
                <w:rFonts w:ascii="Times New Roman" w:eastAsia="Times New Roman" w:hAnsi="Times New Roman" w:cs="Times New Roman"/>
                <w:sz w:val="16"/>
                <w:szCs w:val="16"/>
                <w:bdr w:val="none" w:sz="0" w:space="0" w:color="auto" w:frame="1"/>
              </w:rPr>
              <w:t>товара-профиль</w:t>
            </w:r>
            <w:proofErr w:type="spellEnd"/>
            <w:proofErr w:type="gramEnd"/>
          </w:p>
          <w:p w:rsidR="00DE3485" w:rsidRPr="00DE3485" w:rsidRDefault="00DE3485" w:rsidP="007221D7">
            <w:pPr>
              <w:shd w:val="clear" w:color="auto" w:fill="FFFFFF"/>
              <w:spacing w:after="0" w:line="240" w:lineRule="auto"/>
              <w:textAlignment w:val="baseline"/>
              <w:rPr>
                <w:rFonts w:ascii="Roboto" w:hAnsi="Roboto"/>
                <w:color w:val="334059"/>
                <w:sz w:val="16"/>
                <w:szCs w:val="16"/>
                <w:shd w:val="clear" w:color="auto" w:fill="FFFFFF"/>
              </w:rPr>
            </w:pPr>
            <w:r w:rsidRPr="00DE3485">
              <w:rPr>
                <w:rFonts w:ascii="Times New Roman" w:eastAsia="Times New Roman" w:hAnsi="Times New Roman" w:cs="Times New Roman"/>
                <w:sz w:val="16"/>
                <w:szCs w:val="16"/>
                <w:bdr w:val="none" w:sz="0" w:space="0" w:color="auto" w:frame="1"/>
              </w:rPr>
              <w:t xml:space="preserve">Длина </w:t>
            </w:r>
            <w:r w:rsidRPr="00DE3485">
              <w:rPr>
                <w:rStyle w:val="cardmaininfotitle"/>
                <w:rFonts w:ascii="XO Thames" w:hAnsi="XO Thames" w:cs="XO Thames"/>
                <w:color w:val="334059"/>
                <w:sz w:val="16"/>
                <w:szCs w:val="16"/>
                <w:shd w:val="clear" w:color="auto" w:fill="FFFFFF"/>
              </w:rPr>
              <w:t>-</w:t>
            </w:r>
            <w:r w:rsidRPr="00DE3485">
              <w:rPr>
                <w:rFonts w:ascii="Roboto" w:hAnsi="Roboto"/>
                <w:color w:val="334059"/>
                <w:sz w:val="16"/>
                <w:szCs w:val="16"/>
                <w:shd w:val="clear" w:color="auto" w:fill="FFFFFF"/>
              </w:rPr>
              <w:t>3000 мм</w:t>
            </w:r>
          </w:p>
          <w:p w:rsidR="00DE3485" w:rsidRPr="00DE3485" w:rsidRDefault="00DE3485" w:rsidP="007221D7">
            <w:pPr>
              <w:shd w:val="clear" w:color="auto" w:fill="FFFFFF"/>
              <w:spacing w:after="0" w:line="240" w:lineRule="auto"/>
              <w:textAlignment w:val="baseline"/>
              <w:rPr>
                <w:rFonts w:ascii="Roboto" w:hAnsi="Roboto"/>
                <w:color w:val="334059"/>
                <w:sz w:val="16"/>
                <w:szCs w:val="16"/>
                <w:shd w:val="clear" w:color="auto" w:fill="FFFFFF"/>
              </w:rPr>
            </w:pPr>
            <w:r w:rsidRPr="00DE3485">
              <w:rPr>
                <w:rFonts w:ascii="Roboto" w:hAnsi="Roboto"/>
                <w:color w:val="334059"/>
                <w:sz w:val="16"/>
                <w:szCs w:val="16"/>
                <w:shd w:val="clear" w:color="auto" w:fill="FFFFFF"/>
              </w:rPr>
              <w:t>Материал-сталь</w:t>
            </w:r>
          </w:p>
          <w:p w:rsidR="00DE3485" w:rsidRPr="00DE3485" w:rsidRDefault="00DE3485" w:rsidP="007221D7">
            <w:pPr>
              <w:shd w:val="clear" w:color="auto" w:fill="FFFFFF"/>
              <w:spacing w:after="0" w:line="240" w:lineRule="auto"/>
              <w:textAlignment w:val="baseline"/>
              <w:rPr>
                <w:rFonts w:ascii="Roboto" w:hAnsi="Roboto"/>
                <w:color w:val="334059"/>
                <w:sz w:val="16"/>
                <w:szCs w:val="16"/>
                <w:shd w:val="clear" w:color="auto" w:fill="FFFFFF"/>
              </w:rPr>
            </w:pPr>
            <w:r w:rsidRPr="00DE3485">
              <w:rPr>
                <w:rFonts w:ascii="Roboto" w:hAnsi="Roboto"/>
                <w:color w:val="334059"/>
                <w:sz w:val="16"/>
                <w:szCs w:val="16"/>
                <w:shd w:val="clear" w:color="auto" w:fill="FFFFFF"/>
              </w:rPr>
              <w:t>Размеры 19*19</w:t>
            </w:r>
          </w:p>
          <w:p w:rsidR="00DE3485" w:rsidRPr="00DE3485" w:rsidRDefault="00DE3485" w:rsidP="007221D7">
            <w:pPr>
              <w:shd w:val="clear" w:color="auto" w:fill="FFFFFF"/>
              <w:spacing w:after="0" w:line="240" w:lineRule="auto"/>
              <w:textAlignment w:val="baseline"/>
              <w:rPr>
                <w:rFonts w:ascii="Roboto" w:hAnsi="Roboto"/>
                <w:color w:val="334059"/>
                <w:sz w:val="16"/>
                <w:szCs w:val="16"/>
                <w:shd w:val="clear" w:color="auto" w:fill="FFFFFF"/>
              </w:rPr>
            </w:pPr>
            <w:proofErr w:type="spellStart"/>
            <w:proofErr w:type="gramStart"/>
            <w:r w:rsidRPr="00DE3485">
              <w:rPr>
                <w:rFonts w:ascii="Roboto" w:hAnsi="Roboto"/>
                <w:color w:val="334059"/>
                <w:sz w:val="16"/>
                <w:szCs w:val="16"/>
                <w:shd w:val="clear" w:color="auto" w:fill="FFFFFF"/>
              </w:rPr>
              <w:t>Цвет-белый</w:t>
            </w:r>
            <w:proofErr w:type="spellEnd"/>
            <w:proofErr w:type="gramEnd"/>
          </w:p>
          <w:p w:rsidR="00DE3485" w:rsidRPr="00DE3485" w:rsidRDefault="00DE3485" w:rsidP="00482D3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Pr>
                <w:rFonts w:ascii="Times New Roman" w:hAnsi="Times New Roman" w:cs="Times New Roman"/>
                <w:sz w:val="16"/>
                <w:szCs w:val="16"/>
              </w:rPr>
              <w:t>Шт.</w:t>
            </w:r>
          </w:p>
        </w:tc>
        <w:tc>
          <w:tcPr>
            <w:tcW w:w="992"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r>
              <w:rPr>
                <w:rFonts w:ascii="Times New Roman" w:hAnsi="Times New Roman" w:cs="Times New Roman"/>
                <w:sz w:val="16"/>
                <w:szCs w:val="16"/>
              </w:rPr>
              <w:t>21</w:t>
            </w:r>
          </w:p>
        </w:tc>
        <w:tc>
          <w:tcPr>
            <w:tcW w:w="992" w:type="dxa"/>
            <w:vMerge/>
            <w:tcBorders>
              <w:left w:val="single" w:sz="4" w:space="0" w:color="000000"/>
            </w:tcBorders>
          </w:tcPr>
          <w:p w:rsidR="00DE3485" w:rsidRPr="00DE3485" w:rsidRDefault="00DE3485" w:rsidP="00C3074F">
            <w:pPr>
              <w:jc w:val="both"/>
              <w:rPr>
                <w:color w:val="000000"/>
                <w:sz w:val="16"/>
                <w:szCs w:val="16"/>
                <w:shd w:val="clear" w:color="auto" w:fill="FFFFFF"/>
              </w:rPr>
            </w:pPr>
          </w:p>
        </w:tc>
        <w:tc>
          <w:tcPr>
            <w:tcW w:w="1562" w:type="dxa"/>
            <w:vMerge/>
            <w:tcBorders>
              <w:left w:val="single" w:sz="4" w:space="0" w:color="000000"/>
              <w:right w:val="single" w:sz="4" w:space="0" w:color="000000"/>
            </w:tcBorders>
          </w:tcPr>
          <w:p w:rsidR="00DE3485" w:rsidRPr="00DE3485" w:rsidRDefault="00DE3485"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DE3485" w:rsidRPr="00DE3485" w:rsidRDefault="00DE3485" w:rsidP="00482D3B">
            <w:pPr>
              <w:pStyle w:val="af1"/>
              <w:jc w:val="center"/>
              <w:rPr>
                <w:rFonts w:ascii="Times New Roman" w:hAnsi="Times New Roman" w:cs="Times New Roman"/>
                <w:sz w:val="16"/>
                <w:szCs w:val="16"/>
              </w:rPr>
            </w:pPr>
          </w:p>
        </w:tc>
        <w:tc>
          <w:tcPr>
            <w:tcW w:w="1844" w:type="dxa"/>
            <w:tcBorders>
              <w:top w:val="single" w:sz="4" w:space="0" w:color="000000"/>
              <w:left w:val="single" w:sz="4" w:space="0" w:color="000000"/>
            </w:tcBorders>
          </w:tcPr>
          <w:p w:rsidR="00DE3485" w:rsidRPr="00DE3485" w:rsidRDefault="00DE3485" w:rsidP="00482D3B">
            <w:pPr>
              <w:pStyle w:val="af1"/>
              <w:rPr>
                <w:rFonts w:ascii="Times New Roman" w:hAnsi="Times New Roman" w:cs="Times New Roman"/>
                <w:sz w:val="16"/>
                <w:szCs w:val="16"/>
              </w:rPr>
            </w:pPr>
          </w:p>
        </w:tc>
        <w:tc>
          <w:tcPr>
            <w:tcW w:w="1840" w:type="dxa"/>
            <w:tcBorders>
              <w:top w:val="single" w:sz="4" w:space="0" w:color="000000"/>
              <w:left w:val="single" w:sz="4" w:space="0" w:color="000000"/>
              <w:right w:val="single" w:sz="4" w:space="0" w:color="000000"/>
            </w:tcBorders>
          </w:tcPr>
          <w:p w:rsidR="00DE3485" w:rsidRPr="00DE3485" w:rsidRDefault="00DE3485" w:rsidP="00482D3B">
            <w:pPr>
              <w:pStyle w:val="af1"/>
              <w:jc w:val="center"/>
              <w:rPr>
                <w:rFonts w:ascii="Times New Roman" w:hAnsi="Times New Roman" w:cs="Times New Roman"/>
                <w:sz w:val="16"/>
                <w:szCs w:val="16"/>
              </w:rPr>
            </w:pPr>
          </w:p>
        </w:tc>
      </w:tr>
      <w:tr w:rsidR="00482D3B" w:rsidRPr="00DE3485" w:rsidTr="003E3280">
        <w:tc>
          <w:tcPr>
            <w:tcW w:w="425" w:type="dxa"/>
            <w:tcBorders>
              <w:top w:val="single" w:sz="4" w:space="0" w:color="000000"/>
              <w:left w:val="single" w:sz="4" w:space="0" w:color="000000"/>
              <w:bottom w:val="single" w:sz="4" w:space="0" w:color="000000"/>
            </w:tcBorders>
          </w:tcPr>
          <w:p w:rsidR="00482D3B" w:rsidRPr="00DE3485" w:rsidRDefault="00482D3B" w:rsidP="00482D3B">
            <w:pPr>
              <w:pStyle w:val="af1"/>
              <w:jc w:val="center"/>
              <w:rPr>
                <w:sz w:val="16"/>
                <w:szCs w:val="16"/>
              </w:rPr>
            </w:pPr>
          </w:p>
        </w:tc>
        <w:tc>
          <w:tcPr>
            <w:tcW w:w="1323" w:type="dxa"/>
            <w:tcBorders>
              <w:top w:val="single" w:sz="4" w:space="0" w:color="000000"/>
              <w:left w:val="single" w:sz="4" w:space="0" w:color="000000"/>
              <w:bottom w:val="single" w:sz="4" w:space="0" w:color="000000"/>
            </w:tcBorders>
          </w:tcPr>
          <w:p w:rsidR="00482D3B" w:rsidRPr="00DE3485" w:rsidRDefault="00482D3B" w:rsidP="00482D3B">
            <w:pPr>
              <w:pStyle w:val="af1"/>
              <w:rPr>
                <w:rFonts w:ascii="Times New Roman" w:hAnsi="Times New Roman" w:cs="Times New Roman"/>
                <w:b/>
                <w:sz w:val="16"/>
                <w:szCs w:val="16"/>
              </w:rPr>
            </w:pPr>
          </w:p>
        </w:tc>
        <w:tc>
          <w:tcPr>
            <w:tcW w:w="3071" w:type="dxa"/>
            <w:tcBorders>
              <w:top w:val="single" w:sz="4" w:space="0" w:color="000000"/>
              <w:left w:val="single" w:sz="4" w:space="0" w:color="000000"/>
              <w:bottom w:val="single" w:sz="4" w:space="0" w:color="000000"/>
              <w:right w:val="single" w:sz="4" w:space="0" w:color="000000"/>
            </w:tcBorders>
          </w:tcPr>
          <w:p w:rsidR="00482D3B" w:rsidRPr="00DE3485" w:rsidRDefault="00482D3B" w:rsidP="00482D3B">
            <w:pPr>
              <w:pStyle w:val="af1"/>
              <w:rPr>
                <w:rFonts w:ascii="Times New Roman" w:hAnsi="Times New Roman" w:cs="Times New Roman"/>
                <w:b/>
                <w:sz w:val="16"/>
                <w:szCs w:val="16"/>
              </w:rPr>
            </w:pPr>
          </w:p>
        </w:tc>
        <w:tc>
          <w:tcPr>
            <w:tcW w:w="709" w:type="dxa"/>
            <w:tcBorders>
              <w:top w:val="single" w:sz="4" w:space="0" w:color="000000"/>
              <w:left w:val="single" w:sz="4" w:space="0" w:color="000000"/>
              <w:bottom w:val="single" w:sz="4" w:space="0" w:color="000000"/>
            </w:tcBorders>
          </w:tcPr>
          <w:p w:rsidR="00482D3B" w:rsidRPr="00DE3485" w:rsidRDefault="00482D3B" w:rsidP="00482D3B">
            <w:pPr>
              <w:pStyle w:val="af1"/>
              <w:rPr>
                <w:rFonts w:ascii="Times New Roman" w:hAnsi="Times New Roman" w:cs="Times New Roman"/>
                <w:b/>
                <w:sz w:val="16"/>
                <w:szCs w:val="16"/>
              </w:rPr>
            </w:pPr>
          </w:p>
        </w:tc>
        <w:tc>
          <w:tcPr>
            <w:tcW w:w="992" w:type="dxa"/>
            <w:tcBorders>
              <w:top w:val="single" w:sz="4" w:space="0" w:color="000000"/>
              <w:left w:val="single" w:sz="4" w:space="0" w:color="000000"/>
              <w:bottom w:val="single" w:sz="4" w:space="0" w:color="000000"/>
            </w:tcBorders>
          </w:tcPr>
          <w:p w:rsidR="00482D3B" w:rsidRPr="00DE3485" w:rsidRDefault="00482D3B" w:rsidP="00482D3B">
            <w:pPr>
              <w:widowControl w:val="0"/>
              <w:rPr>
                <w:b/>
                <w:sz w:val="16"/>
                <w:szCs w:val="16"/>
              </w:rPr>
            </w:pPr>
          </w:p>
        </w:tc>
        <w:tc>
          <w:tcPr>
            <w:tcW w:w="992" w:type="dxa"/>
            <w:tcBorders>
              <w:top w:val="single" w:sz="4" w:space="0" w:color="000000"/>
              <w:left w:val="single" w:sz="4" w:space="0" w:color="000000"/>
              <w:bottom w:val="single" w:sz="4" w:space="0" w:color="000000"/>
            </w:tcBorders>
          </w:tcPr>
          <w:p w:rsidR="00482D3B" w:rsidRPr="00DE3485" w:rsidRDefault="00482D3B" w:rsidP="00482D3B">
            <w:pPr>
              <w:pStyle w:val="af1"/>
              <w:rPr>
                <w:rFonts w:ascii="Times New Roman" w:hAnsi="Times New Roman" w:cs="Times New Roman"/>
                <w:b/>
                <w:sz w:val="16"/>
                <w:szCs w:val="16"/>
              </w:rPr>
            </w:pPr>
          </w:p>
        </w:tc>
        <w:tc>
          <w:tcPr>
            <w:tcW w:w="1562" w:type="dxa"/>
            <w:tcBorders>
              <w:top w:val="single" w:sz="4" w:space="0" w:color="000000"/>
              <w:left w:val="single" w:sz="4" w:space="0" w:color="000000"/>
              <w:bottom w:val="single" w:sz="4" w:space="0" w:color="000000"/>
              <w:right w:val="single" w:sz="4" w:space="0" w:color="000000"/>
            </w:tcBorders>
          </w:tcPr>
          <w:p w:rsidR="00482D3B" w:rsidRPr="00DE3485" w:rsidRDefault="00482D3B" w:rsidP="00482D3B">
            <w:pPr>
              <w:widowControl w:val="0"/>
              <w:tabs>
                <w:tab w:val="left" w:pos="11057"/>
                <w:tab w:val="left" w:pos="11199"/>
              </w:tabs>
              <w:contextualSpacing/>
              <w:rPr>
                <w:rFonts w:ascii="Times New Roman" w:hAnsi="Times New Roman" w:cs="Times New Roman"/>
                <w:color w:val="000000"/>
                <w:sz w:val="16"/>
                <w:szCs w:val="16"/>
              </w:rPr>
            </w:pPr>
            <w:r w:rsidRPr="00DE3485">
              <w:rPr>
                <w:rFonts w:ascii="Times New Roman" w:hAnsi="Times New Roman" w:cs="Times New Roman"/>
                <w:color w:val="000000"/>
                <w:sz w:val="16"/>
                <w:szCs w:val="16"/>
              </w:rPr>
              <w:t>Итого:</w:t>
            </w:r>
          </w:p>
        </w:tc>
        <w:tc>
          <w:tcPr>
            <w:tcW w:w="1984" w:type="dxa"/>
            <w:tcBorders>
              <w:top w:val="single" w:sz="4" w:space="0" w:color="000000"/>
              <w:left w:val="single" w:sz="4" w:space="0" w:color="000000"/>
              <w:bottom w:val="single" w:sz="4" w:space="0" w:color="000000"/>
            </w:tcBorders>
          </w:tcPr>
          <w:p w:rsidR="00482D3B" w:rsidRPr="00DE3485" w:rsidRDefault="00482D3B" w:rsidP="00482D3B">
            <w:pPr>
              <w:widowControl w:val="0"/>
              <w:rPr>
                <w:b/>
                <w:sz w:val="16"/>
                <w:szCs w:val="16"/>
              </w:rPr>
            </w:pPr>
          </w:p>
        </w:tc>
        <w:tc>
          <w:tcPr>
            <w:tcW w:w="1844" w:type="dxa"/>
            <w:tcBorders>
              <w:top w:val="single" w:sz="4" w:space="0" w:color="000000"/>
              <w:left w:val="single" w:sz="4" w:space="0" w:color="000000"/>
              <w:bottom w:val="single" w:sz="4" w:space="0" w:color="000000"/>
            </w:tcBorders>
          </w:tcPr>
          <w:p w:rsidR="00482D3B" w:rsidRPr="00DE3485" w:rsidRDefault="00482D3B" w:rsidP="00482D3B">
            <w:pPr>
              <w:widowControl w:val="0"/>
              <w:jc w:val="center"/>
              <w:rPr>
                <w:sz w:val="16"/>
                <w:szCs w:val="16"/>
              </w:rPr>
            </w:pPr>
          </w:p>
        </w:tc>
        <w:tc>
          <w:tcPr>
            <w:tcW w:w="1840" w:type="dxa"/>
            <w:tcBorders>
              <w:top w:val="single" w:sz="4" w:space="0" w:color="000000"/>
              <w:left w:val="single" w:sz="4" w:space="0" w:color="000000"/>
              <w:bottom w:val="single" w:sz="4" w:space="0" w:color="000000"/>
              <w:right w:val="single" w:sz="4" w:space="0" w:color="000000"/>
            </w:tcBorders>
          </w:tcPr>
          <w:p w:rsidR="00482D3B" w:rsidRPr="00DE3485" w:rsidRDefault="00482D3B" w:rsidP="00482D3B">
            <w:pPr>
              <w:pStyle w:val="af1"/>
              <w:rPr>
                <w:sz w:val="16"/>
                <w:szCs w:val="16"/>
              </w:rPr>
            </w:pPr>
          </w:p>
        </w:tc>
      </w:tr>
    </w:tbl>
    <w:p w:rsidR="00F12CA1" w:rsidRPr="00DE3485" w:rsidRDefault="00F12CA1"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16"/>
          <w:szCs w:val="16"/>
          <w:lang w:eastAsia="zh-CN"/>
        </w:rPr>
      </w:pPr>
    </w:p>
    <w:p w:rsidR="00B94037"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AE3015" w:rsidRDefault="00AE3015"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AE3015" w:rsidRPr="004A21FD" w:rsidRDefault="00AE3015"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C62245" w:rsidRPr="00C3074F" w:rsidRDefault="00C62245" w:rsidP="00C3074F">
      <w:pPr>
        <w:tabs>
          <w:tab w:val="left" w:pos="4470"/>
        </w:tabs>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DE3485" w:rsidRPr="00DE3485">
        <w:rPr>
          <w:noProof/>
          <w:szCs w:val="22"/>
        </w:rPr>
        <w:drawing>
          <wp:inline distT="0" distB="0" distL="0" distR="0">
            <wp:extent cx="9791700" cy="4610544"/>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610544"/>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76DB"/>
    <w:rsid w:val="00191DE8"/>
    <w:rsid w:val="00197157"/>
    <w:rsid w:val="00197F70"/>
    <w:rsid w:val="001A42E1"/>
    <w:rsid w:val="001A5ECA"/>
    <w:rsid w:val="001A626E"/>
    <w:rsid w:val="001A6B4D"/>
    <w:rsid w:val="001B15AF"/>
    <w:rsid w:val="001B6030"/>
    <w:rsid w:val="001C0A6B"/>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96E55"/>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76CA3"/>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0A3A"/>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21D7"/>
    <w:rsid w:val="00724A16"/>
    <w:rsid w:val="00724D53"/>
    <w:rsid w:val="0072547A"/>
    <w:rsid w:val="00727293"/>
    <w:rsid w:val="0073092A"/>
    <w:rsid w:val="00731BEB"/>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4997"/>
    <w:rsid w:val="00807575"/>
    <w:rsid w:val="008127C1"/>
    <w:rsid w:val="00813C1E"/>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53BA0"/>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15C3"/>
    <w:rsid w:val="00A922BA"/>
    <w:rsid w:val="00A94B90"/>
    <w:rsid w:val="00AA6E38"/>
    <w:rsid w:val="00AB08A1"/>
    <w:rsid w:val="00AB35A1"/>
    <w:rsid w:val="00AD50E0"/>
    <w:rsid w:val="00AE3015"/>
    <w:rsid w:val="00AE72F1"/>
    <w:rsid w:val="00AE747F"/>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074F"/>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6E01"/>
    <w:rsid w:val="00C90063"/>
    <w:rsid w:val="00CA21FC"/>
    <w:rsid w:val="00CA44EF"/>
    <w:rsid w:val="00CA5675"/>
    <w:rsid w:val="00CB52B7"/>
    <w:rsid w:val="00CB54F7"/>
    <w:rsid w:val="00CC2E8A"/>
    <w:rsid w:val="00CC5FC4"/>
    <w:rsid w:val="00CD04D3"/>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EC3"/>
    <w:rsid w:val="00D17F16"/>
    <w:rsid w:val="00D30C70"/>
    <w:rsid w:val="00D33582"/>
    <w:rsid w:val="00D36517"/>
    <w:rsid w:val="00D41069"/>
    <w:rsid w:val="00D4341E"/>
    <w:rsid w:val="00D536ED"/>
    <w:rsid w:val="00D557A3"/>
    <w:rsid w:val="00D612DA"/>
    <w:rsid w:val="00D61F42"/>
    <w:rsid w:val="00D62875"/>
    <w:rsid w:val="00D631FC"/>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3485"/>
    <w:rsid w:val="00DE6988"/>
    <w:rsid w:val="00DF09E3"/>
    <w:rsid w:val="00DF0AA2"/>
    <w:rsid w:val="00E0469D"/>
    <w:rsid w:val="00E04923"/>
    <w:rsid w:val="00E10E83"/>
    <w:rsid w:val="00E14C87"/>
    <w:rsid w:val="00E15A1F"/>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11305076">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346518238">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14839702">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383366413">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597178304">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45839062">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F938-D690-49EC-8E5F-16719C74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6153</Words>
  <Characters>35074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11</cp:revision>
  <cp:lastPrinted>2026-05-22T08:06:00Z</cp:lastPrinted>
  <dcterms:created xsi:type="dcterms:W3CDTF">2025-10-23T07:41:00Z</dcterms:created>
  <dcterms:modified xsi:type="dcterms:W3CDTF">2026-05-25T14:01:00Z</dcterms:modified>
</cp:coreProperties>
</file>