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right" w:vertAnchor="page" w:tblpY="556" w:leftFromText="180" w:topFromText="0" w:rightFromText="180" w:bottomFromText="0"/>
        <w:tblW w:w="4815" w:type="dxa"/>
        <w:tblLook w:val="04A0" w:firstRow="1" w:lastRow="0" w:firstColumn="1" w:lastColumn="0" w:noHBand="0" w:noVBand="1"/>
      </w:tblPr>
      <w:tblGrid>
        <w:gridCol w:w="4815"/>
      </w:tblGrid>
      <w:tr>
        <w:tblPrEx/>
        <w:trPr>
          <w:trHeight w:val="1415"/>
        </w:trPr>
        <w:tc>
          <w:tcPr>
            <w:shd w:val="clear" w:color="auto" w:fill="auto"/>
            <w:tcW w:w="4815" w:type="dxa"/>
            <w:textDirection w:val="lrTb"/>
            <w:noWrap w:val="false"/>
          </w:tcPr>
          <w:p>
            <w:pPr>
              <w:jc w:val="right"/>
              <w:spacing w:after="0"/>
              <w:tabs>
                <w:tab w:val="left" w:pos="4763" w:leader="none"/>
              </w:tabs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/>
              <w:tabs>
                <w:tab w:val="left" w:pos="4763" w:leader="none"/>
              </w:tabs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к 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электронному контракту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r>
          </w:p>
          <w:p>
            <w:pPr>
              <w:pStyle w:val="860"/>
              <w:jc w:val="right"/>
              <w:spacing w:before="0" w:beforeAutospacing="0" w:after="150" w:afterAutospacing="0" w:line="420" w:lineRule="atLeast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rPr>
                <w:b w:val="0"/>
                <w:color w:val="000000" w:themeColor="text1"/>
                <w:sz w:val="28"/>
                <w:szCs w:val="28"/>
              </w:rPr>
              <w:t xml:space="preserve"> №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 w:val="0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  <w:r>
              <w:rPr>
                <w:b w:val="0"/>
                <w:bCs w:val="0"/>
                <w:color w:val="000000" w:themeColor="text1"/>
                <w:sz w:val="28"/>
                <w:szCs w:val="28"/>
              </w:rPr>
            </w:r>
          </w:p>
          <w:p>
            <w:pPr>
              <w:jc w:val="right"/>
              <w:spacing w:after="0"/>
              <w:tabs>
                <w:tab w:val="left" w:pos="4763" w:leader="none"/>
              </w:tabs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от «    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2026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г.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r>
          </w:p>
        </w:tc>
      </w:tr>
    </w:tbl>
    <w:p>
      <w:pPr>
        <w:jc w:val="right"/>
        <w:spacing w:before="100" w:beforeAutospacing="1" w:after="100" w:afterAutospacing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jc w:val="right"/>
        <w:spacing w:before="100" w:beforeAutospacing="1" w:after="100" w:afterAutospacing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jc w:val="center"/>
        <w:spacing w:before="100" w:beforeAutospacing="1" w:after="100" w:afterAutospacing="1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Техническое задание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jc w:val="center"/>
        <w:spacing w:before="100" w:beforeAutospacing="1" w:after="100" w:afterAutospacing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на </w:t>
      </w:r>
      <w:r>
        <w:rPr>
          <w:bCs/>
          <w:color w:val="000000" w:themeColor="text1"/>
          <w:sz w:val="28"/>
          <w:szCs w:val="28"/>
        </w:rPr>
        <w:t xml:space="preserve">постав</w:t>
      </w:r>
      <w:r>
        <w:rPr>
          <w:bCs/>
          <w:color w:val="000000" w:themeColor="text1"/>
          <w:sz w:val="28"/>
          <w:szCs w:val="28"/>
        </w:rPr>
        <w:t xml:space="preserve">ку</w:t>
      </w:r>
      <w:r>
        <w:rPr>
          <w:bCs/>
          <w:color w:val="000000" w:themeColor="text1"/>
          <w:sz w:val="28"/>
          <w:szCs w:val="28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папок на подпись </w:t>
      </w:r>
      <w:r>
        <w:rPr>
          <w:bCs/>
          <w:color w:val="000000" w:themeColor="text1"/>
          <w:sz w:val="28"/>
          <w:szCs w:val="28"/>
        </w:rPr>
      </w:r>
      <w:r>
        <w:rPr>
          <w:bCs/>
          <w:color w:val="000000" w:themeColor="text1"/>
          <w:sz w:val="28"/>
          <w:szCs w:val="28"/>
        </w:rPr>
      </w:r>
    </w:p>
    <w:p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Характеристики:</w:t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pStyle w:val="866"/>
        <w:numPr>
          <w:ilvl w:val="0"/>
          <w:numId w:val="5"/>
        </w:numPr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Папка на подпись </w:t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tbl>
      <w:tblPr>
        <w:tblStyle w:val="865"/>
        <w:tblW w:w="0" w:type="auto"/>
        <w:tblLook w:val="04A0" w:firstRow="1" w:lastRow="0" w:firstColumn="1" w:lastColumn="0" w:noHBand="0" w:noVBand="1"/>
      </w:tblPr>
      <w:tblGrid>
        <w:gridCol w:w="2552"/>
        <w:gridCol w:w="1485"/>
        <w:gridCol w:w="955"/>
        <w:gridCol w:w="957"/>
        <w:gridCol w:w="1003"/>
        <w:gridCol w:w="2393"/>
      </w:tblGrid>
      <w:tr>
        <w:tblPrEx/>
        <w:trPr/>
        <w:tc>
          <w:tcPr>
            <w:tcW w:w="2552" w:type="dxa"/>
            <w:textDirection w:val="lrTb"/>
            <w:noWrap w:val="false"/>
          </w:tcPr>
          <w:p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Плотность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5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изм.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0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Модель бумаги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2552" w:type="dxa"/>
            <w:textDirection w:val="lrTb"/>
            <w:noWrap w:val="false"/>
          </w:tcPr>
          <w:p>
            <w:pPr>
              <w:rPr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Папка на подпись </w:t>
            </w:r>
            <w:r>
              <w:rPr>
                <w:i/>
                <w:color w:val="000000"/>
                <w:sz w:val="28"/>
                <w:szCs w:val="28"/>
                <w:lang w:eastAsia="ru-RU"/>
              </w:rPr>
            </w:r>
            <w:r>
              <w:rPr>
                <w:i/>
                <w:color w:val="000000"/>
                <w:sz w:val="28"/>
                <w:szCs w:val="28"/>
                <w:lang w:eastAsia="ru-RU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300 до 320 г/м2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5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штука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1 4</w:t>
            </w:r>
            <w:r>
              <w:rPr>
                <w:sz w:val="28"/>
                <w:szCs w:val="28"/>
              </w:rPr>
              <w:t xml:space="preserve">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0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39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MALMERO</w:t>
            </w:r>
            <w:r>
              <w:rPr>
                <w:sz w:val="28"/>
                <w:szCs w:val="28"/>
              </w:rPr>
              <w:t xml:space="preserve"> – индиго (оригинал)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6"/>
            <w:tcW w:w="9345" w:type="dxa"/>
            <w:textDirection w:val="lrTb"/>
            <w:noWrap w:val="false"/>
          </w:tcPr>
          <w:p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Общие характеристики:</w:t>
            </w:r>
            <w:r>
              <w:rPr>
                <w:b/>
                <w:i/>
                <w:sz w:val="28"/>
                <w:szCs w:val="28"/>
              </w:rPr>
            </w:r>
            <w:r>
              <w:rPr>
                <w:b/>
                <w:i/>
                <w:sz w:val="28"/>
                <w:szCs w:val="28"/>
              </w:rPr>
            </w:r>
          </w:p>
        </w:tc>
      </w:tr>
      <w:tr>
        <w:tblPrEx/>
        <w:trPr>
          <w:trHeight w:val="1468"/>
        </w:trPr>
        <w:tc>
          <w:tcPr>
            <w:gridSpan w:val="6"/>
            <w:tcW w:w="9345" w:type="dxa"/>
            <w:textDirection w:val="lrTb"/>
            <w:noWrap w:val="false"/>
          </w:tcPr>
          <w:p>
            <w:pPr>
              <w:pStyle w:val="861"/>
              <w:spacing w:befor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outlineLvl w:val="2"/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Производство: </w:t>
            </w:r>
            <w:hyperlink r:id="rId11" w:tooltip="https://abraun.ru/manufacturers/gruppo-cordenons/" w:history="1">
              <w:r>
                <w:rPr>
                  <w:rStyle w:val="877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Gruppo</w:t>
              </w:r>
              <w:r>
                <w:rPr>
                  <w:rStyle w:val="877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 </w:t>
              </w:r>
              <w:r>
                <w:rPr>
                  <w:rStyle w:val="877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 xml:space="preserve">Cordenons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Размер папок - 310*225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мм</w:t>
            </w:r>
            <w:r>
              <w:rPr>
                <w:color w:val="000000" w:themeColor="text1"/>
                <w:sz w:val="28"/>
                <w:szCs w:val="28"/>
              </w:rPr>
              <w:t xml:space="preserve">.</w:t>
            </w:r>
            <w:r>
              <w:rPr>
                <w:color w:val="000000" w:themeColor="text1"/>
                <w:sz w:val="28"/>
                <w:szCs w:val="28"/>
              </w:rPr>
              <w:t xml:space="preserve"> (образец рисунок 3,4);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Корешок папок – 10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мм</w:t>
            </w:r>
            <w:r>
              <w:rPr>
                <w:color w:val="000000" w:themeColor="text1"/>
                <w:sz w:val="28"/>
                <w:szCs w:val="28"/>
              </w:rPr>
              <w:t xml:space="preserve">.</w:t>
            </w:r>
            <w:r>
              <w:rPr>
                <w:color w:val="000000" w:themeColor="text1"/>
                <w:sz w:val="28"/>
                <w:szCs w:val="28"/>
              </w:rPr>
              <w:t xml:space="preserve"> с двойным расширением (образец рисунок 5)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Материал – цветной картон (дизайнерская бумага);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без вложений, карманов, скоросшивателей.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866"/>
        <w:numPr>
          <w:ilvl w:val="0"/>
          <w:numId w:val="5"/>
        </w:numPr>
        <w:rPr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Адрес поставки:</w:t>
      </w:r>
      <w:r>
        <w:rPr>
          <w:sz w:val="28"/>
          <w:szCs w:val="28"/>
        </w:rPr>
        <w:t xml:space="preserve"> г. Москва, Китайгородский проезд, д.7 стр.2. </w:t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pStyle w:val="866"/>
        <w:numPr>
          <w:ilvl w:val="0"/>
          <w:numId w:val="5"/>
        </w:numPr>
        <w:rPr>
          <w:b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Требования к упаковке и показате</w:t>
      </w:r>
      <w:r>
        <w:rPr>
          <w:b/>
          <w:sz w:val="28"/>
          <w:szCs w:val="28"/>
        </w:rPr>
        <w:t xml:space="preserve">лям соответствия поставляемого Т</w:t>
      </w:r>
      <w:r>
        <w:rPr>
          <w:b/>
          <w:sz w:val="28"/>
          <w:szCs w:val="28"/>
        </w:rPr>
        <w:t xml:space="preserve">овара</w:t>
      </w:r>
      <w:r>
        <w:rPr>
          <w:b/>
          <w:sz w:val="28"/>
          <w:szCs w:val="28"/>
        </w:rPr>
        <w:t xml:space="preserve">:</w:t>
      </w:r>
      <w:r>
        <w:rPr>
          <w:b/>
          <w:color w:val="000000"/>
          <w:sz w:val="28"/>
          <w:szCs w:val="28"/>
          <w:lang w:eastAsia="ru-RU"/>
        </w:rPr>
      </w:r>
      <w:r>
        <w:rPr>
          <w:b/>
          <w:color w:val="000000"/>
          <w:sz w:val="28"/>
          <w:szCs w:val="28"/>
          <w:lang w:eastAsia="ru-RU"/>
        </w:rPr>
      </w:r>
    </w:p>
    <w:p>
      <w:pPr>
        <w:jc w:val="both"/>
        <w:spacing w:line="240" w:lineRule="auto"/>
        <w:tabs>
          <w:tab w:val="left" w:pos="142" w:leader="none"/>
        </w:tabs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Товар должен быть новым. </w:t>
      </w:r>
      <w:r>
        <w:rPr>
          <w:sz w:val="28"/>
          <w:szCs w:val="28"/>
        </w:rPr>
        <w:t xml:space="preserve">Товар поставляется в упаковке без нарушения целостности транспортной и фабричной упаковки, без повреждения самой упаковки товара </w:t>
      </w:r>
      <w:r>
        <w:rPr>
          <w:rFonts w:eastAsia="Times New Roman"/>
          <w:sz w:val="28"/>
          <w:szCs w:val="28"/>
          <w:lang w:eastAsia="ru-RU"/>
        </w:rPr>
        <w:t xml:space="preserve">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Наименование Товара и производитель поставляемых Товаров, должны соответствовать наименованию Товара и его производителю, указанным в представляемых при поставке Товара документах.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numPr>
          <w:ilvl w:val="0"/>
          <w:numId w:val="5"/>
        </w:numPr>
        <w:jc w:val="both"/>
        <w:spacing w:line="240" w:lineRule="auto"/>
        <w:tabs>
          <w:tab w:val="left" w:pos="142" w:leader="none"/>
        </w:tabs>
        <w:rPr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Порядок поставки Товара: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ind w:left="0"/>
        <w:jc w:val="both"/>
        <w:spacing w:line="240" w:lineRule="auto"/>
        <w:tabs>
          <w:tab w:val="left" w:pos="142" w:leader="none"/>
        </w:tabs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Поставка Товара осуществляется после согласования с Заказчиком сигнального образца папки по месту нахождения Заказчика.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Товар должен быть поставлен в течении 2 рабочих дней с момента заключения контракта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numPr>
          <w:ilvl w:val="0"/>
          <w:numId w:val="5"/>
        </w:numPr>
        <w:jc w:val="both"/>
        <w:spacing w:after="160" w:line="240" w:lineRule="auto"/>
        <w:rPr>
          <w:rFonts w:eastAsia="Times New Roman"/>
          <w:sz w:val="28"/>
          <w:szCs w:val="28"/>
          <w:lang w:eastAsia="ru-RU"/>
        </w:rPr>
      </w:pPr>
      <w:r>
        <w:rPr>
          <w:b/>
          <w:color w:val="000000" w:themeColor="text1"/>
          <w:spacing w:val="1"/>
          <w:sz w:val="28"/>
          <w:szCs w:val="28"/>
        </w:rPr>
        <w:t xml:space="preserve">Порядок оплаты 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jc w:val="both"/>
        <w:spacing w:after="16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Оплата осуществляется путем перечисления Заказчиком денежных средств на расчетный счет Поставщика, на основании счета в течение 10</w:t>
      </w:r>
      <w:r>
        <w:rPr>
          <w:color w:val="000000"/>
          <w:sz w:val="28"/>
          <w:szCs w:val="28"/>
        </w:rPr>
        <w:t xml:space="preserve"> рабочих дней с даты подписания Сторонами </w:t>
      </w:r>
      <w:r>
        <w:rPr>
          <w:color w:val="000000"/>
          <w:sz w:val="28"/>
          <w:szCs w:val="28"/>
        </w:rPr>
        <w:t xml:space="preserve">товарной накладной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after="160" w:line="24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6. </w:t>
      </w:r>
      <w:r>
        <w:rPr>
          <w:rFonts w:eastAsia="Times New Roman"/>
          <w:b/>
          <w:sz w:val="28"/>
          <w:szCs w:val="28"/>
          <w:lang w:eastAsia="ru-RU"/>
        </w:rPr>
        <w:t xml:space="preserve">При поставке Товара Поставщик представляет следующую документацию:</w:t>
      </w:r>
      <w:r>
        <w:rPr>
          <w:rFonts w:eastAsia="Times New Roman"/>
          <w:b/>
          <w:sz w:val="28"/>
          <w:szCs w:val="28"/>
          <w:lang w:eastAsia="ru-RU"/>
        </w:rPr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jc w:val="both"/>
        <w:spacing w:after="16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а</w:t>
      </w:r>
      <w:r>
        <w:rPr>
          <w:rFonts w:eastAsia="Times New Roman"/>
          <w:sz w:val="28"/>
          <w:szCs w:val="28"/>
          <w:lang w:eastAsia="ru-RU"/>
        </w:rPr>
        <w:t xml:space="preserve">) товарную накладную, оформленную в установленном порядке;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jc w:val="both"/>
        <w:spacing w:after="16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б</w:t>
      </w:r>
      <w:r>
        <w:rPr>
          <w:rFonts w:eastAsia="Times New Roman"/>
          <w:sz w:val="28"/>
          <w:szCs w:val="28"/>
          <w:lang w:eastAsia="ru-RU"/>
        </w:rPr>
        <w:t xml:space="preserve">) копию документа, подтверждающего соответствие Товара, выданного уполномоч</w:t>
      </w:r>
      <w:r>
        <w:rPr>
          <w:rFonts w:eastAsia="Times New Roman"/>
          <w:sz w:val="28"/>
          <w:szCs w:val="28"/>
          <w:lang w:eastAsia="ru-RU"/>
        </w:rPr>
        <w:t xml:space="preserve">енными органами (организациями).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jc w:val="both"/>
        <w:spacing w:after="160" w:line="24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7. </w:t>
      </w:r>
      <w:r>
        <w:rPr>
          <w:rFonts w:eastAsia="Times New Roman"/>
          <w:b/>
          <w:sz w:val="28"/>
          <w:szCs w:val="28"/>
          <w:lang w:eastAsia="ru-RU"/>
        </w:rPr>
        <w:t xml:space="preserve">Гарантийные обязательства</w:t>
      </w:r>
      <w:r>
        <w:rPr>
          <w:rFonts w:eastAsia="Times New Roman"/>
          <w:b/>
          <w:sz w:val="28"/>
          <w:szCs w:val="28"/>
          <w:lang w:eastAsia="ru-RU"/>
        </w:rPr>
      </w:r>
      <w:r>
        <w:rPr>
          <w:rFonts w:eastAsia="Times New Roman"/>
          <w:b/>
          <w:sz w:val="28"/>
          <w:szCs w:val="28"/>
          <w:lang w:eastAsia="ru-RU"/>
        </w:rPr>
      </w:r>
    </w:p>
    <w:p>
      <w:pPr>
        <w:jc w:val="both"/>
        <w:spacing w:after="16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Поставщик</w:t>
      </w:r>
      <w:r>
        <w:rPr>
          <w:rFonts w:eastAsia="Times New Roman"/>
          <w:sz w:val="28"/>
          <w:szCs w:val="28"/>
          <w:lang w:eastAsia="ru-RU"/>
        </w:rPr>
        <w:t xml:space="preserve"> предоставляет гарантию на</w:t>
      </w:r>
      <w:r>
        <w:rPr>
          <w:rFonts w:eastAsia="Times New Roman"/>
          <w:sz w:val="28"/>
          <w:szCs w:val="28"/>
          <w:lang w:eastAsia="ru-RU"/>
        </w:rPr>
        <w:t xml:space="preserve"> поставляемый товар в течение </w:t>
      </w:r>
      <w:r>
        <w:rPr>
          <w:rFonts w:eastAsia="Times New Roman"/>
          <w:sz w:val="28"/>
          <w:szCs w:val="28"/>
          <w:lang w:eastAsia="ru-RU"/>
        </w:rPr>
        <w:br/>
        <w:t xml:space="preserve">6</w:t>
      </w:r>
      <w:r>
        <w:rPr>
          <w:rFonts w:eastAsia="Times New Roman"/>
          <w:sz w:val="28"/>
          <w:szCs w:val="28"/>
          <w:lang w:eastAsia="ru-RU"/>
        </w:rPr>
        <w:t xml:space="preserve"> (</w:t>
      </w:r>
      <w:r>
        <w:rPr>
          <w:rFonts w:eastAsia="Times New Roman"/>
          <w:sz w:val="28"/>
          <w:szCs w:val="28"/>
          <w:lang w:eastAsia="ru-RU"/>
        </w:rPr>
        <w:t xml:space="preserve">шести</w:t>
      </w:r>
      <w:r>
        <w:rPr>
          <w:rFonts w:eastAsia="Times New Roman"/>
          <w:sz w:val="28"/>
          <w:szCs w:val="28"/>
          <w:lang w:eastAsia="ru-RU"/>
        </w:rPr>
        <w:t xml:space="preserve">) месяцев со дня поставки товара Заказчику.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jc w:val="both"/>
        <w:spacing w:after="16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Если в период гарантийного срока обнаружатся недостатки или дефекты, произошедшие не по вине Заказчика, то </w:t>
      </w:r>
      <w:r>
        <w:rPr>
          <w:rFonts w:eastAsia="Times New Roman"/>
          <w:sz w:val="28"/>
          <w:szCs w:val="28"/>
          <w:lang w:eastAsia="ru-RU"/>
        </w:rPr>
        <w:t xml:space="preserve">Поставщик</w:t>
      </w:r>
      <w:r>
        <w:rPr>
          <w:rFonts w:eastAsia="Times New Roman"/>
          <w:sz w:val="28"/>
          <w:szCs w:val="28"/>
          <w:lang w:eastAsia="ru-RU"/>
        </w:rPr>
        <w:t xml:space="preserve"> обязан устранить их за свой счет в сроки, согласованные с Заказчиком. Гарантийный срок в этом случае продлевается на период устранения недостатков.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rPr>
          <w:i/>
          <w:color w:val="000000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</w:rPr>
        <w:t xml:space="preserve">Электронная </w:t>
      </w:r>
      <w:r>
        <w:rPr>
          <w:rFonts w:eastAsia="Times New Roman"/>
          <w:b/>
          <w:sz w:val="28"/>
          <w:szCs w:val="28"/>
        </w:rPr>
        <w:t xml:space="preserve">версия контракта действует до </w:t>
      </w:r>
      <w:r>
        <w:rPr>
          <w:rFonts w:eastAsia="Times New Roman"/>
          <w:b/>
          <w:sz w:val="28"/>
          <w:szCs w:val="28"/>
        </w:rPr>
        <w:t xml:space="preserve">30</w:t>
      </w:r>
      <w:r>
        <w:rPr>
          <w:rFonts w:eastAsia="Times New Roman"/>
          <w:b/>
          <w:sz w:val="28"/>
          <w:szCs w:val="28"/>
        </w:rPr>
        <w:t xml:space="preserve">.09</w:t>
      </w:r>
      <w:r>
        <w:rPr>
          <w:rFonts w:eastAsia="Times New Roman"/>
          <w:b/>
          <w:sz w:val="28"/>
          <w:szCs w:val="28"/>
        </w:rPr>
        <w:t xml:space="preserve">.2026</w:t>
      </w:r>
      <w:r>
        <w:rPr>
          <w:rFonts w:eastAsia="Times New Roman"/>
          <w:b/>
          <w:sz w:val="28"/>
          <w:szCs w:val="28"/>
        </w:rPr>
        <w:t xml:space="preserve"> г.</w:t>
      </w:r>
      <w:r>
        <w:rPr>
          <w:i/>
          <w:color w:val="000000"/>
          <w:sz w:val="28"/>
          <w:szCs w:val="28"/>
          <w:lang w:eastAsia="ru-RU"/>
        </w:rPr>
        <w:br w:type="page" w:clear="all"/>
      </w:r>
      <w:r>
        <w:rPr>
          <w:i/>
          <w:color w:val="000000"/>
          <w:sz w:val="28"/>
          <w:szCs w:val="28"/>
          <w:lang w:eastAsia="ru-RU"/>
        </w:rPr>
      </w:r>
      <w:r>
        <w:rPr>
          <w:i/>
          <w:color w:val="000000"/>
          <w:sz w:val="28"/>
          <w:szCs w:val="28"/>
          <w:lang w:eastAsia="ru-RU"/>
        </w:rPr>
      </w:r>
    </w:p>
    <w:p>
      <w:pPr>
        <w:jc w:val="right"/>
        <w:spacing w:after="0"/>
        <w:tabs>
          <w:tab w:val="left" w:pos="4763" w:leader="none"/>
        </w:tabs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Приложение 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jc w:val="right"/>
        <w:spacing w:after="0"/>
        <w:tabs>
          <w:tab w:val="left" w:pos="4763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Техническому заданию 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tabs>
          <w:tab w:val="left" w:pos="396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Спецификация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tabs>
          <w:tab w:val="left" w:pos="396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865"/>
        <w:tblW w:w="0" w:type="auto"/>
        <w:tblInd w:w="-176" w:type="dxa"/>
        <w:tblLook w:val="04A0" w:firstRow="1" w:lastRow="0" w:firstColumn="1" w:lastColumn="0" w:noHBand="0" w:noVBand="1"/>
      </w:tblPr>
      <w:tblGrid>
        <w:gridCol w:w="500"/>
        <w:gridCol w:w="2684"/>
        <w:gridCol w:w="1436"/>
        <w:gridCol w:w="1407"/>
        <w:gridCol w:w="1511"/>
        <w:gridCol w:w="1983"/>
      </w:tblGrid>
      <w:tr>
        <w:tblPrEx/>
        <w:trPr/>
        <w:tc>
          <w:tcPr>
            <w:tcW w:w="500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2684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436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Ед. </w:t>
            </w:r>
            <w:r>
              <w:rPr>
                <w:b/>
                <w:sz w:val="28"/>
                <w:szCs w:val="28"/>
              </w:rPr>
              <w:t xml:space="preserve">изм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407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Кол-во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511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Цена</w:t>
            </w:r>
            <w:r>
              <w:rPr>
                <w:b/>
                <w:sz w:val="28"/>
                <w:szCs w:val="28"/>
              </w:rPr>
              <w:t xml:space="preserve">*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983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Цена общая</w:t>
            </w:r>
            <w:r>
              <w:rPr>
                <w:b/>
                <w:sz w:val="28"/>
                <w:szCs w:val="28"/>
              </w:rPr>
              <w:t xml:space="preserve">*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500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84" w:type="dxa"/>
            <w:textDirection w:val="lrTb"/>
            <w:noWrap w:val="false"/>
          </w:tcPr>
          <w:p>
            <w:pPr>
              <w:rPr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Папка на подпись </w:t>
            </w:r>
            <w:r>
              <w:rPr>
                <w:i/>
                <w:color w:val="000000"/>
                <w:sz w:val="28"/>
                <w:szCs w:val="28"/>
                <w:lang w:eastAsia="ru-RU"/>
              </w:rPr>
            </w:r>
            <w:r>
              <w:rPr>
                <w:i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1436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штука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07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1 400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11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  <w:t xml:space="preserve">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3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445 200,00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500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684" w:type="dxa"/>
            <w:textDirection w:val="lrTb"/>
            <w:noWrap w:val="false"/>
          </w:tcPr>
          <w:p>
            <w:pPr>
              <w:pStyle w:val="860"/>
              <w:rPr>
                <w:b w:val="0"/>
                <w:sz w:val="28"/>
                <w:szCs w:val="28"/>
              </w:rPr>
              <w:outlineLvl w:val="0"/>
            </w:pP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  <w:r>
              <w:rPr>
                <w:b w:val="0"/>
                <w:sz w:val="28"/>
                <w:szCs w:val="28"/>
              </w:rPr>
            </w:r>
          </w:p>
        </w:tc>
        <w:tc>
          <w:tcPr>
            <w:tcW w:w="1436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407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511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ИТОГО: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W w:w="1983" w:type="dxa"/>
            <w:textDirection w:val="lrTb"/>
            <w:noWrap w:val="false"/>
          </w:tcPr>
          <w:p>
            <w:pPr>
              <w:tabs>
                <w:tab w:val="left" w:pos="396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445 2</w:t>
            </w:r>
            <w:r>
              <w:rPr>
                <w:sz w:val="28"/>
                <w:szCs w:val="28"/>
              </w:rPr>
              <w:t xml:space="preserve">00,00</w:t>
            </w:r>
            <w:bookmarkStart w:id="0" w:name="_GoBack"/>
            <w:r/>
            <w:bookmarkEnd w:id="0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*Валюта рубль Российской Федерации.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**Указанное значение цены будет снижено </w:t>
      </w:r>
      <w:r>
        <w:rPr>
          <w:sz w:val="28"/>
          <w:szCs w:val="28"/>
        </w:rPr>
        <w:t xml:space="preserve">пропорционально поданному ценовому предложению участника закупочной сессии, с которым заключается контракт при этом, в случае если при делении на коэффициент снижения образуется более двух значений после запятой, то округление происходит в меньшую сторону.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54" w:lineRule="auto"/>
        <w:rPr>
          <w:sz w:val="28"/>
          <w:szCs w:val="28"/>
        </w:rPr>
      </w:pPr>
      <w:r>
        <w:rPr>
          <w:sz w:val="28"/>
          <w:szCs w:val="28"/>
        </w:rPr>
        <w:t xml:space="preserve">Итоговая стоимость является твердой и определяется на весь срок исполнения обязательств сторон.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right"/>
        <w:spacing w:after="0"/>
        <w:tabs>
          <w:tab w:val="left" w:pos="4763" w:leader="none"/>
        </w:tabs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Приложение </w:t>
      </w:r>
      <w:r>
        <w:rPr>
          <w:rFonts w:eastAsia="Times New Roman"/>
          <w:sz w:val="28"/>
          <w:szCs w:val="28"/>
          <w:lang w:eastAsia="ru-RU"/>
        </w:rPr>
      </w:r>
      <w:r>
        <w:rPr>
          <w:rFonts w:eastAsia="Times New Roman"/>
          <w:sz w:val="28"/>
          <w:szCs w:val="28"/>
          <w:lang w:eastAsia="ru-RU"/>
        </w:rPr>
      </w:r>
    </w:p>
    <w:p>
      <w:pPr>
        <w:jc w:val="right"/>
        <w:spacing w:after="0"/>
        <w:tabs>
          <w:tab w:val="left" w:pos="4763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Техническому заданию №2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Образец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keepNext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62818" cy="3747240"/>
                <wp:effectExtent l="0" t="0" r="0" b="5715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8839 (2)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480510" cy="3762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51.40pt;height:295.06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fldChar w:fldCharType="end"/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keepNext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62818" cy="3478889"/>
                <wp:effectExtent l="0" t="0" r="0" b="762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8838 (2)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486957" cy="3497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51.40pt;height:273.93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center"/>
        <w:rPr>
          <w:i w:val="0"/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fldChar w:fldCharType="end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keepNext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360680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884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293071" cy="3604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17.00pt;height:284.00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keepNext/>
        <w:rPr>
          <w:sz w:val="28"/>
          <w:szCs w:val="28"/>
        </w:rPr>
      </w:pPr>
      <w:r>
        <w:rPr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64857" cy="3644900"/>
                <wp:effectExtent l="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884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267325" cy="36466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14.56pt;height:287.0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rPr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keepNext/>
        <w:rPr>
          <w:sz w:val="28"/>
          <w:szCs w:val="28"/>
        </w:rPr>
      </w:pPr>
      <w:r>
        <w:rPr>
          <w:i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237740" cy="3178190"/>
                <wp:effectExtent l="0" t="0" r="0" b="317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884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238743" cy="31789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33.68pt;height:250.25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4"/>
        <w:jc w:val="center"/>
        <w:rPr>
          <w:i w:val="0"/>
          <w:sz w:val="28"/>
          <w:szCs w:val="28"/>
        </w:rPr>
      </w:pPr>
      <w:r>
        <w:rPr>
          <w:sz w:val="28"/>
          <w:szCs w:val="28"/>
        </w:rPr>
        <w:t xml:space="preserve">Рисунок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SEQ Рисунок \* ARABIC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fldChar w:fldCharType="end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2737221"/>
      <w:docPartObj>
        <w:docPartGallery w:val="Page Numbers (Bottom of Page)"/>
        <w:docPartUnique w:val="true"/>
      </w:docPartObj>
      <w:rPr/>
    </w:sdtPr>
    <w:sdtContent>
      <w:p>
        <w:pPr>
          <w:pStyle w:val="87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87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4"/>
        <w:szCs w:val="24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9">
    <w:name w:val="Heading 1 Char"/>
    <w:basedOn w:val="862"/>
    <w:link w:val="86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0">
    <w:name w:val="Heading 2"/>
    <w:basedOn w:val="859"/>
    <w:next w:val="859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1">
    <w:name w:val="Heading 2 Char"/>
    <w:basedOn w:val="862"/>
    <w:link w:val="690"/>
    <w:uiPriority w:val="9"/>
    <w:rPr>
      <w:rFonts w:ascii="Liberation Sans" w:hAnsi="Liberation Sans" w:eastAsia="Liberation Sans" w:cs="Liberation Sans"/>
      <w:sz w:val="34"/>
    </w:rPr>
  </w:style>
  <w:style w:type="character" w:styleId="692">
    <w:name w:val="Heading 3 Char"/>
    <w:basedOn w:val="862"/>
    <w:link w:val="8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59"/>
    <w:next w:val="859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basedOn w:val="862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basedOn w:val="862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basedOn w:val="862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59"/>
    <w:next w:val="859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basedOn w:val="862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59"/>
    <w:next w:val="859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basedOn w:val="862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59"/>
    <w:next w:val="859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basedOn w:val="862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59"/>
    <w:next w:val="859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2"/>
    <w:link w:val="706"/>
    <w:uiPriority w:val="10"/>
    <w:rPr>
      <w:sz w:val="48"/>
      <w:szCs w:val="48"/>
    </w:rPr>
  </w:style>
  <w:style w:type="paragraph" w:styleId="708">
    <w:name w:val="Subtitle"/>
    <w:basedOn w:val="859"/>
    <w:next w:val="859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2"/>
    <w:link w:val="708"/>
    <w:uiPriority w:val="11"/>
    <w:rPr>
      <w:sz w:val="24"/>
      <w:szCs w:val="24"/>
    </w:rPr>
  </w:style>
  <w:style w:type="paragraph" w:styleId="710">
    <w:name w:val="Quote"/>
    <w:basedOn w:val="859"/>
    <w:next w:val="859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9"/>
    <w:next w:val="859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62"/>
    <w:link w:val="870"/>
    <w:uiPriority w:val="99"/>
  </w:style>
  <w:style w:type="character" w:styleId="715">
    <w:name w:val="Footer Char"/>
    <w:basedOn w:val="862"/>
    <w:link w:val="872"/>
    <w:uiPriority w:val="99"/>
  </w:style>
  <w:style w:type="character" w:styleId="716">
    <w:name w:val="Caption Char"/>
    <w:basedOn w:val="862"/>
    <w:link w:val="874"/>
    <w:uiPriority w:val="35"/>
    <w:rPr>
      <w:b/>
      <w:bCs/>
      <w:color w:val="4f81bd" w:themeColor="accent1"/>
      <w:sz w:val="18"/>
      <w:szCs w:val="18"/>
    </w:rPr>
  </w:style>
  <w:style w:type="table" w:styleId="717">
    <w:name w:val="Table Grid Light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9">
    <w:name w:val="Plain Table 2"/>
    <w:basedOn w:val="8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0">
    <w:name w:val="Plain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basedOn w:val="8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9">
    <w:name w:val="Grid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0">
    <w:name w:val="Grid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1">
    <w:name w:val="Grid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2">
    <w:name w:val="Grid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3">
    <w:name w:val="Grid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4">
    <w:name w:val="Grid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5">
    <w:name w:val="Grid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6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5">
    <w:name w:val="List Table 7 Colorful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6">
    <w:name w:val="List Table 7 Colorful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7">
    <w:name w:val="List Table 7 Colorful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8">
    <w:name w:val="List Table 7 Colorful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9">
    <w:name w:val="List Table 7 Colorful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0">
    <w:name w:val="List Table 7 Colorful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1">
    <w:name w:val="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 &amp; Lined - Accent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Bordered &amp; Lined - Accent 2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Bordered &amp; Lined - Accent 3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Bordered &amp; Lined - Accent 4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Bordered &amp; Lined - Accent 5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Bordered &amp; Lined - Accent 6"/>
    <w:basedOn w:val="8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basedOn w:val="8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basedOn w:val="862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2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</w:style>
  <w:style w:type="paragraph" w:styleId="860">
    <w:name w:val="Heading 1"/>
    <w:basedOn w:val="859"/>
    <w:link w:val="869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sz w:val="48"/>
      <w:szCs w:val="48"/>
      <w:lang w:eastAsia="ru-RU"/>
    </w:rPr>
  </w:style>
  <w:style w:type="paragraph" w:styleId="861">
    <w:name w:val="Heading 3"/>
    <w:basedOn w:val="859"/>
    <w:next w:val="859"/>
    <w:link w:val="876"/>
    <w:uiPriority w:val="9"/>
    <w:semiHidden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62" w:default="1">
    <w:name w:val="Default Paragraph Font"/>
    <w:uiPriority w:val="1"/>
    <w:semiHidden/>
    <w:unhideWhenUsed/>
  </w:style>
  <w:style w:type="table" w:styleId="8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4" w:default="1">
    <w:name w:val="No List"/>
    <w:uiPriority w:val="99"/>
    <w:semiHidden/>
    <w:unhideWhenUsed/>
  </w:style>
  <w:style w:type="table" w:styleId="865">
    <w:name w:val="Table Grid"/>
    <w:basedOn w:val="86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6">
    <w:name w:val="List Paragraph"/>
    <w:basedOn w:val="859"/>
    <w:uiPriority w:val="34"/>
    <w:qFormat/>
    <w:pPr>
      <w:contextualSpacing/>
      <w:ind w:left="720"/>
    </w:pPr>
  </w:style>
  <w:style w:type="paragraph" w:styleId="867">
    <w:name w:val="Balloon Text"/>
    <w:basedOn w:val="859"/>
    <w:link w:val="86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8" w:customStyle="1">
    <w:name w:val="Текст выноски Знак"/>
    <w:basedOn w:val="862"/>
    <w:link w:val="867"/>
    <w:uiPriority w:val="99"/>
    <w:semiHidden/>
    <w:rPr>
      <w:rFonts w:ascii="Tahoma" w:hAnsi="Tahoma" w:cs="Tahoma"/>
      <w:sz w:val="16"/>
      <w:szCs w:val="16"/>
    </w:rPr>
  </w:style>
  <w:style w:type="character" w:styleId="869" w:customStyle="1">
    <w:name w:val="Заголовок 1 Знак"/>
    <w:basedOn w:val="862"/>
    <w:link w:val="860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paragraph" w:styleId="870">
    <w:name w:val="Header"/>
    <w:basedOn w:val="859"/>
    <w:link w:val="87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1" w:customStyle="1">
    <w:name w:val="Верхний колонтитул Знак"/>
    <w:basedOn w:val="862"/>
    <w:link w:val="870"/>
    <w:uiPriority w:val="99"/>
  </w:style>
  <w:style w:type="paragraph" w:styleId="872">
    <w:name w:val="Footer"/>
    <w:basedOn w:val="859"/>
    <w:link w:val="87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3" w:customStyle="1">
    <w:name w:val="Нижний колонтитул Знак"/>
    <w:basedOn w:val="862"/>
    <w:link w:val="872"/>
    <w:uiPriority w:val="99"/>
  </w:style>
  <w:style w:type="paragraph" w:styleId="874">
    <w:name w:val="Caption"/>
    <w:basedOn w:val="859"/>
    <w:next w:val="859"/>
    <w:link w:val="716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875" w:customStyle="1">
    <w:name w:val="text-green1"/>
    <w:basedOn w:val="862"/>
    <w:rPr>
      <w:color w:val="00ae76"/>
    </w:rPr>
  </w:style>
  <w:style w:type="character" w:styleId="876" w:customStyle="1">
    <w:name w:val="Заголовок 3 Знак"/>
    <w:basedOn w:val="862"/>
    <w:link w:val="861"/>
    <w:uiPriority w:val="9"/>
    <w:semiHidden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77">
    <w:name w:val="Hyperlink"/>
    <w:basedOn w:val="862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abraun.ru/manufacturers/gruppo-cordenons/" TargetMode="Externa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jpg"/><Relationship Id="rId15" Type="http://schemas.openxmlformats.org/officeDocument/2006/relationships/image" Target="media/image4.jpg"/><Relationship Id="rId16" Type="http://schemas.openxmlformats.org/officeDocument/2006/relationships/image" Target="media/image5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58B59-C85A-462E-BF05-D1E21DA3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Анна Олеговна</dc:creator>
  <cp:lastModifiedBy>vo-603@JSRK.RU</cp:lastModifiedBy>
  <cp:revision>36</cp:revision>
  <dcterms:created xsi:type="dcterms:W3CDTF">2024-07-10T10:31:00Z</dcterms:created>
  <dcterms:modified xsi:type="dcterms:W3CDTF">2026-08-14T11:01:14Z</dcterms:modified>
</cp:coreProperties>
</file>