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00"/>
        <w:ind w:left="-567" w:firstLine="425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cs="Times New Roman"/>
          <w:b/>
          <w:bCs/>
          <w:color w:val="auto"/>
        </w:rPr>
        <w:t xml:space="preserve">Техническое задание </w:t>
      </w:r>
      <w:r>
        <w:rPr>
          <w:rFonts w:ascii="Times New Roman" w:hAnsi="Times New Roman" w:cs="Times New Roman"/>
          <w:b/>
          <w:bCs/>
          <w:color w:val="auto"/>
        </w:rPr>
      </w:r>
      <w:r>
        <w:rPr>
          <w:rFonts w:ascii="Times New Roman" w:hAnsi="Times New Roman" w:cs="Times New Roman"/>
          <w:b/>
          <w:bCs/>
          <w:color w:val="auto"/>
        </w:rPr>
      </w:r>
    </w:p>
    <w:p>
      <w:pPr>
        <w:pStyle w:val="700"/>
        <w:ind w:left="0" w:right="0" w:firstLine="425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cs="Times New Roman"/>
          <w:b/>
          <w:bCs/>
          <w:color w:val="auto"/>
        </w:rPr>
      </w:r>
      <w:r>
        <w:rPr>
          <w:rFonts w:ascii="Times New Roman" w:hAnsi="Times New Roman" w:cs="Times New Roman"/>
          <w:b/>
          <w:bCs/>
          <w:color w:val="auto"/>
        </w:rPr>
      </w:r>
      <w:r>
        <w:rPr>
          <w:rFonts w:ascii="Times New Roman" w:hAnsi="Times New Roman" w:cs="Times New Roman"/>
          <w:b/>
          <w:bCs/>
          <w:color w:val="auto"/>
        </w:rPr>
      </w:r>
    </w:p>
    <w:p>
      <w:pPr>
        <w:pStyle w:val="700"/>
        <w:ind w:left="0" w:right="0" w:firstLine="425"/>
        <w:jc w:val="center"/>
        <w:rPr>
          <w:rFonts w:ascii="Times New Roman" w:hAnsi="Times New Roman" w:cs="Times New Roman"/>
          <w:bCs/>
          <w:color w:val="auto"/>
        </w:rPr>
      </w:pPr>
      <w:r>
        <w:rPr>
          <w:rFonts w:eastAsia="Calibri" w:cs="Times New Roman"/>
          <w:bCs/>
          <w:color w:val="auto"/>
          <w:lang w:eastAsia="en-US"/>
        </w:rPr>
        <w:t xml:space="preserve">Оказание </w:t>
      </w:r>
      <w:r>
        <w:rPr>
          <w:rFonts w:eastAsia="Times New Roman" w:cs="Times New Roman"/>
          <w:color w:val="auto"/>
          <w:lang w:bidi="ar-SA"/>
        </w:rPr>
        <w:t xml:space="preserve">услуг по проведению экспертизы, оценки технического состояния основных средств, выдача экспертных заключений для списания объектов основных средств </w:t>
      </w:r>
      <w:r>
        <w:rPr>
          <w:rFonts w:ascii="Times New Roman" w:hAnsi="Times New Roman" w:cs="Times New Roman"/>
          <w:bCs/>
          <w:color w:val="auto"/>
        </w:rPr>
      </w:r>
      <w:r>
        <w:rPr>
          <w:rFonts w:ascii="Times New Roman" w:hAnsi="Times New Roman" w:cs="Times New Roman"/>
          <w:bCs/>
          <w:color w:val="auto"/>
        </w:rPr>
      </w:r>
    </w:p>
    <w:p>
      <w:pPr>
        <w:pStyle w:val="700"/>
        <w:numPr>
          <w:ilvl w:val="0"/>
          <w:numId w:val="0"/>
        </w:numPr>
        <w:ind w:left="0" w:right="0" w:firstLine="425"/>
        <w:jc w:val="center"/>
        <w:rPr>
          <w:rFonts w:ascii="Times New Roman" w:hAnsi="Times New Roman" w:cs="Times New Roman"/>
          <w:shd w:val="clear" w:color="auto" w:fill="f1f1f1"/>
        </w:rPr>
        <w:outlineLvl w:val="1"/>
      </w:pPr>
      <w:r>
        <w:rPr>
          <w:rFonts w:cs="Times New Roman"/>
          <w:shd w:val="clear" w:color="auto" w:fill="f1f1f1"/>
        </w:rPr>
      </w:r>
      <w:r>
        <w:rPr>
          <w:rFonts w:ascii="Times New Roman" w:hAnsi="Times New Roman" w:cs="Times New Roman"/>
          <w:shd w:val="clear" w:color="auto" w:fill="f1f1f1"/>
        </w:rPr>
      </w:r>
      <w:r>
        <w:rPr>
          <w:rFonts w:ascii="Times New Roman" w:hAnsi="Times New Roman" w:cs="Times New Roman"/>
          <w:shd w:val="clear" w:color="auto" w:fill="f1f1f1"/>
        </w:rPr>
      </w:r>
    </w:p>
    <w:p>
      <w:pPr>
        <w:pStyle w:val="788"/>
        <w:ind w:left="0" w:right="0"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Предмет контракта, начальная (максимальная) цена контракта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700"/>
        <w:ind w:left="0" w:right="0" w:firstLine="425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cs="Times New Roman"/>
          <w:b/>
          <w:bCs/>
          <w:color w:val="auto"/>
        </w:rPr>
      </w:r>
      <w:r>
        <w:rPr>
          <w:rFonts w:ascii="Times New Roman" w:hAnsi="Times New Roman" w:cs="Times New Roman"/>
          <w:b/>
          <w:bCs/>
          <w:color w:val="auto"/>
        </w:rPr>
      </w:r>
      <w:r>
        <w:rPr>
          <w:rFonts w:ascii="Times New Roman" w:hAnsi="Times New Roman" w:cs="Times New Roman"/>
          <w:b/>
          <w:bCs/>
          <w:color w:val="auto"/>
        </w:rPr>
      </w:r>
    </w:p>
    <w:p>
      <w:pPr>
        <w:pStyle w:val="772"/>
        <w:ind w:left="0" w:right="0" w:firstLine="425"/>
        <w:jc w:val="both"/>
        <w:widowControl/>
        <w:rPr>
          <w:rFonts w:ascii="Times New Roman" w:hAnsi="Times New Roman" w:cs="Times New Roman"/>
          <w:iCs/>
        </w:rPr>
      </w:pPr>
      <w:r>
        <w:rPr>
          <w:rFonts w:eastAsia="Calibri" w:cs="Times New Roman"/>
          <w:bCs/>
          <w:lang w:eastAsia="en-US"/>
        </w:rPr>
        <w:t xml:space="preserve">1</w:t>
      </w:r>
      <w:r>
        <w:rPr>
          <w:rFonts w:eastAsia="Calibri" w:cs="Times New Roman"/>
          <w:bCs/>
          <w:color w:val="auto"/>
          <w:lang w:eastAsia="en-US"/>
        </w:rPr>
        <w:t xml:space="preserve">.1. Наименование объекта закупки: Оказание </w:t>
      </w:r>
      <w:r>
        <w:rPr>
          <w:rFonts w:eastAsia="Times New Roman" w:cs="Times New Roman"/>
          <w:color w:val="auto"/>
          <w:lang w:bidi="ar-SA"/>
        </w:rPr>
        <w:t xml:space="preserve">услуг по проведению экспертизы, оценки технического состояния основных средств, выдача экспертных заключений для списания объектов основных средств</w:t>
      </w:r>
      <w:r>
        <w:rPr>
          <w:rFonts w:cs="Times New Roman"/>
          <w:iCs/>
        </w:rPr>
        <w:t xml:space="preserve">.</w:t>
      </w:r>
      <w:r>
        <w:rPr>
          <w:rFonts w:ascii="Times New Roman" w:hAnsi="Times New Roman" w:cs="Times New Roman"/>
          <w:iCs/>
        </w:rPr>
      </w:r>
      <w:r>
        <w:rPr>
          <w:rFonts w:ascii="Times New Roman" w:hAnsi="Times New Roman" w:cs="Times New Roman"/>
          <w:iCs/>
        </w:rPr>
      </w:r>
    </w:p>
    <w:p>
      <w:pPr>
        <w:pStyle w:val="772"/>
        <w:ind w:left="0" w:right="0" w:firstLine="425"/>
        <w:jc w:val="both"/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 xml:space="preserve">1.2. Код (коды) по Общероссийскому классификатору продукции по (ОКПД2), соответствующий (-ие) предмету закупки:</w:t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pStyle w:val="700"/>
        <w:ind w:left="0" w:right="0" w:firstLine="425"/>
        <w:jc w:val="both"/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tbl>
      <w:tblPr>
        <w:tblStyle w:val="922"/>
        <w:tblW w:w="9963" w:type="dxa"/>
        <w:tblInd w:w="-1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9"/>
        <w:gridCol w:w="3259"/>
        <w:gridCol w:w="2126"/>
        <w:gridCol w:w="3868"/>
      </w:tblGrid>
      <w:tr>
        <w:tblPrEx/>
        <w:trPr/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0"/>
              <w:jc w:val="left"/>
              <w:spacing w:before="0" w:after="0"/>
              <w:widowControl w:val="off"/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pPr>
            <w:r>
              <w:rPr>
                <w:rFonts w:eastAsia="Times New Roman" w:cs="Times New Roman"/>
                <w:b/>
                <w:color w:val="auto"/>
                <w:lang w:val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color w:val="auto"/>
                <w:lang w:val="ru-RU" w:bidi="ar-SA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r>
          </w:p>
        </w:tc>
        <w:tc>
          <w:tcPr>
            <w:tcW w:w="3259" w:type="dxa"/>
            <w:vAlign w:val="center"/>
            <w:textDirection w:val="lrTb"/>
            <w:noWrap w:val="false"/>
          </w:tcPr>
          <w:p>
            <w:pPr>
              <w:pStyle w:val="700"/>
              <w:ind w:firstLine="284"/>
              <w:jc w:val="center"/>
              <w:spacing w:before="0" w:after="0"/>
              <w:widowControl w:val="off"/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pPr>
            <w:r>
              <w:rPr>
                <w:rFonts w:eastAsia="Times New Roman" w:cs="Times New Roman"/>
                <w:b/>
                <w:color w:val="auto"/>
                <w:lang w:val="ru-RU" w:bidi="ar-SA"/>
              </w:rPr>
              <w:t xml:space="preserve">Наименование позиции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700"/>
              <w:ind w:firstLine="284"/>
              <w:jc w:val="left"/>
              <w:spacing w:before="0" w:after="0"/>
              <w:widowControl w:val="off"/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pPr>
            <w:r>
              <w:rPr>
                <w:rFonts w:eastAsia="Times New Roman" w:cs="Times New Roman"/>
                <w:b/>
                <w:color w:val="auto"/>
                <w:lang w:val="ru-RU" w:bidi="ar-SA"/>
              </w:rPr>
              <w:t xml:space="preserve">Код ОКПД2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r>
          </w:p>
        </w:tc>
        <w:tc>
          <w:tcPr>
            <w:tcW w:w="3868" w:type="dxa"/>
            <w:vAlign w:val="center"/>
            <w:textDirection w:val="lrTb"/>
            <w:noWrap w:val="false"/>
          </w:tcPr>
          <w:p>
            <w:pPr>
              <w:pStyle w:val="700"/>
              <w:ind w:firstLine="284"/>
              <w:jc w:val="center"/>
              <w:spacing w:before="0" w:after="0"/>
              <w:widowControl w:val="off"/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pPr>
            <w:r>
              <w:rPr>
                <w:rFonts w:eastAsia="Times New Roman" w:cs="Times New Roman"/>
                <w:b/>
                <w:color w:val="auto"/>
                <w:lang w:val="ru-RU" w:bidi="ar-SA"/>
              </w:rPr>
              <w:t xml:space="preserve">Наименование ОКПД2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r>
          </w:p>
        </w:tc>
      </w:tr>
      <w:tr>
        <w:tblPrEx/>
        <w:trPr/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700"/>
              <w:numPr>
                <w:ilvl w:val="0"/>
                <w:numId w:val="1"/>
              </w:numPr>
              <w:ind w:left="0" w:right="0" w:firstLine="425"/>
              <w:jc w:val="center"/>
              <w:spacing w:before="0" w:after="0"/>
              <w:widowControl w:val="off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/>
                <w:color w:val="auto"/>
                <w:lang w:val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</w:p>
        </w:tc>
        <w:tc>
          <w:tcPr>
            <w:tcW w:w="3259" w:type="dxa"/>
            <w:vAlign w:val="center"/>
            <w:textDirection w:val="lrTb"/>
            <w:noWrap w:val="false"/>
          </w:tcPr>
          <w:p>
            <w:pPr>
              <w:pStyle w:val="700"/>
              <w:ind w:left="0" w:right="0" w:firstLine="425"/>
              <w:jc w:val="center"/>
              <w:spacing w:before="0" w:after="0"/>
              <w:widowControl w:val="off"/>
              <w:rPr>
                <w:rFonts w:ascii="Times New Roman" w:hAnsi="Times New Roman"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val="ru-RU" w:bidi="ar-SA"/>
              </w:rPr>
              <w:t xml:space="preserve">Оказание услуг по проведению экспертизы, оценки технического состояния основных средств, выдача экспертных заключений для списания объектов основных средств</w:t>
            </w:r>
            <w:r>
              <w:rPr>
                <w:rFonts w:ascii="Times New Roman" w:hAnsi="Times New Roman" w:eastAsia="Times New Roman" w:cs="Times New Roman"/>
                <w:lang w:bidi="ar-SA"/>
              </w:rPr>
            </w:r>
            <w:r>
              <w:rPr>
                <w:rFonts w:ascii="Times New Roman" w:hAnsi="Times New Roman" w:eastAsia="Times New Roman" w:cs="Times New Roman"/>
                <w:lang w:bidi="ar-SA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700"/>
              <w:ind w:left="0" w:right="0" w:firstLine="425"/>
              <w:jc w:val="left"/>
              <w:spacing w:before="0" w:after="0"/>
              <w:widowControl w:val="off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/>
                <w:color w:val="auto"/>
                <w:lang w:val="ru-RU" w:bidi="ar-SA"/>
              </w:rPr>
              <w:t xml:space="preserve">71.20.19.190</w:t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</w:p>
        </w:tc>
        <w:tc>
          <w:tcPr>
            <w:tcW w:w="3868" w:type="dxa"/>
            <w:vAlign w:val="center"/>
            <w:textDirection w:val="lrTb"/>
            <w:noWrap w:val="false"/>
          </w:tcPr>
          <w:p>
            <w:pPr>
              <w:pStyle w:val="700"/>
              <w:ind w:left="0" w:right="0" w:firstLine="425"/>
              <w:jc w:val="left"/>
              <w:spacing w:before="0" w:after="0"/>
              <w:widowControl w:val="off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/>
                <w:color w:val="auto"/>
                <w:lang w:val="ru-RU" w:bidi="ar-SA"/>
              </w:rPr>
              <w:t xml:space="preserve">Услуги по техническим испытаниям и анализу прочие, не включенные в другие группировки</w:t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</w:p>
        </w:tc>
      </w:tr>
    </w:tbl>
    <w:p>
      <w:pPr>
        <w:pStyle w:val="772"/>
        <w:ind w:left="0" w:right="0" w:firstLine="425"/>
        <w:jc w:val="center"/>
        <w:widowControl/>
        <w:rPr>
          <w:rFonts w:ascii="Times New Roman" w:hAnsi="Times New Roman" w:cs="Times New Roman"/>
          <w:b/>
          <w:bCs/>
        </w:rPr>
      </w:pPr>
      <w:r>
        <w:rPr>
          <w:rFonts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pStyle w:val="772"/>
        <w:ind w:left="0" w:right="0" w:firstLine="425"/>
        <w:widowControl/>
        <w:rPr>
          <w:rFonts w:ascii="Times New Roman" w:hAnsi="Times New Roman" w:cs="Times New Roman"/>
          <w:b/>
          <w:bCs/>
        </w:rPr>
      </w:pPr>
      <w:r>
        <w:rPr>
          <w:rFonts w:cs="Times New Roman"/>
          <w:b/>
          <w:bCs/>
        </w:rPr>
        <w:t xml:space="preserve">2. Условия оказания услуг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pStyle w:val="700"/>
        <w:ind w:left="0" w:right="0" w:firstLine="425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 xml:space="preserve">2.1. Место оказания услуг: по адресам Заказчика в соответствии с Приложением № 1 к Техническому заданию.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0"/>
        <w:ind w:left="0" w:right="0" w:firstLine="425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 xml:space="preserve">2.2. Срок оказания услуг: с даты заключения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0"/>
        <w:ind w:left="0" w:right="0" w:firstLine="425"/>
        <w:jc w:val="both"/>
        <w:rPr>
          <w:rFonts w:ascii="Times New Roman" w:hAnsi="Times New Roman" w:cs="Times New Roman"/>
          <w:highlight w:val="none"/>
        </w:rPr>
      </w:pPr>
      <w:r>
        <w:rPr>
          <w:rFonts w:cs="Times New Roman"/>
        </w:rPr>
        <w:t xml:space="preserve">Окончание оказания услуг: до 31.08.2026.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0" w:right="0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  <w:t xml:space="preserve">Срок действия контракта до 30.10.2026.</w:t>
      </w:r>
      <w:r>
        <w:rPr>
          <w:rFonts w:ascii="Times New Roman" w:hAnsi="Times New Roman" w:cs="Times New Roman"/>
          <w:highlight w:val="none"/>
        </w:rPr>
      </w:r>
    </w:p>
    <w:p>
      <w:pPr>
        <w:pStyle w:val="700"/>
        <w:ind w:left="0" w:right="0" w:firstLine="425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 xml:space="preserve">Исполнитель вправе оказать услуги досрочно, при этом Заказчик обязан принять оказанные услуги и оплатить их в соответствии с условиями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0"/>
        <w:ind w:left="0" w:right="0" w:firstLine="425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72"/>
        <w:numPr>
          <w:ilvl w:val="0"/>
          <w:numId w:val="3"/>
        </w:numPr>
        <w:ind w:left="0" w:right="0" w:firstLine="425"/>
        <w:jc w:val="both"/>
        <w:rPr>
          <w:rFonts w:ascii="Times New Roman" w:hAnsi="Times New Roman" w:cs="Times New Roman"/>
          <w:b/>
        </w:rPr>
      </w:pPr>
      <w:r>
        <w:rPr>
          <w:rFonts w:cs="Times New Roman"/>
          <w:b/>
        </w:rPr>
        <w:t xml:space="preserve">Требования к оказываемым услугам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700"/>
        <w:ind w:left="0" w:right="0" w:firstLine="425"/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pStyle w:val="700"/>
        <w:ind w:left="0" w:right="0" w:firstLine="425"/>
        <w:widowControl/>
        <w:rPr>
          <w:rFonts w:ascii="Times New Roman" w:hAnsi="Times New Roman" w:eastAsia="Times New Roman" w:cs="Times New Roman"/>
          <w:bCs/>
          <w:color w:val="auto"/>
          <w:lang w:bidi="ar-SA"/>
        </w:rPr>
      </w:pPr>
      <w:r>
        <w:rPr>
          <w:rFonts w:eastAsia="Times New Roman" w:cs="Times New Roman"/>
          <w:bCs/>
          <w:color w:val="auto"/>
          <w:lang w:bidi="ar-SA"/>
        </w:rPr>
        <w:t xml:space="preserve">3.1.Сведения об оказываемых услугах</w:t>
      </w:r>
      <w:r>
        <w:rPr>
          <w:rFonts w:ascii="Times New Roman" w:hAnsi="Times New Roman" w:eastAsia="Times New Roman" w:cs="Times New Roman"/>
          <w:bCs/>
          <w:color w:val="auto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lang w:bidi="ar-SA"/>
        </w:rPr>
      </w:r>
    </w:p>
    <w:p>
      <w:pPr>
        <w:pStyle w:val="700"/>
        <w:ind w:left="-567" w:firstLine="284"/>
        <w:widowControl/>
        <w:rPr>
          <w:rFonts w:ascii="Times New Roman" w:hAnsi="Times New Roman" w:eastAsia="Times New Roman" w:cs="Times New Roman"/>
          <w:bCs/>
          <w:i/>
          <w:iCs/>
          <w:color w:val="auto"/>
          <w:lang w:bidi="ar-SA"/>
        </w:rPr>
      </w:pPr>
      <w:r>
        <w:rPr>
          <w:rFonts w:eastAsia="Times New Roman" w:cs="Times New Roman"/>
          <w:bCs/>
          <w:i/>
          <w:iCs/>
          <w:color w:val="auto"/>
          <w:lang w:bidi="ar-SA"/>
        </w:rPr>
      </w:r>
      <w:r>
        <w:rPr>
          <w:rFonts w:ascii="Times New Roman" w:hAnsi="Times New Roman" w:eastAsia="Times New Roman" w:cs="Times New Roman"/>
          <w:bCs/>
          <w:i/>
          <w:iCs/>
          <w:color w:val="auto"/>
          <w:lang w:bidi="ar-SA"/>
        </w:rPr>
      </w:r>
      <w:r>
        <w:rPr>
          <w:rFonts w:ascii="Times New Roman" w:hAnsi="Times New Roman" w:eastAsia="Times New Roman" w:cs="Times New Roman"/>
          <w:bCs/>
          <w:i/>
          <w:iCs/>
          <w:color w:val="auto"/>
          <w:lang w:bidi="ar-SA"/>
        </w:rPr>
      </w:r>
    </w:p>
    <w:tbl>
      <w:tblPr>
        <w:tblStyle w:val="923"/>
        <w:tblW w:w="500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67"/>
        <w:gridCol w:w="5389"/>
        <w:gridCol w:w="1811"/>
        <w:gridCol w:w="1952"/>
      </w:tblGrid>
      <w:tr>
        <w:tblPrEx/>
        <w:trPr/>
        <w:tc>
          <w:tcPr>
            <w:tcW w:w="767" w:type="dxa"/>
            <w:vAlign w:val="center"/>
            <w:textDirection w:val="lrTb"/>
            <w:noWrap w:val="false"/>
          </w:tcPr>
          <w:p>
            <w:pPr>
              <w:pStyle w:val="700"/>
              <w:ind w:firstLine="34"/>
              <w:jc w:val="left"/>
              <w:spacing w:before="0" w:after="0"/>
              <w:widowControl w:val="off"/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pPr>
            <w:r>
              <w:rPr>
                <w:rFonts w:eastAsia="Times New Roman" w:cs="Times New Roman"/>
                <w:b/>
                <w:color w:val="auto"/>
                <w:lang w:val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color w:val="auto"/>
                <w:lang w:val="ru-RU" w:bidi="ar-SA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r>
          </w:p>
        </w:tc>
        <w:tc>
          <w:tcPr>
            <w:tcW w:w="5389" w:type="dxa"/>
            <w:vAlign w:val="center"/>
            <w:textDirection w:val="lrTb"/>
            <w:noWrap w:val="false"/>
          </w:tcPr>
          <w:p>
            <w:pPr>
              <w:pStyle w:val="700"/>
              <w:jc w:val="left"/>
              <w:spacing w:before="0" w:after="0"/>
              <w:widowControl w:val="off"/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pPr>
            <w:r>
              <w:rPr>
                <w:rFonts w:eastAsia="Times New Roman" w:cs="Times New Roman"/>
                <w:b/>
                <w:color w:val="auto"/>
                <w:lang w:val="ru-RU" w:bidi="ar-SA"/>
              </w:rPr>
              <w:t xml:space="preserve">Наименование оказываемых услуг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r>
          </w:p>
        </w:tc>
        <w:tc>
          <w:tcPr>
            <w:tcW w:w="1811" w:type="dxa"/>
            <w:vAlign w:val="center"/>
            <w:textDirection w:val="lrTb"/>
            <w:noWrap w:val="false"/>
          </w:tcPr>
          <w:p>
            <w:pPr>
              <w:pStyle w:val="700"/>
              <w:jc w:val="left"/>
              <w:spacing w:before="0" w:after="0"/>
              <w:widowControl w:val="off"/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pPr>
            <w:r>
              <w:rPr>
                <w:rFonts w:eastAsia="Times New Roman" w:cs="Times New Roman"/>
                <w:b/>
                <w:color w:val="auto"/>
                <w:lang w:val="ru-RU" w:bidi="ar-SA"/>
              </w:rPr>
              <w:t xml:space="preserve">Единица измерения оказываемых услуг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r>
          </w:p>
        </w:tc>
        <w:tc>
          <w:tcPr>
            <w:tcW w:w="1952" w:type="dxa"/>
            <w:vAlign w:val="center"/>
            <w:textDirection w:val="lrTb"/>
            <w:noWrap w:val="false"/>
          </w:tcPr>
          <w:p>
            <w:pPr>
              <w:pStyle w:val="700"/>
              <w:jc w:val="left"/>
              <w:spacing w:before="0" w:after="0"/>
              <w:widowControl w:val="off"/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pPr>
            <w:r>
              <w:rPr>
                <w:rFonts w:eastAsia="Times New Roman" w:cs="Times New Roman"/>
                <w:b/>
                <w:color w:val="auto"/>
                <w:lang w:val="ru-RU" w:bidi="ar-SA"/>
              </w:rPr>
              <w:t xml:space="preserve">Количество единиц оборудования, в отношении которого оказываются услуги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b/>
                <w:color w:val="auto"/>
                <w:lang w:bidi="ar-SA"/>
              </w:rPr>
            </w:r>
          </w:p>
        </w:tc>
      </w:tr>
      <w:tr>
        <w:tblPrEx/>
        <w:trPr/>
        <w:tc>
          <w:tcPr>
            <w:tcW w:w="767" w:type="dxa"/>
            <w:vAlign w:val="center"/>
            <w:textDirection w:val="lrTb"/>
            <w:noWrap w:val="false"/>
          </w:tcPr>
          <w:p>
            <w:pPr>
              <w:pStyle w:val="700"/>
              <w:numPr>
                <w:ilvl w:val="0"/>
                <w:numId w:val="2"/>
              </w:numPr>
              <w:jc w:val="left"/>
              <w:spacing w:before="0" w:after="0"/>
              <w:widowControl w:val="off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/>
                <w:color w:val="auto"/>
                <w:lang w:val="ru-RU"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</w:p>
        </w:tc>
        <w:tc>
          <w:tcPr>
            <w:tcW w:w="5389" w:type="dxa"/>
            <w:vAlign w:val="center"/>
            <w:textDirection w:val="lrTb"/>
            <w:noWrap w:val="false"/>
          </w:tcPr>
          <w:p>
            <w:pPr>
              <w:pStyle w:val="700"/>
              <w:ind w:firstLine="284"/>
              <w:jc w:val="left"/>
              <w:spacing w:before="0" w:after="0"/>
              <w:widowControl w:val="off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/>
                <w:color w:val="auto"/>
                <w:lang w:val="ru-RU" w:bidi="ar-SA"/>
              </w:rPr>
              <w:t xml:space="preserve">Оказание услуг по проведению экспертизы, оценки технического состояния основных средств, выдача экспертных заключений для списания объектов основных средств</w:t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</w:p>
        </w:tc>
        <w:tc>
          <w:tcPr>
            <w:shd w:val="clear" w:color="auto" w:fill="auto"/>
            <w:tcW w:w="1811" w:type="dxa"/>
            <w:vAlign w:val="center"/>
            <w:textDirection w:val="lrTb"/>
            <w:noWrap w:val="false"/>
          </w:tcPr>
          <w:p>
            <w:pPr>
              <w:pStyle w:val="700"/>
              <w:ind w:firstLine="284"/>
              <w:jc w:val="center"/>
              <w:spacing w:before="0" w:after="0"/>
              <w:widowControl w:val="off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/>
                <w:color w:val="auto"/>
                <w:lang w:val="ru-RU" w:bidi="ar-SA"/>
              </w:rPr>
              <w:t xml:space="preserve">Усл. ед.</w:t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</w:p>
        </w:tc>
        <w:tc>
          <w:tcPr>
            <w:tcW w:w="1952" w:type="dxa"/>
            <w:vAlign w:val="center"/>
            <w:textDirection w:val="lrTb"/>
            <w:noWrap w:val="false"/>
          </w:tcPr>
          <w:p>
            <w:pPr>
              <w:pStyle w:val="700"/>
              <w:ind w:firstLine="284"/>
              <w:jc w:val="center"/>
              <w:spacing w:before="0" w:after="0"/>
              <w:widowControl w:val="off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eastAsia="Times New Roman" w:cs="Times New Roman"/>
                <w:color w:val="auto"/>
                <w:lang w:val="ru-RU" w:bidi="ar-SA"/>
              </w:rPr>
              <w:t xml:space="preserve">1376</w:t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</w:r>
          </w:p>
        </w:tc>
      </w:tr>
    </w:tbl>
    <w:p>
      <w:pPr>
        <w:pStyle w:val="700"/>
        <w:ind w:left="0" w:right="0" w:firstLine="284"/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pStyle w:val="700"/>
        <w:ind w:left="0" w:right="0" w:firstLine="284"/>
        <w:jc w:val="both"/>
        <w:tabs>
          <w:tab w:val="clear" w:pos="708" w:leader="none"/>
          <w:tab w:val="left" w:pos="7088" w:leader="none"/>
        </w:tabs>
        <w:rPr>
          <w:rFonts w:ascii="Times New Roman" w:hAnsi="Times New Roman" w:eastAsia="Times New Roman" w:cs="Times New Roman"/>
          <w:spacing w:val="-6"/>
          <w:lang w:eastAsia="ar-SA"/>
        </w:rPr>
      </w:pPr>
      <w:r>
        <w:rPr>
          <w:rFonts w:eastAsia="Times New Roman" w:cs="Times New Roman"/>
          <w:spacing w:val="-6"/>
          <w:lang w:eastAsia="ar-SA"/>
        </w:rPr>
        <w:t xml:space="preserve">Перечень оборудования, подлежащего технической экспертизе, выдаче экспертных заключений для списания основных средств </w:t>
      </w:r>
      <w:r>
        <w:rPr>
          <w:rFonts w:eastAsia="Times New Roman" w:cs="Times New Roman"/>
          <w:lang w:bidi="ar-SA"/>
        </w:rPr>
        <w:t xml:space="preserve">представлен в Приложении № 1 к Техническому заданию.</w:t>
      </w:r>
      <w:r>
        <w:rPr>
          <w:rFonts w:ascii="Times New Roman" w:hAnsi="Times New Roman" w:eastAsia="Times New Roman" w:cs="Times New Roman"/>
          <w:spacing w:val="-6"/>
          <w:lang w:eastAsia="ar-SA"/>
        </w:rPr>
      </w:r>
      <w:r>
        <w:rPr>
          <w:rFonts w:ascii="Times New Roman" w:hAnsi="Times New Roman" w:eastAsia="Times New Roman" w:cs="Times New Roman"/>
          <w:spacing w:val="-6"/>
          <w:lang w:eastAsia="ar-SA"/>
        </w:rPr>
      </w:r>
    </w:p>
    <w:p>
      <w:pPr>
        <w:pStyle w:val="700"/>
        <w:ind w:left="0" w:right="0" w:firstLine="284"/>
        <w:rPr>
          <w:rFonts w:ascii="Times New Roman" w:hAnsi="Times New Roman" w:eastAsia="Times New Roman" w:cs="Times New Roman"/>
          <w:lang w:bidi="ar-SA"/>
        </w:rPr>
      </w:pPr>
      <w:r>
        <w:rPr>
          <w:rFonts w:eastAsia="Times New Roman" w:cs="Times New Roman"/>
          <w:lang w:bidi="ar-SA"/>
        </w:rPr>
      </w:r>
      <w:r>
        <w:rPr>
          <w:rFonts w:ascii="Times New Roman" w:hAnsi="Times New Roman" w:eastAsia="Times New Roman" w:cs="Times New Roman"/>
          <w:lang w:bidi="ar-SA"/>
        </w:rPr>
      </w:r>
      <w:r>
        <w:rPr>
          <w:rFonts w:ascii="Times New Roman" w:hAnsi="Times New Roman" w:eastAsia="Times New Roman" w:cs="Times New Roman"/>
          <w:lang w:bidi="ar-SA"/>
        </w:rPr>
      </w:r>
    </w:p>
    <w:p>
      <w:pPr>
        <w:pStyle w:val="700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/>
          <w:bCs/>
          <w:color w:val="auto"/>
          <w:lang w:bidi="ar-SA"/>
        </w:rPr>
      </w:pPr>
      <w:r>
        <w:rPr>
          <w:rFonts w:eastAsia="Times New Roman" w:cs="Times New Roman"/>
          <w:b/>
          <w:bCs/>
          <w:color w:val="auto"/>
          <w:lang w:bidi="ar-SA"/>
        </w:rPr>
        <w:t xml:space="preserve">3.2. Требования к оказываемым услугам:</w:t>
      </w:r>
      <w:r>
        <w:rPr>
          <w:rFonts w:ascii="Times New Roman" w:hAnsi="Times New Roman" w:eastAsia="Times New Roman" w:cs="Times New Roman"/>
          <w:b/>
          <w:bCs/>
          <w:color w:val="auto"/>
          <w:lang w:bidi="ar-SA"/>
        </w:rPr>
      </w:r>
      <w:r>
        <w:rPr>
          <w:rFonts w:ascii="Times New Roman" w:hAnsi="Times New Roman" w:eastAsia="Times New Roman" w:cs="Times New Roman"/>
          <w:b/>
          <w:bCs/>
          <w:color w:val="auto"/>
          <w:lang w:bidi="ar-SA"/>
        </w:rPr>
      </w:r>
    </w:p>
    <w:p>
      <w:pPr>
        <w:pStyle w:val="700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  <w:lang w:bidi="ar-SA"/>
        </w:rPr>
      </w:pPr>
      <w:r>
        <w:rPr>
          <w:rFonts w:eastAsia="Times New Roman" w:cs="Times New Roman"/>
          <w:bCs/>
          <w:color w:val="auto"/>
          <w:lang w:bidi="ar-SA"/>
        </w:rPr>
        <w:t xml:space="preserve">3.2.1. Оказание услуг включает в себя проведение технической экспертизы оборудования Заказчика силами и средствами Исполнителя.</w:t>
      </w:r>
      <w:r>
        <w:rPr>
          <w:rFonts w:ascii="Times New Roman" w:hAnsi="Times New Roman" w:eastAsia="Times New Roman" w:cs="Times New Roman"/>
          <w:bCs/>
          <w:color w:val="auto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lang w:bidi="ar-SA"/>
        </w:rPr>
      </w:r>
    </w:p>
    <w:p>
      <w:pPr>
        <w:pStyle w:val="700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  <w:lang w:bidi="ar-SA"/>
        </w:rPr>
      </w:pPr>
      <w:r>
        <w:rPr>
          <w:rFonts w:eastAsia="Times New Roman" w:cs="Times New Roman"/>
          <w:bCs/>
          <w:color w:val="auto"/>
          <w:lang w:bidi="ar-SA"/>
        </w:rPr>
        <w:t xml:space="preserve">3.2.2. Исполнитель проводит экспертизу технического состояния оборудования, подлежащего утилизации.</w:t>
      </w:r>
      <w:r>
        <w:rPr>
          <w:rFonts w:ascii="Times New Roman" w:hAnsi="Times New Roman" w:eastAsia="Times New Roman" w:cs="Times New Roman"/>
          <w:bCs/>
          <w:color w:val="auto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lang w:bidi="ar-SA"/>
        </w:rPr>
      </w:r>
    </w:p>
    <w:p>
      <w:pPr>
        <w:pStyle w:val="700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  <w:lang w:bidi="ar-SA"/>
        </w:rPr>
      </w:pPr>
      <w:r>
        <w:rPr>
          <w:rFonts w:eastAsia="Times New Roman" w:cs="Times New Roman"/>
          <w:bCs/>
          <w:color w:val="auto"/>
          <w:lang w:bidi="ar-SA"/>
        </w:rPr>
        <w:t xml:space="preserve">Во время проведения технической экспертизы специалист Исполнителя оценивает со</w:t>
      </w:r>
      <w:r>
        <w:rPr>
          <w:rFonts w:eastAsia="Times New Roman" w:cs="Times New Roman"/>
          <w:bCs/>
          <w:color w:val="auto"/>
          <w:lang w:bidi="ar-SA"/>
        </w:rPr>
        <w:t xml:space="preserve">стояние оборудования (осматривает внешний вид, работоспособность, выявляет и анализирует неисправности, возможность и целесообразность ремонта оборудования). По завершению составляет «Акт технической экспертизы» на каждую единицу с описанием неисправности.</w:t>
      </w:r>
      <w:r>
        <w:rPr>
          <w:rFonts w:ascii="Times New Roman" w:hAnsi="Times New Roman" w:eastAsia="Times New Roman" w:cs="Times New Roman"/>
          <w:bCs/>
          <w:color w:val="auto"/>
          <w:lang w:bidi="ar-SA"/>
        </w:rPr>
      </w:r>
      <w:r>
        <w:rPr>
          <w:rFonts w:ascii="Times New Roman" w:hAnsi="Times New Roman" w:eastAsia="Times New Roman" w:cs="Times New Roman"/>
          <w:bCs/>
          <w:color w:val="auto"/>
          <w:lang w:bidi="ar-SA"/>
        </w:rPr>
      </w:r>
    </w:p>
    <w:p>
      <w:pPr>
        <w:pStyle w:val="700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/>
          <w:bCs/>
          <w:color w:val="auto"/>
        </w:rPr>
      </w:pPr>
      <w:r>
        <w:rPr>
          <w:rFonts w:eastAsia="Times New Roman" w:cs="Times New Roman"/>
          <w:b/>
          <w:bCs/>
          <w:color w:val="auto"/>
        </w:rPr>
        <w:t xml:space="preserve">Акт технической экспертизы должен включать в себя следующее:</w:t>
      </w:r>
      <w:r>
        <w:rPr>
          <w:rFonts w:ascii="Times New Roman" w:hAnsi="Times New Roman" w:eastAsia="Times New Roman" w:cs="Times New Roman"/>
          <w:b/>
          <w:bCs/>
          <w:color w:val="auto"/>
        </w:rPr>
      </w:r>
      <w:r>
        <w:rPr>
          <w:rFonts w:ascii="Times New Roman" w:hAnsi="Times New Roman" w:eastAsia="Times New Roman" w:cs="Times New Roman"/>
          <w:b/>
          <w:bCs/>
          <w:color w:val="auto"/>
        </w:rPr>
      </w:r>
    </w:p>
    <w:p>
      <w:pPr>
        <w:pStyle w:val="700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/>
          <w:bCs/>
          <w:color w:val="auto"/>
        </w:rPr>
        <w:t xml:space="preserve">-  </w:t>
      </w:r>
      <w:r>
        <w:rPr>
          <w:rFonts w:eastAsia="Times New Roman" w:cs="Times New Roman"/>
          <w:bCs/>
          <w:color w:val="auto"/>
        </w:rPr>
        <w:t xml:space="preserve">полное наименование учреждения-Заказчика;</w:t>
      </w:r>
      <w:r>
        <w:rPr>
          <w:rFonts w:ascii="Times New Roman" w:hAnsi="Times New Roman" w:eastAsia="Times New Roman" w:cs="Times New Roman"/>
          <w:bCs/>
          <w:color w:val="auto"/>
        </w:rPr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700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 адрес Заказчика;</w:t>
      </w:r>
      <w:r>
        <w:rPr>
          <w:rFonts w:ascii="Times New Roman" w:hAnsi="Times New Roman" w:eastAsia="Times New Roman" w:cs="Times New Roman"/>
          <w:b/>
          <w:bCs/>
          <w:color w:val="auto"/>
        </w:rPr>
      </w:r>
      <w:r>
        <w:rPr>
          <w:rFonts w:ascii="Times New Roman" w:hAnsi="Times New Roman" w:eastAsia="Times New Roman" w:cs="Times New Roman"/>
          <w:b/>
          <w:bCs/>
          <w:color w:val="auto"/>
        </w:rPr>
      </w:r>
    </w:p>
    <w:p>
      <w:pPr>
        <w:pStyle w:val="700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 полное наименование имущества в соответствии с бухгалтерским учетом Заказчика (предоставляется Заказчиком Исполнителю);</w:t>
      </w:r>
      <w:r>
        <w:rPr>
          <w:rFonts w:ascii="Times New Roman" w:hAnsi="Times New Roman" w:eastAsia="Times New Roman" w:cs="Times New Roman"/>
          <w:bCs/>
          <w:color w:val="auto"/>
        </w:rPr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700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 инвентарный номер имущества (предоставляется Заказчиком Исполнителю);</w:t>
      </w:r>
      <w:r>
        <w:rPr>
          <w:rFonts w:ascii="Times New Roman" w:hAnsi="Times New Roman" w:eastAsia="Times New Roman" w:cs="Times New Roman"/>
          <w:bCs/>
          <w:color w:val="auto"/>
        </w:rPr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700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 заводской номер (при наличии), год выпуска, год ввода в эксплуатацию;</w:t>
      </w:r>
      <w:r>
        <w:rPr>
          <w:rFonts w:ascii="Times New Roman" w:hAnsi="Times New Roman" w:eastAsia="Times New Roman" w:cs="Times New Roman"/>
          <w:bCs/>
          <w:color w:val="auto"/>
        </w:rPr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700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 общее техническое состояние имущества, внешний вид, комплектность, соответствие техническим параметрам, соответствие устройств технологическим регламентам, (ГН, ГОСТ, ОСТ, СП и др.);</w:t>
      </w:r>
      <w:r>
        <w:rPr>
          <w:rFonts w:ascii="Times New Roman" w:hAnsi="Times New Roman" w:eastAsia="Times New Roman" w:cs="Times New Roman"/>
          <w:bCs/>
          <w:color w:val="auto"/>
        </w:rPr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700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 выявленные неисправности;</w:t>
      </w:r>
      <w:r>
        <w:rPr>
          <w:rFonts w:ascii="Times New Roman" w:hAnsi="Times New Roman" w:eastAsia="Times New Roman" w:cs="Times New Roman"/>
          <w:bCs/>
          <w:color w:val="auto"/>
        </w:rPr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700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 выводы о пригодности/непригодности для дальнейшей эксплуатации, возможности проведения ремонта с указанием необходимых оригинальных запасных деталей и расходных материалов, с указанием артикулов, подлежащих покупке и замене запчастей;</w:t>
      </w:r>
      <w:r>
        <w:rPr>
          <w:rFonts w:ascii="Times New Roman" w:hAnsi="Times New Roman" w:eastAsia="Times New Roman" w:cs="Times New Roman"/>
          <w:bCs/>
          <w:color w:val="auto"/>
        </w:rPr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700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 причина списания  </w:t>
      </w:r>
      <w:r>
        <w:rPr>
          <w:rFonts w:ascii="Times New Roman" w:hAnsi="Times New Roman" w:eastAsia="Times New Roman" w:cs="Times New Roman"/>
          <w:bCs/>
          <w:color w:val="auto"/>
        </w:rPr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700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 сведения о драгоценных металлах, цветных и редкоземельных металлах, вредных и отравляющих веществах, веществах потенциально опасных для человека.</w:t>
      </w:r>
      <w:r>
        <w:rPr>
          <w:rFonts w:ascii="Times New Roman" w:hAnsi="Times New Roman" w:eastAsia="Times New Roman" w:cs="Times New Roman"/>
          <w:bCs/>
          <w:color w:val="auto"/>
        </w:rPr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700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При составлении Акта техни</w:t>
      </w:r>
      <w:r>
        <w:rPr>
          <w:rFonts w:eastAsia="Times New Roman" w:cs="Times New Roman"/>
          <w:bCs/>
          <w:color w:val="auto"/>
        </w:rPr>
        <w:t xml:space="preserve">ческой экспертизы участник закупки руководствуется действующим законодательством РФ, в том числе нормативно-правовыми актами о техническом регулировании, санитарно-эпидемиологическому благополучию населения, охране окружающей среды, актами, регламентирующи</w:t>
      </w:r>
      <w:r>
        <w:rPr>
          <w:rFonts w:eastAsia="Times New Roman" w:cs="Times New Roman"/>
          <w:bCs/>
          <w:color w:val="auto"/>
        </w:rPr>
        <w:t xml:space="preserve">ми порядок проведения экспертизы, техническим регламентам и инструкциям, установленными стандартами и нормами (ГН, ГОСТ, ОСТ, ПБ, СП и др.) и другими нормативно-правовыми документами с учетом действующего законодательства на дату составления актов, отчета.</w:t>
      </w:r>
      <w:r>
        <w:rPr>
          <w:rFonts w:ascii="Times New Roman" w:hAnsi="Times New Roman" w:eastAsia="Times New Roman" w:cs="Times New Roman"/>
          <w:bCs/>
          <w:color w:val="auto"/>
        </w:rPr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700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/>
          <w:bCs/>
          <w:color w:val="auto"/>
        </w:rPr>
      </w:pPr>
      <w:r>
        <w:rPr>
          <w:rFonts w:eastAsia="Times New Roman" w:cs="Times New Roman"/>
          <w:b/>
          <w:bCs/>
          <w:color w:val="auto"/>
        </w:rPr>
        <w:t xml:space="preserve">Отчет «О проведении технической экспертизы имущества» должен включать в себя следующее:</w:t>
      </w:r>
      <w:r>
        <w:rPr>
          <w:rFonts w:ascii="Times New Roman" w:hAnsi="Times New Roman" w:eastAsia="Times New Roman" w:cs="Times New Roman"/>
          <w:b/>
          <w:bCs/>
          <w:color w:val="auto"/>
        </w:rPr>
      </w:r>
      <w:r>
        <w:rPr>
          <w:rFonts w:ascii="Times New Roman" w:hAnsi="Times New Roman" w:eastAsia="Times New Roman" w:cs="Times New Roman"/>
          <w:b/>
          <w:bCs/>
          <w:color w:val="auto"/>
        </w:rPr>
      </w:r>
    </w:p>
    <w:p>
      <w:pPr>
        <w:pStyle w:val="700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-объект экспертизы (имущество, его количество);</w:t>
      </w:r>
      <w:r>
        <w:rPr>
          <w:rFonts w:ascii="Times New Roman" w:hAnsi="Times New Roman" w:eastAsia="Times New Roman" w:cs="Times New Roman"/>
          <w:bCs/>
          <w:color w:val="auto"/>
        </w:rPr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700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-наименование организации-Заказчика экспертизы;</w:t>
      </w:r>
      <w:r>
        <w:rPr>
          <w:rFonts w:ascii="Times New Roman" w:hAnsi="Times New Roman" w:eastAsia="Times New Roman" w:cs="Times New Roman"/>
          <w:bCs/>
          <w:color w:val="auto"/>
        </w:rPr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700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 адрес места нахождения предметов экспертизы;</w:t>
      </w:r>
      <w:r>
        <w:rPr>
          <w:rFonts w:ascii="Times New Roman" w:hAnsi="Times New Roman" w:eastAsia="Times New Roman" w:cs="Times New Roman"/>
          <w:bCs/>
          <w:color w:val="auto"/>
        </w:rPr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700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 полная информация об Исполнителе;</w:t>
      </w:r>
      <w:r>
        <w:rPr>
          <w:rFonts w:ascii="Times New Roman" w:hAnsi="Times New Roman" w:eastAsia="Times New Roman" w:cs="Times New Roman"/>
          <w:bCs/>
          <w:color w:val="auto"/>
        </w:rPr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700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 дату проведения осмотра имущества, номер отчета;</w:t>
      </w:r>
      <w:r>
        <w:rPr>
          <w:rFonts w:ascii="Times New Roman" w:hAnsi="Times New Roman" w:eastAsia="Times New Roman" w:cs="Times New Roman"/>
          <w:bCs/>
          <w:color w:val="auto"/>
        </w:rPr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700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-сводная таблица, в которую включены все объекты, подлежащие списанию с указанием наименования оборудования, количества, инвентарного номера, заводского номера, год выпуска, года ввода в эксплуатацию, причина списания;</w:t>
      </w:r>
      <w:r>
        <w:rPr>
          <w:rFonts w:ascii="Times New Roman" w:hAnsi="Times New Roman" w:eastAsia="Times New Roman" w:cs="Times New Roman"/>
          <w:bCs/>
          <w:color w:val="auto"/>
        </w:rPr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700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-фотографии всех объектов (в трех проекциях), подлежащих списанию (на фотографиях должны быть видны инвентарные номера);</w:t>
      </w:r>
      <w:r>
        <w:rPr>
          <w:rFonts w:ascii="Times New Roman" w:hAnsi="Times New Roman" w:eastAsia="Times New Roman" w:cs="Times New Roman"/>
          <w:bCs/>
          <w:color w:val="auto"/>
        </w:rPr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700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 отчет подписывается руководителем организации и работниками, непосредственно проводившими экспертизу, страницы пронумеровываются, отчет прошивается, и заверяется печатями. </w:t>
      </w:r>
      <w:r>
        <w:rPr>
          <w:rFonts w:ascii="Times New Roman" w:hAnsi="Times New Roman" w:eastAsia="Times New Roman" w:cs="Times New Roman"/>
          <w:bCs/>
          <w:color w:val="auto"/>
        </w:rPr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700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  <w:u w:val="single"/>
        </w:rPr>
        <w:t xml:space="preserve">3.2.8. В результате оказания услуг Исполнитель предоставляет Заказчику</w:t>
      </w:r>
      <w:r>
        <w:rPr>
          <w:rFonts w:eastAsia="Times New Roman" w:cs="Times New Roman"/>
          <w:bCs/>
          <w:color w:val="auto"/>
        </w:rPr>
        <w:t xml:space="preserve">:</w:t>
      </w:r>
      <w:r>
        <w:rPr>
          <w:rFonts w:ascii="Times New Roman" w:hAnsi="Times New Roman" w:eastAsia="Times New Roman" w:cs="Times New Roman"/>
          <w:bCs/>
          <w:color w:val="auto"/>
        </w:rPr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700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-акт приёма-передачи списанного имущества для утилизации.</w:t>
      </w:r>
      <w:r>
        <w:rPr>
          <w:rFonts w:ascii="Times New Roman" w:hAnsi="Times New Roman" w:eastAsia="Times New Roman" w:cs="Times New Roman"/>
          <w:bCs/>
          <w:color w:val="auto"/>
        </w:rPr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700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/>
          <w:bCs/>
          <w:color w:val="auto"/>
          <w:lang w:bidi="ar-SA"/>
        </w:rPr>
      </w:pPr>
      <w:r>
        <w:rPr>
          <w:rFonts w:eastAsia="Times New Roman" w:cs="Times New Roman"/>
          <w:b/>
          <w:bCs/>
          <w:color w:val="auto"/>
          <w:lang w:bidi="ar-SA"/>
        </w:rPr>
      </w:r>
      <w:r>
        <w:rPr>
          <w:rFonts w:ascii="Times New Roman" w:hAnsi="Times New Roman" w:eastAsia="Times New Roman" w:cs="Times New Roman"/>
          <w:b/>
          <w:bCs/>
          <w:color w:val="auto"/>
          <w:lang w:bidi="ar-SA"/>
        </w:rPr>
      </w:r>
      <w:r>
        <w:rPr>
          <w:rFonts w:ascii="Times New Roman" w:hAnsi="Times New Roman" w:eastAsia="Times New Roman" w:cs="Times New Roman"/>
          <w:b/>
          <w:bCs/>
          <w:color w:val="auto"/>
          <w:lang w:bidi="ar-SA"/>
        </w:rPr>
      </w:r>
    </w:p>
    <w:p>
      <w:pPr>
        <w:pStyle w:val="700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/>
          <w:bCs/>
          <w:color w:val="auto"/>
        </w:rPr>
      </w:pPr>
      <w:r>
        <w:rPr>
          <w:rFonts w:cs="Times New Roman"/>
          <w:b/>
        </w:rPr>
        <w:t xml:space="preserve">4.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auto"/>
        </w:rPr>
        <w:t xml:space="preserve">Порядок сдачи-приемки оказанных услуг</w:t>
      </w:r>
      <w:r>
        <w:rPr>
          <w:rFonts w:ascii="Times New Roman" w:hAnsi="Times New Roman" w:eastAsia="Times New Roman" w:cs="Times New Roman"/>
          <w:b/>
          <w:bCs/>
          <w:color w:val="auto"/>
        </w:rPr>
      </w:r>
      <w:r>
        <w:rPr>
          <w:rFonts w:ascii="Times New Roman" w:hAnsi="Times New Roman" w:eastAsia="Times New Roman" w:cs="Times New Roman"/>
          <w:b/>
          <w:bCs/>
          <w:color w:val="auto"/>
        </w:rPr>
      </w:r>
    </w:p>
    <w:p>
      <w:pPr>
        <w:pStyle w:val="700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4.1. Исполнитель в течение 5 (Пяти) рабочих дней после оказания услуг предоставляет Заказчику Акт сдачи-приемки оказанных услуг или универсальный передаточный документ </w:t>
        <w:br/>
        <w:t xml:space="preserve">(далее – УПД), счет, счет-фактуру (при наличии).</w:t>
      </w:r>
      <w:r>
        <w:rPr>
          <w:rFonts w:ascii="Times New Roman" w:hAnsi="Times New Roman" w:eastAsia="Times New Roman" w:cs="Times New Roman"/>
          <w:bCs/>
          <w:color w:val="auto"/>
        </w:rPr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700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4.2. Заказчик в течение не более 20 (Двадцати) рабочих дней с даты получения Акта или УПД от Исполнителя осуществляет проверку услуг, проводит экспертизу услуг (экспертиза проводится</w:t>
      </w:r>
      <w:r>
        <w:rPr>
          <w:rFonts w:eastAsia="Times New Roman" w:cs="Times New Roman"/>
          <w:bCs/>
          <w:color w:val="auto"/>
        </w:rPr>
        <w:t xml:space="preserve"> Заказчиком своими силами) и в случае отсутствия недостатков и иных несоответствий условиям настоящего технического задания Акт или УПД утверждается Заказчиком, либо Исполнителю в те же сроки Заказчиком направляется в письменной форме мотивированный отказ.</w:t>
      </w:r>
      <w:r>
        <w:rPr>
          <w:rFonts w:ascii="Times New Roman" w:hAnsi="Times New Roman" w:eastAsia="Times New Roman" w:cs="Times New Roman"/>
          <w:bCs/>
          <w:color w:val="auto"/>
        </w:rPr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700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4.3. Исполнитель обя</w:t>
      </w:r>
      <w:r>
        <w:rPr>
          <w:rFonts w:eastAsia="Times New Roman" w:cs="Times New Roman"/>
          <w:bCs/>
          <w:color w:val="auto"/>
        </w:rPr>
        <w:t xml:space="preserve">зан устранить выявленные недостатки и в срок не более 3 (трех) рабочих дней повторно направить Заказчику документы, указанные в пункте 4.1. настоящего раздела, либо мотивированный отказ от устранения выявленных недостатков с указанием причин такого отказа.</w:t>
      </w:r>
      <w:r>
        <w:rPr>
          <w:rFonts w:ascii="Times New Roman" w:hAnsi="Times New Roman" w:eastAsia="Times New Roman" w:cs="Times New Roman"/>
          <w:bCs/>
          <w:color w:val="auto"/>
        </w:rPr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700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4.4. Услуги считаются принятыми с момента подписания Заказчиком Акта или УПД.</w:t>
      </w:r>
      <w:r>
        <w:rPr>
          <w:rFonts w:ascii="Times New Roman" w:hAnsi="Times New Roman" w:eastAsia="Times New Roman" w:cs="Times New Roman"/>
          <w:bCs/>
          <w:color w:val="auto"/>
        </w:rPr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700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</w:r>
      <w:r>
        <w:rPr>
          <w:rFonts w:ascii="Times New Roman" w:hAnsi="Times New Roman" w:eastAsia="Times New Roman" w:cs="Times New Roman"/>
          <w:bCs/>
          <w:color w:val="auto"/>
        </w:rPr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700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/>
          <w:bCs/>
          <w:color w:val="auto"/>
        </w:rPr>
      </w:pPr>
      <w:r>
        <w:rPr>
          <w:rFonts w:eastAsia="Times New Roman" w:cs="Times New Roman"/>
          <w:b/>
          <w:bCs/>
          <w:color w:val="auto"/>
        </w:rPr>
        <w:t xml:space="preserve">5. Порядок расчетов</w:t>
      </w:r>
      <w:r>
        <w:rPr>
          <w:rFonts w:ascii="Times New Roman" w:hAnsi="Times New Roman" w:eastAsia="Times New Roman" w:cs="Times New Roman"/>
          <w:b/>
          <w:bCs/>
          <w:color w:val="auto"/>
        </w:rPr>
      </w:r>
      <w:r>
        <w:rPr>
          <w:rFonts w:ascii="Times New Roman" w:hAnsi="Times New Roman" w:eastAsia="Times New Roman" w:cs="Times New Roman"/>
          <w:b/>
          <w:bCs/>
          <w:color w:val="auto"/>
        </w:rPr>
      </w:r>
    </w:p>
    <w:p>
      <w:pPr>
        <w:pStyle w:val="700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5.1. Государственный Контракт финансируется из средств федерального бюджета 2026 года.</w:t>
      </w:r>
      <w:r>
        <w:rPr>
          <w:rFonts w:ascii="Times New Roman" w:hAnsi="Times New Roman" w:eastAsia="Times New Roman" w:cs="Times New Roman"/>
          <w:bCs/>
          <w:color w:val="auto"/>
        </w:rPr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700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>
        <w:rPr>
          <w:rFonts w:eastAsia="Times New Roman" w:cs="Times New Roman"/>
          <w:bCs/>
          <w:color w:val="auto"/>
        </w:rPr>
        <w:t xml:space="preserve">Код бюджетной классификации – 167 0113 39412 90020 242. </w:t>
      </w:r>
      <w:r>
        <w:rPr>
          <w:rFonts w:ascii="Times New Roman" w:hAnsi="Times New Roman" w:eastAsia="Times New Roman" w:cs="Times New Roman"/>
          <w:bCs/>
          <w:color w:val="auto"/>
        </w:rPr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700"/>
        <w:ind w:left="0" w:right="0" w:firstLine="284"/>
        <w:jc w:val="both"/>
        <w:widowControl/>
        <w:tabs>
          <w:tab w:val="clear" w:pos="708" w:leader="none"/>
          <w:tab w:val="left" w:pos="993" w:leader="none"/>
        </w:tabs>
        <w:rPr>
          <w:rFonts w:ascii="Times New Roman" w:hAnsi="Times New Roman" w:eastAsia="Times New Roman" w:cs="Times New Roman"/>
          <w:bCs/>
          <w:color w:val="auto"/>
        </w:rPr>
      </w:pPr>
      <w:r/>
      <w:bookmarkStart w:id="1" w:name="_GoBack"/>
      <w:r>
        <w:rPr>
          <w:rFonts w:eastAsia="Times New Roman" w:cs="Times New Roman"/>
          <w:bCs/>
          <w:color w:val="auto"/>
        </w:rPr>
        <w:t xml:space="preserve">5.2. Оплата по государственному контракту осуществляется по факту оказанных услуг по безналичному расчету не более чем в течении 10 рабочих дней со дня подписания Заказчиком Акта или УПД.</w:t>
      </w:r>
      <w:bookmarkEnd w:id="1"/>
      <w:r>
        <w:rPr>
          <w:rFonts w:ascii="Times New Roman" w:hAnsi="Times New Roman" w:eastAsia="Times New Roman" w:cs="Times New Roman"/>
          <w:bCs/>
          <w:color w:val="auto"/>
        </w:rPr>
      </w:r>
      <w:r>
        <w:rPr>
          <w:rFonts w:ascii="Times New Roman" w:hAnsi="Times New Roman" w:eastAsia="Times New Roman" w:cs="Times New Roman"/>
          <w:bCs/>
          <w:color w:val="auto"/>
        </w:rPr>
      </w:r>
    </w:p>
    <w:p>
      <w:pPr>
        <w:pStyle w:val="700"/>
        <w:ind w:left="0" w:right="0" w:firstLine="284"/>
        <w:jc w:val="right"/>
        <w:tabs>
          <w:tab w:val="left" w:pos="676" w:leader="none"/>
          <w:tab w:val="clear" w:pos="708" w:leader="none"/>
          <w:tab w:val="left" w:pos="1440" w:leader="none"/>
        </w:tabs>
      </w:pPr>
      <w:r/>
      <w:r/>
    </w:p>
    <w:p>
      <w:pPr>
        <w:pStyle w:val="700"/>
        <w:ind w:left="0" w:right="0" w:firstLine="284"/>
        <w:jc w:val="right"/>
        <w:tabs>
          <w:tab w:val="left" w:pos="676" w:leader="none"/>
          <w:tab w:val="clear" w:pos="708" w:leader="none"/>
          <w:tab w:val="left" w:pos="1440" w:leader="none"/>
        </w:tabs>
      </w:pPr>
      <w:r/>
      <w:r/>
    </w:p>
    <w:p>
      <w:pPr>
        <w:pStyle w:val="700"/>
        <w:jc w:val="right"/>
        <w:tabs>
          <w:tab w:val="left" w:pos="676" w:leader="none"/>
          <w:tab w:val="clear" w:pos="708" w:leader="none"/>
          <w:tab w:val="left" w:pos="1440" w:leader="none"/>
        </w:tabs>
      </w:pPr>
      <w:r/>
      <w:r/>
    </w:p>
    <w:p>
      <w:pPr>
        <w:pStyle w:val="700"/>
        <w:jc w:val="right"/>
        <w:tabs>
          <w:tab w:val="left" w:pos="676" w:leader="none"/>
          <w:tab w:val="clear" w:pos="708" w:leader="none"/>
          <w:tab w:val="left" w:pos="1440" w:leader="none"/>
        </w:tabs>
        <w:sectPr>
          <w:headerReference w:type="default" r:id="rId9"/>
          <w:footnotePr/>
          <w:endnotePr/>
          <w:type w:val="nextPage"/>
          <w:pgSz w:w="11906" w:h="16838" w:orient="portrait"/>
          <w:pgMar w:top="1134" w:right="851" w:bottom="851" w:left="1135" w:header="709" w:footer="0" w:gutter="0"/>
          <w:cols w:num="1" w:sep="0" w:space="708" w:equalWidth="1"/>
          <w:docGrid w:linePitch="360"/>
          <w:titlePg/>
        </w:sectPr>
      </w:pPr>
      <w:r/>
      <w:r/>
    </w:p>
    <w:p>
      <w:pPr>
        <w:pStyle w:val="700"/>
        <w:ind w:firstLine="284"/>
        <w:jc w:val="right"/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 xml:space="preserve">Приложение № 2 </w:t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pStyle w:val="700"/>
        <w:ind w:firstLine="284"/>
        <w:jc w:val="right"/>
        <w:widowControl/>
        <w:rPr>
          <w:rFonts w:ascii="Times New Roman" w:hAnsi="Times New Roman"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 xml:space="preserve">к Техническому заданию</w:t>
      </w:r>
      <w:r>
        <w:rPr>
          <w:rFonts w:ascii="Times New Roman" w:hAnsi="Times New Roman" w:eastAsia="Times New Roman" w:cs="Times New Roman"/>
          <w:color w:val="auto"/>
          <w:lang w:bidi="ar-SA"/>
        </w:rPr>
      </w:r>
      <w:r>
        <w:rPr>
          <w:rFonts w:ascii="Times New Roman" w:hAnsi="Times New Roman" w:eastAsia="Times New Roman" w:cs="Times New Roman"/>
          <w:color w:val="auto"/>
          <w:lang w:bidi="ar-SA"/>
        </w:rPr>
      </w:r>
    </w:p>
    <w:p>
      <w:pPr>
        <w:pStyle w:val="700"/>
        <w:jc w:val="right"/>
        <w:tabs>
          <w:tab w:val="clear" w:pos="708" w:leader="none"/>
          <w:tab w:val="left" w:pos="2385" w:leader="none"/>
          <w:tab w:val="left" w:pos="10770" w:leader="none"/>
        </w:tabs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</w:r>
      <w:r>
        <w:rPr>
          <w:spacing w:val="-4"/>
          <w:sz w:val="22"/>
          <w:szCs w:val="22"/>
        </w:rPr>
      </w:r>
      <w:r>
        <w:rPr>
          <w:spacing w:val="-4"/>
          <w:sz w:val="22"/>
          <w:szCs w:val="22"/>
        </w:rPr>
      </w:r>
    </w:p>
    <w:p>
      <w:pPr>
        <w:pStyle w:val="791"/>
        <w:ind w:firstLine="284"/>
        <w:jc w:val="center"/>
        <w:spacing w:before="0" w:after="0"/>
        <w:rPr>
          <w:spacing w:val="-4"/>
          <w:szCs w:val="24"/>
        </w:rPr>
      </w:pPr>
      <w:r>
        <w:rPr>
          <w:b/>
          <w:szCs w:val="24"/>
        </w:rPr>
        <w:t xml:space="preserve">Форма акта оказанных услуг</w:t>
      </w:r>
      <w:r>
        <w:rPr>
          <w:spacing w:val="-4"/>
          <w:szCs w:val="24"/>
        </w:rPr>
      </w:r>
      <w:r>
        <w:rPr>
          <w:spacing w:val="-4"/>
          <w:szCs w:val="24"/>
        </w:rPr>
      </w:r>
    </w:p>
    <w:p>
      <w:pPr>
        <w:pStyle w:val="791"/>
        <w:ind w:firstLine="284"/>
        <w:jc w:val="center"/>
        <w:spacing w:before="0" w:after="0"/>
        <w:rPr>
          <w:spacing w:val="-4"/>
          <w:szCs w:val="24"/>
        </w:rPr>
      </w:pPr>
      <w:r>
        <w:rPr>
          <w:spacing w:val="-4"/>
          <w:szCs w:val="24"/>
        </w:rPr>
      </w:r>
      <w:r>
        <w:rPr>
          <w:spacing w:val="-4"/>
          <w:szCs w:val="24"/>
        </w:rPr>
      </w:r>
      <w:r>
        <w:rPr>
          <w:spacing w:val="-4"/>
          <w:szCs w:val="24"/>
        </w:rPr>
      </w:r>
    </w:p>
    <w:p>
      <w:pPr>
        <w:pStyle w:val="700"/>
        <w:ind w:firstLine="284"/>
        <w:jc w:val="center"/>
        <w:rPr>
          <w:rFonts w:ascii="Times New Roman" w:hAnsi="Times New Roman" w:cs="Times New Roman"/>
        </w:rPr>
      </w:pPr>
      <w:r/>
      <w:bookmarkStart w:id="2" w:name="_Hlk94615672"/>
      <w:r>
        <w:rPr>
          <w:rFonts w:cs="Times New Roman"/>
        </w:rPr>
        <w:t xml:space="preserve">Акт оказанных услуг</w:t>
      </w:r>
      <w:bookmarkEnd w:id="2"/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0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0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 xml:space="preserve">г. Москва                                                                                                 «___» ____________ 2026г.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0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0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  <w:bCs/>
        </w:rPr>
        <w:t xml:space="preserve">Федеральное агентство по управлению государственным имуществом, именуемое в дальнейшем «Заказчик»</w:t>
      </w:r>
      <w:r>
        <w:rPr>
          <w:rFonts w:cs="Times New Roman"/>
        </w:rPr>
        <w:t xml:space="preserve">, в лице ___________________, действующего на основании __________, с одной стороны, и ___________, именуемое в дальнейшем «Исполнитель», в лице ____________________</w:t>
      </w:r>
      <w:r>
        <w:rPr>
          <w:rFonts w:cs="Times New Roman"/>
        </w:rPr>
        <w:t xml:space="preserve">, действующего на основании ____________, с другой стороны (далее - Стороны) составили настоящий акт оказанных услуг о том, что в соответствии с условиями контракта от «___» ____________ 202_ г. № ________ в период __________ были оказаны следующие услуги: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0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10031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601"/>
        <w:gridCol w:w="2483"/>
        <w:gridCol w:w="1844"/>
        <w:gridCol w:w="1701"/>
        <w:gridCol w:w="1842"/>
        <w:gridCol w:w="1559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01" w:type="dxa"/>
            <w:vAlign w:val="center"/>
            <w:textDirection w:val="lrTb"/>
            <w:noWrap w:val="false"/>
          </w:tcPr>
          <w:p>
            <w:pPr>
              <w:pStyle w:val="700"/>
              <w:jc w:val="both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 xml:space="preserve">№ </w:t>
            </w:r>
            <w:r>
              <w:rPr>
                <w:rFonts w:cs="Times New Roman"/>
              </w:rPr>
              <w:t xml:space="preserve">п/п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83" w:type="dxa"/>
            <w:vAlign w:val="center"/>
            <w:textDirection w:val="lrTb"/>
            <w:noWrap w:val="false"/>
          </w:tcPr>
          <w:p>
            <w:pPr>
              <w:pStyle w:val="700"/>
              <w:jc w:val="center"/>
              <w:keepNext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 xml:space="preserve">Наименование оказываемых услуг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4" w:type="dxa"/>
            <w:vAlign w:val="center"/>
            <w:textDirection w:val="lrTb"/>
            <w:noWrap w:val="false"/>
          </w:tcPr>
          <w:p>
            <w:pPr>
              <w:pStyle w:val="700"/>
              <w:jc w:val="center"/>
              <w:widowControl w:val="off"/>
              <w:rPr>
                <w:rFonts w:ascii="Times New Roman" w:hAnsi="Times New Roman" w:cs="Times New Roman"/>
                <w:bCs/>
                <w:lang w:eastAsia="ar-SA"/>
              </w:rPr>
            </w:pPr>
            <w:r>
              <w:rPr>
                <w:rFonts w:cs="Times New Roman"/>
                <w:bCs/>
                <w:lang w:eastAsia="ar-SA"/>
              </w:rPr>
              <w:t xml:space="preserve">Количество</w:t>
            </w:r>
            <w:r>
              <w:rPr>
                <w:rFonts w:ascii="Times New Roman" w:hAnsi="Times New Roman" w:cs="Times New Roman"/>
                <w:bCs/>
                <w:lang w:eastAsia="ar-SA"/>
              </w:rPr>
            </w:r>
            <w:r>
              <w:rPr>
                <w:rFonts w:ascii="Times New Roman" w:hAnsi="Times New Roman" w:cs="Times New Roman"/>
                <w:bCs/>
                <w:lang w:eastAsia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700"/>
              <w:jc w:val="center"/>
              <w:widowControl w:val="off"/>
              <w:rPr>
                <w:rFonts w:ascii="Times New Roman" w:hAnsi="Times New Roman" w:cs="Times New Roman"/>
                <w:bCs/>
                <w:lang w:eastAsia="ar-SA"/>
              </w:rPr>
            </w:pPr>
            <w:r>
              <w:rPr>
                <w:rFonts w:cs="Times New Roman"/>
                <w:bCs/>
                <w:lang w:eastAsia="ar-SA"/>
              </w:rPr>
              <w:t xml:space="preserve">Единица измерения</w:t>
            </w:r>
            <w:r>
              <w:rPr>
                <w:rFonts w:ascii="Times New Roman" w:hAnsi="Times New Roman" w:cs="Times New Roman"/>
                <w:bCs/>
                <w:lang w:eastAsia="ar-SA"/>
              </w:rPr>
            </w:r>
            <w:r>
              <w:rPr>
                <w:rFonts w:ascii="Times New Roman" w:hAnsi="Times New Roman" w:cs="Times New Roman"/>
                <w:bCs/>
                <w:lang w:eastAsia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Style w:val="700"/>
              <w:jc w:val="center"/>
              <w:widowControl w:val="off"/>
              <w:rPr>
                <w:rFonts w:ascii="Times New Roman" w:hAnsi="Times New Roman" w:cs="Times New Roman"/>
                <w:bCs/>
                <w:lang w:eastAsia="ar-SA"/>
              </w:rPr>
            </w:pPr>
            <w:r>
              <w:rPr>
                <w:rFonts w:cs="Times New Roman"/>
                <w:lang w:eastAsia="ar-SA"/>
              </w:rPr>
              <w:t xml:space="preserve">Стоимость за ед., в т.ч. НДС/НДС не облагается, руб.</w:t>
            </w:r>
            <w:r>
              <w:rPr>
                <w:rFonts w:ascii="Times New Roman" w:hAnsi="Times New Roman" w:cs="Times New Roman"/>
                <w:bCs/>
                <w:lang w:eastAsia="ar-SA"/>
              </w:rPr>
            </w:r>
            <w:r>
              <w:rPr>
                <w:rFonts w:ascii="Times New Roman" w:hAnsi="Times New Roman" w:cs="Times New Roman"/>
                <w:bCs/>
                <w:lang w:eastAsia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700"/>
              <w:jc w:val="center"/>
              <w:widowControl w:val="off"/>
              <w:rPr>
                <w:rFonts w:ascii="Times New Roman" w:hAnsi="Times New Roman" w:cs="Times New Roman"/>
                <w:bCs/>
                <w:lang w:eastAsia="ar-SA"/>
              </w:rPr>
            </w:pPr>
            <w:r>
              <w:rPr>
                <w:rFonts w:cs="Times New Roman"/>
                <w:lang w:eastAsia="ar-SA"/>
              </w:rPr>
              <w:t xml:space="preserve">Итого, в т.ч. НДС/НДС не облагается, руб.</w:t>
            </w:r>
            <w:r>
              <w:rPr>
                <w:rFonts w:ascii="Times New Roman" w:hAnsi="Times New Roman" w:cs="Times New Roman"/>
                <w:bCs/>
                <w:lang w:eastAsia="ar-SA"/>
              </w:rPr>
            </w:r>
            <w:r>
              <w:rPr>
                <w:rFonts w:ascii="Times New Roman" w:hAnsi="Times New Roman" w:cs="Times New Roman"/>
                <w:bCs/>
                <w:lang w:eastAsia="ar-SA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01" w:type="dxa"/>
            <w:textDirection w:val="lrTb"/>
            <w:noWrap w:val="false"/>
          </w:tcPr>
          <w:p>
            <w:pPr>
              <w:pStyle w:val="700"/>
              <w:jc w:val="both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83" w:type="dxa"/>
            <w:textDirection w:val="lrTb"/>
            <w:noWrap w:val="false"/>
          </w:tcPr>
          <w:p>
            <w:pPr>
              <w:pStyle w:val="700"/>
              <w:keepNext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4" w:type="dxa"/>
            <w:textDirection w:val="lrTb"/>
            <w:noWrap w:val="false"/>
          </w:tcPr>
          <w:p>
            <w:pPr>
              <w:pStyle w:val="700"/>
              <w:keepNext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pStyle w:val="700"/>
              <w:keepNext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2" w:type="dxa"/>
            <w:textDirection w:val="lrTb"/>
            <w:noWrap w:val="false"/>
          </w:tcPr>
          <w:p>
            <w:pPr>
              <w:pStyle w:val="700"/>
              <w:keepNext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textDirection w:val="lrTb"/>
            <w:noWrap w:val="false"/>
          </w:tcPr>
          <w:p>
            <w:pPr>
              <w:pStyle w:val="700"/>
              <w:keepNext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01" w:type="dxa"/>
            <w:textDirection w:val="lrTb"/>
            <w:noWrap w:val="false"/>
          </w:tcPr>
          <w:p>
            <w:pPr>
              <w:pStyle w:val="700"/>
              <w:jc w:val="both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83" w:type="dxa"/>
            <w:textDirection w:val="lrTb"/>
            <w:noWrap w:val="false"/>
          </w:tcPr>
          <w:p>
            <w:pPr>
              <w:pStyle w:val="700"/>
              <w:keepNext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4" w:type="dxa"/>
            <w:textDirection w:val="lrTb"/>
            <w:noWrap w:val="false"/>
          </w:tcPr>
          <w:p>
            <w:pPr>
              <w:pStyle w:val="700"/>
              <w:keepNext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pStyle w:val="700"/>
              <w:keepNext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2" w:type="dxa"/>
            <w:textDirection w:val="lrTb"/>
            <w:noWrap w:val="false"/>
          </w:tcPr>
          <w:p>
            <w:pPr>
              <w:pStyle w:val="700"/>
              <w:keepNext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textDirection w:val="lrTb"/>
            <w:noWrap w:val="false"/>
          </w:tcPr>
          <w:p>
            <w:pPr>
              <w:pStyle w:val="700"/>
              <w:keepNext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471" w:type="dxa"/>
            <w:vAlign w:val="center"/>
            <w:textDirection w:val="lrTb"/>
            <w:noWrap w:val="false"/>
          </w:tcPr>
          <w:p>
            <w:pPr>
              <w:pStyle w:val="700"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 xml:space="preserve">ИТОГО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textDirection w:val="lrTb"/>
            <w:noWrap w:val="false"/>
          </w:tcPr>
          <w:p>
            <w:pPr>
              <w:pStyle w:val="700"/>
              <w:jc w:val="both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700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0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 xml:space="preserve">Таблица №1. Перечень оборудования, подлежащего технической экспертизе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0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919"/>
        <w:tblW w:w="10151" w:type="dxa"/>
        <w:tblInd w:w="-3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0"/>
        <w:gridCol w:w="2860"/>
        <w:gridCol w:w="1560"/>
        <w:gridCol w:w="1839"/>
        <w:gridCol w:w="1555"/>
        <w:gridCol w:w="1776"/>
      </w:tblGrid>
      <w:tr>
        <w:tblPrEx/>
        <w:trPr/>
        <w:tc>
          <w:tcPr>
            <w:tcW w:w="560" w:type="dxa"/>
            <w:vAlign w:val="center"/>
            <w:textDirection w:val="lrTb"/>
            <w:noWrap w:val="false"/>
          </w:tcPr>
          <w:p>
            <w:pPr>
              <w:pStyle w:val="700"/>
              <w:jc w:val="center"/>
              <w:spacing w:before="0" w:after="0" w:line="276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b/>
                <w:lang w:val="ru-RU"/>
              </w:rPr>
              <w:t xml:space="preserve">№ </w:t>
            </w:r>
            <w:r>
              <w:rPr>
                <w:rFonts w:cs="Times New Roman"/>
                <w:b/>
                <w:lang w:val="ru-RU"/>
              </w:rPr>
              <w:t xml:space="preserve">п/п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860" w:type="dxa"/>
            <w:vAlign w:val="center"/>
            <w:textDirection w:val="lrTb"/>
            <w:noWrap w:val="false"/>
          </w:tcPr>
          <w:p>
            <w:pPr>
              <w:pStyle w:val="700"/>
              <w:jc w:val="center"/>
              <w:spacing w:before="0" w:after="0" w:line="276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b/>
                <w:lang w:val="ru-RU"/>
              </w:rPr>
              <w:t xml:space="preserve">Наименование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pStyle w:val="700"/>
              <w:jc w:val="center"/>
              <w:spacing w:before="0" w:after="0" w:line="276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b/>
                <w:lang w:val="ru-RU"/>
              </w:rPr>
              <w:t xml:space="preserve">Количество, шт.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39" w:type="dxa"/>
            <w:vAlign w:val="center"/>
            <w:textDirection w:val="lrTb"/>
            <w:noWrap w:val="false"/>
          </w:tcPr>
          <w:p>
            <w:pPr>
              <w:pStyle w:val="700"/>
              <w:jc w:val="center"/>
              <w:spacing w:before="0" w:after="0" w:line="276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b/>
                <w:lang w:val="ru-RU"/>
              </w:rPr>
              <w:t xml:space="preserve">Инвентарный номер/ иной номер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55" w:type="dxa"/>
            <w:vAlign w:val="center"/>
            <w:textDirection w:val="lrTb"/>
            <w:noWrap w:val="false"/>
          </w:tcPr>
          <w:p>
            <w:pPr>
              <w:pStyle w:val="700"/>
              <w:jc w:val="center"/>
              <w:spacing w:before="0" w:after="0" w:line="276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b/>
                <w:lang w:val="ru-RU"/>
              </w:rPr>
              <w:t xml:space="preserve">Заводской номер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pStyle w:val="700"/>
              <w:jc w:val="center"/>
              <w:spacing w:before="0" w:after="0" w:line="276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b/>
                <w:lang w:val="ru-RU"/>
              </w:rPr>
              <w:t xml:space="preserve">Дата ввода в эксплуатацию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60" w:type="dxa"/>
            <w:vAlign w:val="center"/>
            <w:textDirection w:val="lrTb"/>
            <w:noWrap w:val="false"/>
          </w:tcPr>
          <w:p>
            <w:pPr>
              <w:pStyle w:val="700"/>
              <w:contextualSpacing/>
              <w:jc w:val="left"/>
              <w:spacing w:before="0" w:after="0" w:line="276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860" w:type="dxa"/>
            <w:vAlign w:val="center"/>
            <w:textDirection w:val="lrTb"/>
            <w:noWrap w:val="false"/>
          </w:tcPr>
          <w:p>
            <w:pPr>
              <w:pStyle w:val="700"/>
              <w:jc w:val="center"/>
              <w:spacing w:before="0" w:after="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pStyle w:val="700"/>
              <w:jc w:val="center"/>
              <w:spacing w:before="0" w:after="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39" w:type="dxa"/>
            <w:vAlign w:val="center"/>
            <w:textDirection w:val="lrTb"/>
            <w:noWrap w:val="false"/>
          </w:tcPr>
          <w:p>
            <w:pPr>
              <w:pStyle w:val="700"/>
              <w:jc w:val="center"/>
              <w:spacing w:before="0" w:after="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55" w:type="dxa"/>
            <w:vAlign w:val="center"/>
            <w:textDirection w:val="lrTb"/>
            <w:noWrap w:val="false"/>
          </w:tcPr>
          <w:p>
            <w:pPr>
              <w:pStyle w:val="700"/>
              <w:jc w:val="center"/>
              <w:spacing w:before="0" w:after="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pStyle w:val="700"/>
              <w:jc w:val="center"/>
              <w:spacing w:before="0" w:after="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60" w:type="dxa"/>
            <w:vAlign w:val="center"/>
            <w:textDirection w:val="lrTb"/>
            <w:noWrap w:val="false"/>
          </w:tcPr>
          <w:p>
            <w:pPr>
              <w:pStyle w:val="772"/>
              <w:contextualSpacing/>
              <w:ind w:left="0" w:firstLine="0"/>
              <w:jc w:val="left"/>
              <w:spacing w:before="0" w:after="0" w:line="276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860" w:type="dxa"/>
            <w:vAlign w:val="center"/>
            <w:textDirection w:val="lrTb"/>
            <w:noWrap w:val="false"/>
          </w:tcPr>
          <w:p>
            <w:pPr>
              <w:pStyle w:val="700"/>
              <w:jc w:val="center"/>
              <w:spacing w:before="0" w:after="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pStyle w:val="700"/>
              <w:jc w:val="center"/>
              <w:spacing w:before="0" w:after="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39" w:type="dxa"/>
            <w:vAlign w:val="center"/>
            <w:textDirection w:val="lrTb"/>
            <w:noWrap w:val="false"/>
          </w:tcPr>
          <w:p>
            <w:pPr>
              <w:pStyle w:val="700"/>
              <w:jc w:val="center"/>
              <w:spacing w:before="0" w:after="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55" w:type="dxa"/>
            <w:vAlign w:val="center"/>
            <w:textDirection w:val="lrTb"/>
            <w:noWrap w:val="false"/>
          </w:tcPr>
          <w:p>
            <w:pPr>
              <w:pStyle w:val="700"/>
              <w:jc w:val="center"/>
              <w:spacing w:before="0" w:after="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pStyle w:val="700"/>
              <w:jc w:val="center"/>
              <w:spacing w:before="0" w:after="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60" w:type="dxa"/>
            <w:vAlign w:val="center"/>
            <w:textDirection w:val="lrTb"/>
            <w:noWrap w:val="false"/>
          </w:tcPr>
          <w:p>
            <w:pPr>
              <w:pStyle w:val="700"/>
              <w:contextualSpacing/>
              <w:jc w:val="center"/>
              <w:spacing w:before="0" w:after="0" w:line="276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  <w:t xml:space="preserve">…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860" w:type="dxa"/>
            <w:vAlign w:val="center"/>
            <w:textDirection w:val="lrTb"/>
            <w:noWrap w:val="false"/>
          </w:tcPr>
          <w:p>
            <w:pPr>
              <w:pStyle w:val="700"/>
              <w:jc w:val="center"/>
              <w:spacing w:before="0" w:after="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pStyle w:val="700"/>
              <w:jc w:val="center"/>
              <w:spacing w:before="0" w:after="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39" w:type="dxa"/>
            <w:vAlign w:val="center"/>
            <w:textDirection w:val="lrTb"/>
            <w:noWrap w:val="false"/>
          </w:tcPr>
          <w:p>
            <w:pPr>
              <w:pStyle w:val="700"/>
              <w:jc w:val="center"/>
              <w:spacing w:before="0" w:after="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55" w:type="dxa"/>
            <w:vAlign w:val="center"/>
            <w:textDirection w:val="lrTb"/>
            <w:noWrap w:val="false"/>
          </w:tcPr>
          <w:p>
            <w:pPr>
              <w:pStyle w:val="700"/>
              <w:jc w:val="center"/>
              <w:spacing w:before="0" w:after="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pStyle w:val="700"/>
              <w:jc w:val="center"/>
              <w:spacing w:before="0" w:after="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700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0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 xml:space="preserve">Оказанные услуги, по качеству и количеству отвечают требованиям, которые предусмотрены контрактом.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0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0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 xml:space="preserve">В ходе приемки услуг Заказчик: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0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 xml:space="preserve">- установил, что оказанные услуги соответствуют условиям, указанным в контракте.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0"/>
        <w:ind w:firstLine="284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 xml:space="preserve">Настоящий акт оказанных услуг составлен в двух экземплярах, по одному для каждой из сторон.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0"/>
        <w:rPr>
          <w:rFonts w:ascii="Times New Roman" w:hAnsi="Times New Roman" w:cs="Times New Roman"/>
        </w:rPr>
      </w:pPr>
      <w:r>
        <w:rPr>
          <w:rFonts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9664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832"/>
        <w:gridCol w:w="4831"/>
      </w:tblGrid>
      <w:tr>
        <w:tblPrEx/>
        <w:trPr>
          <w:trHeight w:val="960"/>
        </w:trPr>
        <w:tc>
          <w:tcPr>
            <w:tcW w:w="4832" w:type="dxa"/>
            <w:textDirection w:val="lrTb"/>
            <w:noWrap w:val="false"/>
          </w:tcPr>
          <w:p>
            <w:pPr>
              <w:pStyle w:val="777"/>
              <w:ind w:firstLine="0"/>
              <w:jc w:val="center"/>
              <w:widowControl w:val="off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r>
          </w:p>
          <w:p>
            <w:pPr>
              <w:pStyle w:val="700"/>
              <w:numPr>
                <w:ilvl w:val="0"/>
                <w:numId w:val="0"/>
              </w:numPr>
              <w:jc w:val="center"/>
              <w:widowControl w:val="off"/>
              <w:rPr>
                <w:rFonts w:ascii="Times New Roman" w:hAnsi="Times New Roman" w:cs="Times New Roman"/>
              </w:rPr>
              <w:outlineLvl w:val="0"/>
            </w:pPr>
            <w:r>
              <w:rPr>
                <w:rFonts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831" w:type="dxa"/>
            <w:textDirection w:val="lrTb"/>
            <w:noWrap w:val="false"/>
          </w:tcPr>
          <w:p>
            <w:pPr>
              <w:pStyle w:val="777"/>
              <w:ind w:firstLine="0"/>
              <w:jc w:val="center"/>
              <w:widowControl w:val="off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ИСПОЛНИТЕЛЬ: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r>
          </w:p>
          <w:p>
            <w:pPr>
              <w:pStyle w:val="777"/>
              <w:ind w:firstLine="0"/>
              <w:jc w:val="center"/>
              <w:widowControl w:val="off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r>
          </w:p>
        </w:tc>
      </w:tr>
    </w:tbl>
    <w:p>
      <w:pPr>
        <w:pStyle w:val="700"/>
        <w:rPr>
          <w:rFonts w:ascii="Times New Roman" w:hAnsi="Times New Roman" w:cs="Times New Roman"/>
        </w:rPr>
      </w:pPr>
      <w:r>
        <w:rPr>
          <w:rFonts w:cs="Times New Roman"/>
        </w:rPr>
        <w:t xml:space="preserve">               </w:t>
      </w:r>
      <w:r>
        <w:rPr>
          <w:rFonts w:cs="Times New Roman"/>
        </w:rPr>
        <w:t xml:space="preserve">_________________ /____________/</w:t>
        <w:tab/>
        <w:t xml:space="preserve">               _______________ / ___________ /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91"/>
        <w:ind w:firstLine="284"/>
        <w:jc w:val="center"/>
        <w:spacing w:before="0" w:after="0"/>
        <w:rPr>
          <w:spacing w:val="-4"/>
          <w:szCs w:val="24"/>
        </w:rPr>
      </w:pPr>
      <w:r>
        <w:rPr>
          <w:spacing w:val="-4"/>
          <w:szCs w:val="24"/>
        </w:rPr>
      </w:r>
      <w:r>
        <w:rPr>
          <w:spacing w:val="-4"/>
          <w:szCs w:val="24"/>
        </w:rPr>
      </w:r>
      <w:r>
        <w:rPr>
          <w:spacing w:val="-4"/>
          <w:szCs w:val="24"/>
        </w:rPr>
      </w:r>
    </w:p>
    <w:p>
      <w:pPr>
        <w:pStyle w:val="700"/>
        <w:ind w:firstLine="567"/>
        <w:jc w:val="right"/>
        <w:tabs>
          <w:tab w:val="clear" w:pos="708" w:leader="none"/>
          <w:tab w:val="left" w:pos="6039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sectPr>
      <w:headerReference w:type="default" r:id="rId10"/>
      <w:footnotePr/>
      <w:endnotePr/>
      <w:type w:val="nextPage"/>
      <w:pgSz w:w="11906" w:h="16838" w:orient="portrait"/>
      <w:pgMar w:top="1134" w:right="851" w:bottom="851" w:left="1135" w:header="709" w:footer="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roid Sans Devanagari">
    <w:panose1 w:val="020B0606030804020204"/>
  </w:font>
  <w:font w:name="Liberation Sans">
    <w:panose1 w:val="020B0604020202020204"/>
  </w:font>
  <w:font w:name="Calibri">
    <w:panose1 w:val="020F0502020204030204"/>
  </w:font>
  <w:font w:name="Tahoma">
    <w:panose1 w:val="020B0604030504040204"/>
  </w:font>
  <w:font w:name="Courier New">
    <w:panose1 w:val="02070309020205020404"/>
  </w:font>
  <w:font w:name="Cambria">
    <w:panose1 w:val="02040503050406030204"/>
  </w:font>
  <w:font w:name="Arial">
    <w:panose1 w:val="020B0604020202020204"/>
  </w:font>
  <w:font w:name="Calibri Light">
    <w:panose1 w:val="020F050202020403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6"/>
      <w:jc w:val="center"/>
      <w:rPr>
        <w:sz w:val="16"/>
        <w:szCs w:val="16"/>
      </w:rPr>
    </w:pPr>
    <w:r>
      <w:fldChar w:fldCharType="begin"/>
    </w:r>
    <w:r>
      <w:instrText xml:space="preserve"> PAGE </w:instrText>
    </w:r>
    <w:r>
      <w:fldChar w:fldCharType="separate"/>
    </w:r>
    <w:r>
      <w:t xml:space="preserve">3</w:t>
    </w:r>
    <w:r>
      <w:fldChar w:fldCharType="end"/>
    </w:r>
    <w:r>
      <w:rPr>
        <w:sz w:val="16"/>
        <w:szCs w:val="16"/>
      </w:rPr>
    </w:r>
    <w:r>
      <w:rPr>
        <w:sz w:val="16"/>
        <w:szCs w:val="16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6"/>
      <w:jc w:val="center"/>
      <w:rPr>
        <w:sz w:val="16"/>
        <w:szCs w:val="16"/>
      </w:rPr>
    </w:pPr>
    <w:r>
      <w:fldChar w:fldCharType="begin"/>
    </w:r>
    <w:r>
      <w:instrText xml:space="preserve"> PAGE </w:instrText>
    </w:r>
    <w:r>
      <w:fldChar w:fldCharType="separate"/>
    </w:r>
    <w:r>
      <w:t xml:space="preserve">6</w:t>
    </w:r>
    <w:r>
      <w:fldChar w:fldCharType="end"/>
    </w:r>
    <w:r>
      <w:rPr>
        <w:sz w:val="16"/>
        <w:szCs w:val="16"/>
      </w:rPr>
    </w:r>
    <w:r>
      <w:rPr>
        <w:sz w:val="16"/>
        <w:szCs w:val="16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3"/>
      <w:numFmt w:val="decimal"/>
      <w:isLgl w:val="false"/>
      <w:suff w:val="tab"/>
      <w:lvlText w:val="%1.%2."/>
      <w:lvlJc w:val="left"/>
      <w:pPr>
        <w:ind w:left="720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4"/>
      <w:numFmt w:val="decimal"/>
      <w:isLgl w:val="false"/>
      <w:suff w:val="tab"/>
      <w:lvlText w:val="%1.%2."/>
      <w:lvlJc w:val="left"/>
      <w:pPr>
        <w:ind w:left="720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  <w:tabs>
          <w:tab w:val="num" w:pos="0" w:leader="none"/>
        </w:tabs>
      </w:pPr>
    </w:lvl>
  </w:abstractNum>
  <w:abstractNum w:abstractNumId="2">
    <w:multiLevelType w:val="hybridMultilevel"/>
    <w:lvl w:ilvl="0">
      <w:start w:val="3"/>
      <w:numFmt w:val="decimal"/>
      <w:isLgl w:val="false"/>
      <w:suff w:val="space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3"/>
      <w:numFmt w:val="decimal"/>
      <w:isLgl w:val="false"/>
      <w:suff w:val="tab"/>
      <w:lvlText w:val="%1.%2."/>
      <w:lvlJc w:val="left"/>
      <w:pPr>
        <w:ind w:left="720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2">
    <w:name w:val="Hyperlink"/>
    <w:uiPriority w:val="99"/>
    <w:unhideWhenUsed/>
    <w:rPr>
      <w:color w:val="0000ff" w:themeColor="hyperlink"/>
      <w:u w:val="single"/>
    </w:rPr>
  </w:style>
  <w:style w:type="character" w:styleId="693">
    <w:name w:val="footnote reference"/>
    <w:basedOn w:val="730"/>
    <w:uiPriority w:val="99"/>
    <w:unhideWhenUsed/>
    <w:rPr>
      <w:vertAlign w:val="superscript"/>
    </w:rPr>
  </w:style>
  <w:style w:type="character" w:styleId="694">
    <w:name w:val="endnote reference"/>
    <w:basedOn w:val="730"/>
    <w:uiPriority w:val="99"/>
    <w:semiHidden/>
    <w:unhideWhenUsed/>
    <w:rPr>
      <w:vertAlign w:val="superscript"/>
    </w:rPr>
  </w:style>
  <w:style w:type="paragraph" w:styleId="695">
    <w:name w:val="toc 5"/>
    <w:basedOn w:val="700"/>
    <w:next w:val="700"/>
    <w:uiPriority w:val="39"/>
    <w:unhideWhenUsed/>
    <w:pPr>
      <w:ind w:left="1134" w:right="0" w:firstLine="0"/>
      <w:spacing w:after="57"/>
    </w:pPr>
  </w:style>
  <w:style w:type="paragraph" w:styleId="696">
    <w:name w:val="toc 6"/>
    <w:basedOn w:val="700"/>
    <w:next w:val="700"/>
    <w:uiPriority w:val="39"/>
    <w:unhideWhenUsed/>
    <w:pPr>
      <w:ind w:left="1417" w:right="0" w:firstLine="0"/>
      <w:spacing w:after="57"/>
    </w:pPr>
  </w:style>
  <w:style w:type="paragraph" w:styleId="697">
    <w:name w:val="toc 7"/>
    <w:basedOn w:val="700"/>
    <w:next w:val="700"/>
    <w:uiPriority w:val="39"/>
    <w:unhideWhenUsed/>
    <w:pPr>
      <w:ind w:left="1701" w:right="0" w:firstLine="0"/>
      <w:spacing w:after="57"/>
    </w:pPr>
  </w:style>
  <w:style w:type="paragraph" w:styleId="698">
    <w:name w:val="toc 8"/>
    <w:basedOn w:val="700"/>
    <w:next w:val="700"/>
    <w:uiPriority w:val="39"/>
    <w:unhideWhenUsed/>
    <w:pPr>
      <w:ind w:left="1984" w:right="0" w:firstLine="0"/>
      <w:spacing w:after="57"/>
    </w:pPr>
  </w:style>
  <w:style w:type="paragraph" w:styleId="699">
    <w:name w:val="toc 9"/>
    <w:basedOn w:val="700"/>
    <w:next w:val="700"/>
    <w:uiPriority w:val="39"/>
    <w:unhideWhenUsed/>
    <w:pPr>
      <w:ind w:left="2268" w:right="0" w:firstLine="0"/>
      <w:spacing w:after="57"/>
    </w:pPr>
  </w:style>
  <w:style w:type="paragraph" w:styleId="700" w:default="1" w:customStyle="1">
    <w:name w:val="Normal"/>
    <w:uiPriority w:val="99"/>
    <w:qFormat/>
    <w:pPr>
      <w:jc w:val="left"/>
      <w:spacing w:before="0" w:beforeAutospacing="0" w:after="0" w:afterAutospacing="0" w:line="240" w:lineRule="auto"/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701">
    <w:name w:val="Heading 1"/>
    <w:basedOn w:val="700"/>
    <w:next w:val="700"/>
    <w:link w:val="754"/>
    <w:uiPriority w:val="9"/>
    <w:qFormat/>
    <w:pPr>
      <w:keepLines/>
      <w:keepNext/>
      <w:spacing w:before="240" w:after="0"/>
      <w:outlineLvl w:val="0"/>
    </w:pPr>
    <w:rPr>
      <w:rFonts w:ascii="Calibri Light" w:hAnsi="Calibri Light" w:eastAsia="Arial" w:cs="Arial"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702">
    <w:name w:val="Heading 2"/>
    <w:basedOn w:val="700"/>
    <w:next w:val="700"/>
    <w:link w:val="742"/>
    <w:uiPriority w:val="9"/>
    <w:semiHidden/>
    <w:unhideWhenUsed/>
    <w:qFormat/>
    <w:pPr>
      <w:keepNext/>
      <w:spacing w:before="240" w:after="60" w:line="276" w:lineRule="auto"/>
      <w:widowControl/>
      <w:outlineLvl w:val="1"/>
    </w:pPr>
    <w:rPr>
      <w:rFonts w:ascii="Cambria" w:hAnsi="Cambria" w:eastAsia="Times New Roman" w:cs="Times New Roman"/>
      <w:b/>
      <w:bCs/>
      <w:i/>
      <w:iCs/>
      <w:color w:val="auto"/>
      <w:sz w:val="28"/>
      <w:szCs w:val="28"/>
      <w:lang w:eastAsia="en-US" w:bidi="ar-SA"/>
    </w:rPr>
  </w:style>
  <w:style w:type="paragraph" w:styleId="703">
    <w:name w:val="Heading 3"/>
    <w:basedOn w:val="700"/>
    <w:next w:val="700"/>
    <w:link w:val="734"/>
    <w:uiPriority w:val="9"/>
    <w:unhideWhenUsed/>
    <w:qFormat/>
    <w:pPr>
      <w:keepLines/>
      <w:keepNext/>
      <w:spacing w:before="40" w:after="0" w:line="259" w:lineRule="auto"/>
      <w:widowControl/>
      <w:outlineLvl w:val="2"/>
    </w:pPr>
    <w:rPr>
      <w:rFonts w:ascii="Calibri Light" w:hAnsi="Calibri Light" w:eastAsia="Arial" w:cs="Arial" w:asciiTheme="majorHAnsi" w:hAnsiTheme="majorHAnsi" w:eastAsiaTheme="majorEastAsia" w:cstheme="majorBidi"/>
      <w:color w:val="1f4d78" w:themeColor="accent1" w:themeShade="7F"/>
      <w:lang w:eastAsia="en-US" w:bidi="ar-SA"/>
    </w:rPr>
  </w:style>
  <w:style w:type="paragraph" w:styleId="704">
    <w:name w:val="Heading 4"/>
    <w:basedOn w:val="700"/>
    <w:next w:val="700"/>
    <w:link w:val="71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5">
    <w:name w:val="Heading 5"/>
    <w:basedOn w:val="700"/>
    <w:next w:val="700"/>
    <w:link w:val="71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6">
    <w:name w:val="Heading 6"/>
    <w:basedOn w:val="700"/>
    <w:next w:val="700"/>
    <w:link w:val="71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07">
    <w:name w:val="Heading 7"/>
    <w:basedOn w:val="700"/>
    <w:next w:val="700"/>
    <w:link w:val="71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08">
    <w:name w:val="Heading 8"/>
    <w:basedOn w:val="700"/>
    <w:next w:val="700"/>
    <w:link w:val="71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09">
    <w:name w:val="Heading 9"/>
    <w:basedOn w:val="700"/>
    <w:next w:val="700"/>
    <w:link w:val="71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0">
    <w:name w:val="Heading 1 Char"/>
    <w:basedOn w:val="730"/>
    <w:uiPriority w:val="9"/>
    <w:qFormat/>
    <w:rPr>
      <w:rFonts w:ascii="Arial" w:hAnsi="Arial" w:eastAsia="Arial" w:cs="Arial"/>
      <w:sz w:val="40"/>
      <w:szCs w:val="40"/>
    </w:rPr>
  </w:style>
  <w:style w:type="character" w:styleId="711">
    <w:name w:val="Heading 2 Char"/>
    <w:basedOn w:val="730"/>
    <w:uiPriority w:val="9"/>
    <w:qFormat/>
    <w:rPr>
      <w:rFonts w:ascii="Arial" w:hAnsi="Arial" w:eastAsia="Arial" w:cs="Arial"/>
      <w:sz w:val="34"/>
    </w:rPr>
  </w:style>
  <w:style w:type="character" w:styleId="712">
    <w:name w:val="Heading 3 Char"/>
    <w:basedOn w:val="730"/>
    <w:uiPriority w:val="9"/>
    <w:qFormat/>
    <w:rPr>
      <w:rFonts w:ascii="Arial" w:hAnsi="Arial" w:eastAsia="Arial" w:cs="Arial"/>
      <w:sz w:val="30"/>
      <w:szCs w:val="30"/>
    </w:rPr>
  </w:style>
  <w:style w:type="character" w:styleId="713">
    <w:name w:val="Heading 4 Char"/>
    <w:basedOn w:val="730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14">
    <w:name w:val="Heading 5 Char"/>
    <w:basedOn w:val="730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15">
    <w:name w:val="Heading 6 Char"/>
    <w:basedOn w:val="730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16">
    <w:name w:val="Heading 7 Char"/>
    <w:basedOn w:val="730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17">
    <w:name w:val="Heading 8 Char"/>
    <w:basedOn w:val="730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18">
    <w:name w:val="Heading 9 Char"/>
    <w:basedOn w:val="730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19">
    <w:name w:val="Title Char"/>
    <w:basedOn w:val="730"/>
    <w:uiPriority w:val="10"/>
    <w:qFormat/>
    <w:rPr>
      <w:sz w:val="48"/>
      <w:szCs w:val="48"/>
    </w:rPr>
  </w:style>
  <w:style w:type="character" w:styleId="720">
    <w:name w:val="Subtitle Char"/>
    <w:basedOn w:val="730"/>
    <w:uiPriority w:val="11"/>
    <w:qFormat/>
    <w:rPr>
      <w:sz w:val="24"/>
      <w:szCs w:val="24"/>
    </w:rPr>
  </w:style>
  <w:style w:type="character" w:styleId="721">
    <w:name w:val="Quote Char"/>
    <w:link w:val="762"/>
    <w:uiPriority w:val="29"/>
    <w:qFormat/>
    <w:rPr>
      <w:i/>
    </w:rPr>
  </w:style>
  <w:style w:type="character" w:styleId="722">
    <w:name w:val="Intense Quote Char"/>
    <w:link w:val="763"/>
    <w:uiPriority w:val="30"/>
    <w:qFormat/>
    <w:rPr>
      <w:i/>
    </w:rPr>
  </w:style>
  <w:style w:type="character" w:styleId="723">
    <w:name w:val="Header Char"/>
    <w:basedOn w:val="730"/>
    <w:uiPriority w:val="99"/>
    <w:qFormat/>
  </w:style>
  <w:style w:type="character" w:styleId="724">
    <w:name w:val="Footer Char"/>
    <w:basedOn w:val="730"/>
    <w:uiPriority w:val="99"/>
    <w:qFormat/>
  </w:style>
  <w:style w:type="character" w:styleId="725">
    <w:name w:val="Caption Char"/>
    <w:basedOn w:val="730"/>
    <w:uiPriority w:val="35"/>
    <w:qFormat/>
    <w:rPr>
      <w:b/>
      <w:bCs/>
      <w:color w:val="4f81bd" w:themeColor="accent1"/>
      <w:sz w:val="18"/>
      <w:szCs w:val="18"/>
    </w:rPr>
  </w:style>
  <w:style w:type="character" w:styleId="726">
    <w:name w:val="Footnote Text Char"/>
    <w:uiPriority w:val="99"/>
    <w:qFormat/>
    <w:rPr>
      <w:sz w:val="18"/>
    </w:rPr>
  </w:style>
  <w:style w:type="character" w:styleId="727">
    <w:name w:val="Endnote Text Char"/>
    <w:uiPriority w:val="99"/>
    <w:qFormat/>
    <w:rPr>
      <w:sz w:val="20"/>
    </w:rPr>
  </w:style>
  <w:style w:type="character" w:styleId="728">
    <w:name w:val="Символ концевой сноски"/>
    <w:basedOn w:val="730"/>
    <w:uiPriority w:val="99"/>
    <w:semiHidden/>
    <w:unhideWhenUsed/>
    <w:qFormat/>
    <w:rPr>
      <w:vertAlign w:val="superscript"/>
    </w:rPr>
  </w:style>
  <w:style w:type="character" w:styleId="729">
    <w:name w:val="Привязка концевой сноски"/>
    <w:rPr>
      <w:vertAlign w:val="superscript"/>
    </w:rPr>
  </w:style>
  <w:style w:type="character" w:styleId="730" w:default="1">
    <w:name w:val="Default Paragraph Font"/>
    <w:uiPriority w:val="1"/>
    <w:semiHidden/>
    <w:unhideWhenUsed/>
    <w:qFormat/>
  </w:style>
  <w:style w:type="character" w:styleId="731" w:customStyle="1">
    <w:name w:val="Текст сноски Знак"/>
    <w:basedOn w:val="730"/>
    <w:uiPriority w:val="99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732">
    <w:name w:val="Символ сноски"/>
    <w:uiPriority w:val="99"/>
    <w:qFormat/>
    <w:rPr>
      <w:vertAlign w:val="superscript"/>
    </w:rPr>
  </w:style>
  <w:style w:type="character" w:styleId="733">
    <w:name w:val="Привязка сноски"/>
    <w:rPr>
      <w:vertAlign w:val="superscript"/>
    </w:rPr>
  </w:style>
  <w:style w:type="character" w:styleId="734" w:customStyle="1">
    <w:name w:val="Заголовок 3 Знак"/>
    <w:basedOn w:val="730"/>
    <w:uiPriority w:val="9"/>
    <w:qFormat/>
    <w:rPr>
      <w:rFonts w:ascii="Calibri Light" w:hAnsi="Calibri Light" w:eastAsia="Arial" w:cs="Arial"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735" w:customStyle="1">
    <w:name w:val="Верхний колонтитул Знак"/>
    <w:basedOn w:val="730"/>
    <w:uiPriority w:val="99"/>
    <w:qFormat/>
    <w:rPr>
      <w:rFonts w:ascii="Times New Roman" w:hAnsi="Times New Roman" w:eastAsia="Times New Roman" w:cs="Times New Roman"/>
      <w:sz w:val="24"/>
      <w:szCs w:val="24"/>
    </w:rPr>
  </w:style>
  <w:style w:type="character" w:styleId="736" w:customStyle="1">
    <w:name w:val="Абзац списка Знак"/>
    <w:link w:val="772"/>
    <w:uiPriority w:val="34"/>
    <w:qFormat/>
    <w:rPr>
      <w:rFonts w:ascii="Courier New" w:hAnsi="Courier New" w:eastAsia="Courier New" w:cs="Courier New"/>
      <w:color w:val="000000"/>
      <w:sz w:val="24"/>
      <w:szCs w:val="24"/>
      <w:lang w:eastAsia="ru-RU" w:bidi="ru-RU"/>
    </w:rPr>
  </w:style>
  <w:style w:type="character" w:styleId="737" w:customStyle="1">
    <w:name w:val="ConsPlusNormal Знак"/>
    <w:link w:val="777"/>
    <w:qFormat/>
    <w:rPr>
      <w:rFonts w:ascii="Arial" w:hAnsi="Arial" w:eastAsia="Times New Roman" w:cs="Arial"/>
      <w:sz w:val="20"/>
      <w:szCs w:val="20"/>
      <w:lang w:eastAsia="ru-RU"/>
    </w:rPr>
  </w:style>
  <w:style w:type="character" w:styleId="738">
    <w:name w:val="Интернет-ссылка"/>
    <w:basedOn w:val="730"/>
    <w:uiPriority w:val="99"/>
    <w:unhideWhenUsed/>
    <w:rPr>
      <w:color w:val="0000ff"/>
      <w:u w:val="single"/>
    </w:rPr>
  </w:style>
  <w:style w:type="character" w:styleId="739" w:customStyle="1">
    <w:name w:val="Основной шрифт абзаца3"/>
    <w:qFormat/>
    <w:rPr>
      <w:sz w:val="24"/>
    </w:rPr>
  </w:style>
  <w:style w:type="character" w:styleId="740" w:customStyle="1">
    <w:name w:val="Основной текст_"/>
    <w:basedOn w:val="730"/>
    <w:link w:val="779"/>
    <w:qFormat/>
    <w:rPr>
      <w:rFonts w:ascii="Times New Roman" w:hAnsi="Times New Roman" w:eastAsia="Times New Roman" w:cs="Times New Roman"/>
      <w:shd w:val="clear" w:color="auto" w:fill="ffffff"/>
    </w:rPr>
  </w:style>
  <w:style w:type="character" w:styleId="741" w:customStyle="1">
    <w:name w:val="Основной текст (3)_"/>
    <w:basedOn w:val="730"/>
    <w:link w:val="780"/>
    <w:qFormat/>
    <w:rPr>
      <w:rFonts w:ascii="Tahoma" w:hAnsi="Tahoma" w:eastAsia="Tahoma" w:cs="Tahoma"/>
      <w:sz w:val="15"/>
      <w:szCs w:val="15"/>
      <w:shd w:val="clear" w:color="auto" w:fill="ffffff"/>
    </w:rPr>
  </w:style>
  <w:style w:type="character" w:styleId="742" w:customStyle="1">
    <w:name w:val="Заголовок 2 Знак"/>
    <w:basedOn w:val="730"/>
    <w:uiPriority w:val="9"/>
    <w:semiHidden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743" w:customStyle="1">
    <w:name w:val="Текст выноски Знак"/>
    <w:basedOn w:val="730"/>
    <w:link w:val="781"/>
    <w:uiPriority w:val="99"/>
    <w:semiHidden/>
    <w:qFormat/>
    <w:rPr>
      <w:rFonts w:ascii="Tahoma" w:hAnsi="Tahoma" w:eastAsia="Arial" w:cs="Tahoma" w:eastAsiaTheme="minorEastAsia"/>
      <w:sz w:val="16"/>
      <w:szCs w:val="16"/>
      <w:lang w:eastAsia="ru-RU"/>
    </w:rPr>
  </w:style>
  <w:style w:type="character" w:styleId="744" w:customStyle="1">
    <w:name w:val="text-sm"/>
    <w:basedOn w:val="730"/>
    <w:qFormat/>
  </w:style>
  <w:style w:type="character" w:styleId="745" w:customStyle="1">
    <w:name w:val="n-tag__content"/>
    <w:basedOn w:val="730"/>
    <w:qFormat/>
  </w:style>
  <w:style w:type="character" w:styleId="746" w:customStyle="1">
    <w:name w:val="e1ckvoeh0"/>
    <w:basedOn w:val="730"/>
    <w:qFormat/>
  </w:style>
  <w:style w:type="character" w:styleId="747" w:customStyle="1">
    <w:name w:val="e1ckvoeh1"/>
    <w:basedOn w:val="730"/>
    <w:qFormat/>
  </w:style>
  <w:style w:type="character" w:styleId="748" w:customStyle="1">
    <w:name w:val="Основной текст с отступом Знак"/>
    <w:basedOn w:val="730"/>
    <w:qFormat/>
    <w:rPr>
      <w:rFonts w:ascii="Arial" w:hAnsi="Arial" w:eastAsia="Times New Roman" w:cs="Times New Roman"/>
      <w:sz w:val="18"/>
      <w:szCs w:val="18"/>
    </w:rPr>
  </w:style>
  <w:style w:type="character" w:styleId="749" w:customStyle="1">
    <w:name w:val="Основной текст Знак"/>
    <w:basedOn w:val="730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50" w:customStyle="1">
    <w:name w:val="Без интервала Знак"/>
    <w:link w:val="786"/>
    <w:uiPriority w:val="1"/>
    <w:qFormat/>
    <w:rPr>
      <w:rFonts w:ascii="Calibri" w:hAnsi="Calibri" w:eastAsia="Calibri" w:cs="Calibri"/>
    </w:rPr>
  </w:style>
  <w:style w:type="character" w:styleId="751" w:customStyle="1">
    <w:name w:val="ConsNormal Знак"/>
    <w:link w:val="788"/>
    <w:qFormat/>
    <w:rPr>
      <w:rFonts w:ascii="Arial" w:hAnsi="Arial" w:eastAsia="Times New Roman" w:cs="Arial"/>
      <w:sz w:val="20"/>
      <w:szCs w:val="20"/>
      <w:lang w:eastAsia="ru-RU"/>
    </w:rPr>
  </w:style>
  <w:style w:type="character" w:styleId="752" w:customStyle="1">
    <w:name w:val="Основной текст 2 Знак"/>
    <w:basedOn w:val="730"/>
    <w:link w:val="789"/>
    <w:uiPriority w:val="99"/>
    <w:semiHidden/>
    <w:qFormat/>
    <w:rPr>
      <w:rFonts w:ascii="Courier New" w:hAnsi="Courier New" w:eastAsia="Courier New" w:cs="Courier New"/>
      <w:color w:val="000000"/>
      <w:sz w:val="24"/>
      <w:szCs w:val="24"/>
      <w:lang w:eastAsia="ru-RU" w:bidi="ru-RU"/>
    </w:rPr>
  </w:style>
  <w:style w:type="character" w:styleId="753" w:customStyle="1">
    <w:name w:val="Нижний колонтитул Знак"/>
    <w:basedOn w:val="730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54" w:customStyle="1">
    <w:name w:val="Заголовок 1 Знак"/>
    <w:basedOn w:val="730"/>
    <w:uiPriority w:val="9"/>
    <w:qFormat/>
    <w:rPr>
      <w:rFonts w:ascii="Calibri Light" w:hAnsi="Calibri Light" w:eastAsia="Arial" w:cs="Arial" w:asciiTheme="majorHAnsi" w:hAnsiTheme="majorHAnsi" w:eastAsiaTheme="majorEastAsia" w:cstheme="majorBidi"/>
      <w:color w:val="2e74b5" w:themeColor="accent1" w:themeShade="BF"/>
      <w:sz w:val="32"/>
      <w:szCs w:val="32"/>
      <w:lang w:eastAsia="ru-RU" w:bidi="ru-RU"/>
    </w:rPr>
  </w:style>
  <w:style w:type="paragraph" w:styleId="755">
    <w:name w:val="Заголовок"/>
    <w:basedOn w:val="700"/>
    <w:next w:val="756"/>
    <w:qFormat/>
    <w:pPr>
      <w:keepNext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756">
    <w:name w:val="Body Text"/>
    <w:basedOn w:val="700"/>
    <w:link w:val="749"/>
    <w:pPr>
      <w:spacing w:before="0" w:after="120"/>
      <w:widowControl/>
    </w:pPr>
    <w:rPr>
      <w:rFonts w:ascii="Times New Roman" w:hAnsi="Times New Roman" w:eastAsia="Times New Roman" w:cs="Times New Roman"/>
      <w:color w:val="auto"/>
      <w:lang w:bidi="ar-SA"/>
    </w:rPr>
  </w:style>
  <w:style w:type="paragraph" w:styleId="757">
    <w:name w:val="List"/>
    <w:basedOn w:val="756"/>
    <w:rPr>
      <w:rFonts w:cs="Droid Sans Devanagari"/>
    </w:rPr>
  </w:style>
  <w:style w:type="paragraph" w:styleId="758">
    <w:name w:val="Caption"/>
    <w:basedOn w:val="700"/>
    <w:next w:val="700"/>
    <w:link w:val="72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759">
    <w:name w:val="Указатель"/>
    <w:basedOn w:val="700"/>
    <w:qFormat/>
    <w:pPr>
      <w:suppressLineNumbers/>
    </w:pPr>
    <w:rPr>
      <w:rFonts w:cs="Droid Sans Devanagari"/>
    </w:rPr>
  </w:style>
  <w:style w:type="paragraph" w:styleId="760">
    <w:name w:val="Title"/>
    <w:basedOn w:val="700"/>
    <w:next w:val="700"/>
    <w:link w:val="719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61">
    <w:name w:val="Subtitle"/>
    <w:basedOn w:val="700"/>
    <w:next w:val="700"/>
    <w:link w:val="720"/>
    <w:uiPriority w:val="11"/>
    <w:qFormat/>
    <w:pPr>
      <w:spacing w:before="200" w:after="200"/>
    </w:pPr>
    <w:rPr>
      <w:sz w:val="24"/>
      <w:szCs w:val="24"/>
    </w:rPr>
  </w:style>
  <w:style w:type="paragraph" w:styleId="762">
    <w:name w:val="Quote"/>
    <w:basedOn w:val="700"/>
    <w:next w:val="700"/>
    <w:link w:val="721"/>
    <w:uiPriority w:val="29"/>
    <w:qFormat/>
    <w:pPr>
      <w:ind w:left="720" w:right="720" w:firstLine="0"/>
    </w:pPr>
    <w:rPr>
      <w:i/>
    </w:rPr>
  </w:style>
  <w:style w:type="paragraph" w:styleId="763">
    <w:name w:val="Intense Quote"/>
    <w:basedOn w:val="700"/>
    <w:next w:val="700"/>
    <w:link w:val="722"/>
    <w:uiPriority w:val="30"/>
    <w:qFormat/>
    <w:pPr>
      <w:ind w:left="720" w:right="720" w:firstLine="0"/>
      <w:spacing w:before="0" w:after="16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64">
    <w:name w:val="endnote text"/>
    <w:basedOn w:val="700"/>
    <w:link w:val="727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765">
    <w:name w:val="toc 1"/>
    <w:basedOn w:val="700"/>
    <w:next w:val="700"/>
    <w:uiPriority w:val="39"/>
    <w:unhideWhenUsed/>
    <w:pPr>
      <w:ind w:left="0" w:right="0" w:firstLine="0"/>
      <w:spacing w:before="0" w:after="57"/>
    </w:pPr>
  </w:style>
  <w:style w:type="paragraph" w:styleId="766">
    <w:name w:val="toc 2"/>
    <w:basedOn w:val="700"/>
    <w:next w:val="700"/>
    <w:uiPriority w:val="39"/>
    <w:unhideWhenUsed/>
    <w:pPr>
      <w:ind w:left="283" w:right="0" w:firstLine="0"/>
      <w:spacing w:before="0" w:after="57"/>
    </w:pPr>
  </w:style>
  <w:style w:type="paragraph" w:styleId="767">
    <w:name w:val="toc 3"/>
    <w:basedOn w:val="700"/>
    <w:next w:val="700"/>
    <w:uiPriority w:val="39"/>
    <w:unhideWhenUsed/>
    <w:pPr>
      <w:ind w:left="567" w:right="0" w:firstLine="0"/>
      <w:spacing w:before="0" w:after="57"/>
    </w:pPr>
  </w:style>
  <w:style w:type="paragraph" w:styleId="768">
    <w:name w:val="toc 4"/>
    <w:basedOn w:val="700"/>
    <w:next w:val="700"/>
    <w:uiPriority w:val="39"/>
    <w:unhideWhenUsed/>
    <w:pPr>
      <w:ind w:left="850" w:right="0" w:firstLine="0"/>
      <w:spacing w:before="0" w:after="57"/>
    </w:pPr>
  </w:style>
  <w:style w:type="paragraph" w:styleId="769">
    <w:name w:val="Index Heading"/>
    <w:basedOn w:val="755"/>
  </w:style>
  <w:style w:type="paragraph" w:styleId="770">
    <w:name w:val="TOC Heading"/>
    <w:uiPriority w:val="39"/>
    <w:unhideWhenUsed/>
    <w:pPr>
      <w:jc w:val="left"/>
      <w:spacing w:before="0" w:beforeAutospacing="0" w:after="160" w:afterAutospacing="0" w:line="259" w:lineRule="auto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71">
    <w:name w:val="table of figures"/>
    <w:basedOn w:val="700"/>
    <w:next w:val="700"/>
    <w:uiPriority w:val="99"/>
    <w:unhideWhenUsed/>
    <w:qFormat/>
    <w:pPr>
      <w:spacing w:before="0" w:after="0" w:afterAutospacing="0"/>
    </w:pPr>
  </w:style>
  <w:style w:type="paragraph" w:styleId="772">
    <w:name w:val="List Paragraph"/>
    <w:basedOn w:val="700"/>
    <w:link w:val="736"/>
    <w:uiPriority w:val="99"/>
    <w:qFormat/>
    <w:pPr>
      <w:contextualSpacing/>
      <w:ind w:left="720" w:firstLine="0"/>
      <w:spacing w:before="0" w:after="0"/>
    </w:pPr>
  </w:style>
  <w:style w:type="paragraph" w:styleId="773">
    <w:name w:val="footnote text"/>
    <w:basedOn w:val="700"/>
    <w:link w:val="731"/>
    <w:uiPriority w:val="99"/>
    <w:qFormat/>
    <w:pPr>
      <w:jc w:val="both"/>
      <w:spacing w:before="0" w:after="60"/>
      <w:widowControl/>
    </w:pPr>
    <w:rPr>
      <w:rFonts w:ascii="Times New Roman" w:hAnsi="Times New Roman" w:eastAsia="Times New Roman" w:cs="Times New Roman"/>
      <w:color w:val="auto"/>
      <w:sz w:val="20"/>
      <w:szCs w:val="20"/>
      <w:lang w:bidi="ar-SA"/>
    </w:rPr>
  </w:style>
  <w:style w:type="paragraph" w:styleId="774" w:customStyle="1">
    <w:name w:val="Абзац списка1"/>
    <w:basedOn w:val="700"/>
    <w:qFormat/>
    <w:pPr>
      <w:ind w:left="720" w:firstLine="0"/>
      <w:spacing w:before="0" w:after="200" w:line="276" w:lineRule="auto"/>
      <w:widowControl/>
    </w:pPr>
    <w:rPr>
      <w:rFonts w:ascii="Calibri" w:hAnsi="Calibri" w:eastAsia="Times New Roman" w:cs="Calibri"/>
      <w:color w:val="auto"/>
      <w:sz w:val="22"/>
      <w:szCs w:val="22"/>
      <w:lang w:bidi="ar-SA"/>
    </w:rPr>
  </w:style>
  <w:style w:type="paragraph" w:styleId="775">
    <w:name w:val="Колонтитул"/>
    <w:basedOn w:val="700"/>
    <w:qFormat/>
  </w:style>
  <w:style w:type="paragraph" w:styleId="776">
    <w:name w:val="Header"/>
    <w:basedOn w:val="700"/>
    <w:link w:val="735"/>
    <w:uiPriority w:val="99"/>
    <w:pPr>
      <w:widowControl/>
      <w:tabs>
        <w:tab w:val="clear" w:pos="708" w:leader="none"/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color w:val="auto"/>
      <w:lang w:bidi="ar-SA"/>
    </w:rPr>
  </w:style>
  <w:style w:type="paragraph" w:styleId="777" w:customStyle="1">
    <w:name w:val="ConsPlusNormal"/>
    <w:link w:val="737"/>
    <w:qFormat/>
    <w:pPr>
      <w:ind w:firstLine="720"/>
      <w:jc w:val="left"/>
      <w:spacing w:before="0" w:beforeAutospacing="0" w:after="0" w:afterAutospacing="0" w:line="240" w:lineRule="auto"/>
      <w:widowControl/>
    </w:pPr>
    <w:rPr>
      <w:rFonts w:ascii="Arial" w:hAnsi="Arial" w:eastAsia="Times New Roman" w:cs="Arial" w:cstheme="minorBidi"/>
      <w:color w:val="auto"/>
      <w:sz w:val="20"/>
      <w:szCs w:val="20"/>
      <w:lang w:val="ru-RU" w:eastAsia="ru-RU" w:bidi="ar-SA"/>
    </w:rPr>
  </w:style>
  <w:style w:type="paragraph" w:styleId="778" w:customStyle="1">
    <w:name w:val="Standard"/>
    <w:qFormat/>
    <w:pPr>
      <w:jc w:val="left"/>
      <w:spacing w:before="0" w:beforeAutospacing="0" w:after="0" w:afterAutospacing="0" w:line="240" w:lineRule="auto"/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779" w:customStyle="1">
    <w:name w:val="Основной текст2"/>
    <w:basedOn w:val="700"/>
    <w:link w:val="740"/>
    <w:qFormat/>
    <w:pPr>
      <w:ind w:hanging="120"/>
      <w:jc w:val="right"/>
      <w:spacing w:line="274" w:lineRule="exact"/>
      <w:shd w:val="clear" w:color="auto" w:fill="ffffff"/>
      <w:widowControl/>
    </w:pPr>
    <w:rPr>
      <w:rFonts w:ascii="Times New Roman" w:hAnsi="Times New Roman" w:eastAsia="Times New Roman" w:cs="Times New Roman"/>
      <w:color w:val="auto"/>
      <w:sz w:val="22"/>
      <w:szCs w:val="22"/>
      <w:lang w:eastAsia="en-US" w:bidi="ar-SA"/>
    </w:rPr>
  </w:style>
  <w:style w:type="paragraph" w:styleId="780" w:customStyle="1">
    <w:name w:val="Основной текст (3)"/>
    <w:basedOn w:val="700"/>
    <w:link w:val="741"/>
    <w:qFormat/>
    <w:pPr>
      <w:jc w:val="both"/>
      <w:spacing w:line="0" w:lineRule="atLeast"/>
      <w:shd w:val="clear" w:color="auto" w:fill="ffffff"/>
      <w:widowControl/>
    </w:pPr>
    <w:rPr>
      <w:rFonts w:ascii="Tahoma" w:hAnsi="Tahoma" w:eastAsia="Tahoma" w:cs="Tahoma"/>
      <w:color w:val="auto"/>
      <w:sz w:val="15"/>
      <w:szCs w:val="15"/>
      <w:lang w:eastAsia="en-US" w:bidi="ar-SA"/>
    </w:rPr>
  </w:style>
  <w:style w:type="paragraph" w:styleId="781">
    <w:name w:val="Balloon Text"/>
    <w:basedOn w:val="700"/>
    <w:link w:val="743"/>
    <w:uiPriority w:val="99"/>
    <w:semiHidden/>
    <w:unhideWhenUsed/>
    <w:qFormat/>
    <w:pPr>
      <w:widowControl/>
    </w:pPr>
    <w:rPr>
      <w:rFonts w:ascii="Tahoma" w:hAnsi="Tahoma" w:eastAsia="Arial" w:cs="Tahoma" w:eastAsiaTheme="minorEastAsia"/>
      <w:color w:val="auto"/>
      <w:sz w:val="16"/>
      <w:szCs w:val="16"/>
      <w:lang w:bidi="ar-SA"/>
    </w:rPr>
  </w:style>
  <w:style w:type="paragraph" w:styleId="782" w:customStyle="1">
    <w:name w:val="s_1"/>
    <w:basedOn w:val="700"/>
    <w:qFormat/>
    <w:pPr>
      <w:spacing w:beforeAutospacing="1" w:afterAutospacing="1"/>
      <w:widowControl/>
    </w:pPr>
    <w:rPr>
      <w:rFonts w:ascii="Times New Roman" w:hAnsi="Times New Roman" w:eastAsia="Times New Roman" w:cs="Times New Roman"/>
      <w:color w:val="auto"/>
      <w:lang w:bidi="ar-SA"/>
    </w:rPr>
  </w:style>
  <w:style w:type="paragraph" w:styleId="783" w:customStyle="1">
    <w:name w:val="empty"/>
    <w:basedOn w:val="700"/>
    <w:qFormat/>
    <w:pPr>
      <w:spacing w:beforeAutospacing="1" w:afterAutospacing="1"/>
      <w:widowControl/>
    </w:pPr>
    <w:rPr>
      <w:rFonts w:ascii="Times New Roman" w:hAnsi="Times New Roman" w:eastAsia="Times New Roman" w:cs="Times New Roman"/>
      <w:color w:val="auto"/>
      <w:lang w:bidi="ar-SA"/>
    </w:rPr>
  </w:style>
  <w:style w:type="paragraph" w:styleId="784" w:customStyle="1">
    <w:name w:val="ae_oaeno12"/>
    <w:basedOn w:val="700"/>
    <w:qFormat/>
    <w:pPr>
      <w:ind w:firstLine="720"/>
      <w:jc w:val="both"/>
      <w:spacing w:line="360" w:lineRule="auto"/>
      <w:widowControl/>
    </w:pPr>
    <w:rPr>
      <w:rFonts w:ascii="Times New Roman" w:hAnsi="Times New Roman" w:eastAsia="Times New Roman" w:cs="Times New Roman"/>
      <w:color w:val="auto"/>
      <w:lang w:bidi="ar-SA"/>
    </w:rPr>
  </w:style>
  <w:style w:type="paragraph" w:styleId="785">
    <w:name w:val="Body Text Indent"/>
    <w:basedOn w:val="700"/>
    <w:link w:val="748"/>
    <w:qFormat/>
    <w:pPr>
      <w:ind w:left="283" w:firstLine="0"/>
      <w:spacing w:before="0" w:after="120"/>
    </w:pPr>
    <w:rPr>
      <w:rFonts w:ascii="Arial" w:hAnsi="Arial" w:eastAsia="Times New Roman" w:cs="Times New Roman"/>
      <w:color w:val="auto"/>
      <w:sz w:val="18"/>
      <w:szCs w:val="18"/>
      <w:lang w:eastAsia="en-US" w:bidi="ar-SA"/>
    </w:rPr>
  </w:style>
  <w:style w:type="paragraph" w:styleId="786">
    <w:name w:val="No Spacing"/>
    <w:link w:val="750"/>
    <w:uiPriority w:val="1"/>
    <w:qFormat/>
    <w:pPr>
      <w:jc w:val="left"/>
      <w:spacing w:before="0" w:beforeAutospacing="0" w:after="0" w:afterAutospacing="0" w:line="240" w:lineRule="auto"/>
      <w:widowControl/>
    </w:pPr>
    <w:rPr>
      <w:rFonts w:ascii="Calibri" w:hAnsi="Calibri" w:eastAsia="Calibri" w:cs="Calibri" w:asciiTheme="minorHAnsi" w:hAnsiTheme="minorHAnsi" w:eastAsiaTheme="minorHAnsi"/>
      <w:color w:val="auto"/>
      <w:sz w:val="22"/>
      <w:szCs w:val="22"/>
      <w:lang w:val="ru-RU" w:eastAsia="en-US" w:bidi="ar-SA"/>
    </w:rPr>
  </w:style>
  <w:style w:type="paragraph" w:styleId="787" w:customStyle="1">
    <w:name w:val="Table Paragraph"/>
    <w:basedOn w:val="700"/>
    <w:uiPriority w:val="1"/>
    <w:qFormat/>
    <w:pPr>
      <w:ind w:left="110" w:firstLine="0"/>
      <w:jc w:val="center"/>
      <w:spacing w:before="28" w:after="0"/>
    </w:pPr>
    <w:rPr>
      <w:rFonts w:ascii="Times New Roman" w:hAnsi="Times New Roman" w:eastAsia="Times New Roman" w:cs="Times New Roman"/>
      <w:color w:val="auto"/>
      <w:sz w:val="22"/>
      <w:szCs w:val="22"/>
      <w:lang w:eastAsia="en-US" w:bidi="ar-SA"/>
    </w:rPr>
  </w:style>
  <w:style w:type="paragraph" w:styleId="788" w:customStyle="1">
    <w:name w:val="ConsNormal"/>
    <w:link w:val="751"/>
    <w:qFormat/>
    <w:pPr>
      <w:ind w:right="19772" w:firstLine="720"/>
      <w:jc w:val="left"/>
      <w:spacing w:before="0" w:beforeAutospacing="0" w:after="0" w:afterAutospacing="0" w:line="240" w:lineRule="auto"/>
      <w:widowControl/>
    </w:pPr>
    <w:rPr>
      <w:rFonts w:ascii="Arial" w:hAnsi="Arial" w:eastAsia="Times New Roman" w:cs="Arial" w:cstheme="minorBidi"/>
      <w:color w:val="auto"/>
      <w:sz w:val="20"/>
      <w:szCs w:val="20"/>
      <w:lang w:val="ru-RU" w:eastAsia="ru-RU" w:bidi="ar-SA"/>
    </w:rPr>
  </w:style>
  <w:style w:type="paragraph" w:styleId="789">
    <w:name w:val="Body Text 2"/>
    <w:basedOn w:val="700"/>
    <w:link w:val="752"/>
    <w:uiPriority w:val="99"/>
    <w:semiHidden/>
    <w:unhideWhenUsed/>
    <w:qFormat/>
    <w:pPr>
      <w:spacing w:before="0" w:after="120" w:line="480" w:lineRule="auto"/>
    </w:pPr>
  </w:style>
  <w:style w:type="paragraph" w:styleId="790">
    <w:name w:val="Footer"/>
    <w:basedOn w:val="700"/>
    <w:link w:val="753"/>
    <w:uiPriority w:val="99"/>
    <w:pPr>
      <w:widowControl/>
      <w:tabs>
        <w:tab w:val="clear" w:pos="708" w:leader="none"/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color w:val="auto"/>
      <w:lang w:bidi="ar-SA"/>
    </w:rPr>
  </w:style>
  <w:style w:type="paragraph" w:styleId="791" w:customStyle="1">
    <w:name w:val="Стиль_таб2"/>
    <w:basedOn w:val="700"/>
    <w:semiHidden/>
    <w:qFormat/>
    <w:pPr>
      <w:jc w:val="both"/>
      <w:spacing w:before="120" w:after="120"/>
    </w:pPr>
    <w:rPr>
      <w:rFonts w:ascii="Times New Roman" w:hAnsi="Times New Roman" w:eastAsia="Times New Roman" w:cs="Times New Roman"/>
      <w:color w:val="auto"/>
      <w:szCs w:val="20"/>
      <w:lang w:bidi="ar-SA"/>
    </w:rPr>
  </w:style>
  <w:style w:type="numbering" w:styleId="792" w:default="1">
    <w:name w:val="No List"/>
    <w:uiPriority w:val="99"/>
    <w:semiHidden/>
    <w:unhideWhenUsed/>
    <w:qFormat/>
  </w:style>
  <w:style w:type="table" w:styleId="793">
    <w:name w:val="Table Grid Light"/>
    <w:basedOn w:val="91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4">
    <w:name w:val="Plain Table 1"/>
    <w:basedOn w:val="91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95">
    <w:name w:val="Plain Table 2"/>
    <w:basedOn w:val="91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96">
    <w:name w:val="Plain Table 3"/>
    <w:basedOn w:val="9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7">
    <w:name w:val="Plain Table 4"/>
    <w:basedOn w:val="9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Plain Table 5"/>
    <w:basedOn w:val="9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9">
    <w:name w:val="Grid Table 1 Light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1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2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3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4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5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1 Light - Accent 6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2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2 - Accent 1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debf6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2 - Accent 2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2 - Accent 3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2 - Accent 4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2 - Accent 5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2 - Accent 6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3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3 - Accent 1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debf6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3 - Accent 2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3 - Accent 3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3 - Accent 4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3 - Accent 5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3 - Accent 6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4"/>
    <w:basedOn w:val="91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1">
    <w:name w:val="Grid Table 4 - Accent 1"/>
    <w:basedOn w:val="91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febf6" w:themeFill="accent1" w:themeFillTint="32"/>
      </w:tcPr>
    </w:tblStylePr>
    <w:tblStylePr w:type="band1Vert">
      <w:rPr>
        <w:color w:val="404040"/>
        <w:sz w:val="22"/>
      </w:rPr>
      <w:tcPr>
        <w:shd w:val="clear" w:color="ffffff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67a4d8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</w:tcBorders>
      </w:tcPr>
    </w:tblStylePr>
  </w:style>
  <w:style w:type="table" w:styleId="822">
    <w:name w:val="Grid Table 4 - Accent 2"/>
    <w:basedOn w:val="91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4b185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</w:tcBorders>
      </w:tcPr>
    </w:tblStylePr>
  </w:style>
  <w:style w:type="table" w:styleId="823">
    <w:name w:val="Grid Table 4 - Accent 3"/>
    <w:basedOn w:val="91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a5a5a5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</w:tcBorders>
      </w:tcPr>
    </w:tblStylePr>
  </w:style>
  <w:style w:type="table" w:styleId="824">
    <w:name w:val="Grid Table 4 - Accent 4"/>
    <w:basedOn w:val="91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fd864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</w:tcBorders>
      </w:tcPr>
    </w:tblStylePr>
  </w:style>
  <w:style w:type="table" w:styleId="825">
    <w:name w:val="Grid Table 4 - Accent 5"/>
    <w:basedOn w:val="91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6">
    <w:name w:val="Grid Table 4 - Accent 6"/>
    <w:basedOn w:val="91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7">
    <w:name w:val="Grid Table 5 Dark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828">
    <w:name w:val="Grid Table 5 Dark- Accent 1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b4d2eb" w:themeFill="accent1" w:themeFillTint="75"/>
      </w:tcPr>
    </w:tblStylePr>
    <w:tblStylePr w:type="band1Vert">
      <w:tcPr>
        <w:shd w:val="clear" w:color="ffffff" w:fill="b4d2eb" w:themeFill="accent1" w:themeFillTint="75"/>
      </w:tcPr>
    </w:tblStylePr>
    <w:tblStylePr w:type="firstCol">
      <w:rPr>
        <w:b/>
        <w:color w:val="ffffff"/>
        <w:sz w:val="22"/>
      </w:rPr>
      <w:tcPr>
        <w:shd w:val="clear" w:color="ffffff" w:fill="5b9bd5" w:themeFill="accent1"/>
      </w:tcPr>
    </w:tblStylePr>
    <w:tblStylePr w:type="firstRow">
      <w:rPr>
        <w:b/>
        <w:color w:val="ffffff"/>
        <w:sz w:val="22"/>
      </w:rPr>
      <w:tcPr>
        <w:shd w:val="clear" w:color="ffffff" w:fill="5b9bd5" w:themeFill="accent1"/>
      </w:tcPr>
    </w:tblStylePr>
    <w:tblStylePr w:type="lastCol">
      <w:rPr>
        <w:b/>
        <w:color w:val="ffffff"/>
        <w:sz w:val="22"/>
      </w:rPr>
      <w:tcPr>
        <w:shd w:val="clear" w:color="ffffff" w:fill="5b9bd5" w:themeFill="accent1"/>
      </w:tcPr>
    </w:tblStylePr>
    <w:tblStylePr w:type="lastRow">
      <w:rPr>
        <w:b/>
        <w:color w:val="ffffff"/>
        <w:sz w:val="22"/>
      </w:rPr>
      <w:tcPr>
        <w:shd w:val="clear" w:color="ffffff" w:fill="5b9bd5" w:themeFill="accent1"/>
        <w:tcBorders>
          <w:top w:val="single" w:color="000000" w:themeColor="light1" w:sz="4" w:space="0"/>
        </w:tcBorders>
      </w:tcPr>
    </w:tblStylePr>
  </w:style>
  <w:style w:type="table" w:styleId="829">
    <w:name w:val="Grid Table 5 Dark - Accent 2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6c3a1" w:themeFill="accent2" w:themeFillTint="75"/>
      </w:tcPr>
    </w:tblStylePr>
    <w:tblStylePr w:type="band1Vert">
      <w:tcPr>
        <w:shd w:val="clear" w:color="ffffff" w:fill="f6c3a1" w:themeFill="accent2" w:themeFillTint="75"/>
      </w:tcPr>
    </w:tblStylePr>
    <w:tblStylePr w:type="firstCol">
      <w:rPr>
        <w:b/>
        <w:color w:val="ffffff"/>
        <w:sz w:val="22"/>
      </w:rPr>
      <w:tcPr>
        <w:shd w:val="clear" w:color="ffffff" w:fill="ed7d31" w:themeFill="accent2"/>
      </w:tcPr>
    </w:tblStylePr>
    <w:tblStylePr w:type="firstRow">
      <w:rPr>
        <w:b/>
        <w:color w:val="ffffff"/>
        <w:sz w:val="22"/>
      </w:rPr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cPr>
        <w:shd w:val="clear" w:color="ffffff" w:fill="ed7d31" w:themeFill="accent2"/>
        <w:tcBorders>
          <w:top w:val="single" w:color="000000" w:themeColor="light1" w:sz="4" w:space="0"/>
        </w:tcBorders>
      </w:tcPr>
    </w:tblStylePr>
  </w:style>
  <w:style w:type="table" w:styleId="830">
    <w:name w:val="Grid Table 5 Dark - Accent 3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6d6d6" w:themeFill="accent3" w:themeFillTint="75"/>
      </w:tcPr>
    </w:tblStylePr>
    <w:tblStylePr w:type="band1Vert">
      <w:tcPr>
        <w:shd w:val="clear" w:color="ffffff" w:fill="d6d6d6" w:themeFill="accent3" w:themeFillTint="75"/>
      </w:tcPr>
    </w:tblStylePr>
    <w:tblStylePr w:type="firstCol">
      <w:rPr>
        <w:b/>
        <w:color w:val="ffffff"/>
        <w:sz w:val="22"/>
      </w:rPr>
      <w:tcPr>
        <w:shd w:val="clear" w:color="ffffff" w:fill="a5a5a5" w:themeFill="accent3"/>
      </w:tcPr>
    </w:tblStylePr>
    <w:tblStylePr w:type="firstRow">
      <w:rPr>
        <w:b/>
        <w:color w:val="ffffff"/>
        <w:sz w:val="22"/>
      </w:rPr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cPr>
        <w:shd w:val="clear" w:color="ffffff" w:fill="a5a5a5" w:themeFill="accent3"/>
        <w:tcBorders>
          <w:top w:val="single" w:color="000000" w:themeColor="light1" w:sz="4" w:space="0"/>
        </w:tcBorders>
      </w:tcPr>
    </w:tblStylePr>
  </w:style>
  <w:style w:type="table" w:styleId="831">
    <w:name w:val="Grid Table 5 Dark- Accent 4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ee189" w:themeFill="accent4" w:themeFillTint="75"/>
      </w:tcPr>
    </w:tblStylePr>
    <w:tblStylePr w:type="band1Vert">
      <w:tcPr>
        <w:shd w:val="clear" w:color="ffffff" w:fill="fee189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ffff" w:fill="ffc000" w:themeFill="accent4"/>
      </w:tcPr>
    </w:tblStylePr>
    <w:tblStylePr w:type="firstRow">
      <w:rPr>
        <w:b/>
        <w:color w:val="ffffff"/>
        <w:sz w:val="22"/>
      </w:rPr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cPr>
        <w:shd w:val="clear" w:color="ffffff" w:fill="ffc000" w:themeFill="accent4"/>
        <w:tcBorders>
          <w:top w:val="single" w:color="000000" w:themeColor="light1" w:sz="4" w:space="0"/>
        </w:tcBorders>
      </w:tcPr>
    </w:tblStylePr>
  </w:style>
  <w:style w:type="table" w:styleId="832">
    <w:name w:val="Grid Table 5 Dark - Accent 5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abfe3" w:themeFill="accent5" w:themeFillTint="75"/>
      </w:tcPr>
    </w:tblStylePr>
    <w:tblStylePr w:type="band1Vert">
      <w:tcPr>
        <w:shd w:val="clear" w:color="ffffff" w:fill="aabfe3" w:themeFill="accent5" w:themeFillTint="75"/>
      </w:tcPr>
    </w:tblStylePr>
    <w:tblStylePr w:type="firstCol">
      <w:rPr>
        <w:b/>
        <w:color w:val="ffffff"/>
        <w:sz w:val="22"/>
      </w:rPr>
      <w:tcPr>
        <w:shd w:val="clear" w:color="ffffff" w:fill="4472c4" w:themeFill="accent5"/>
      </w:tcPr>
    </w:tblStylePr>
    <w:tblStylePr w:type="firstRow">
      <w:rPr>
        <w:b/>
        <w:color w:val="ffffff"/>
        <w:sz w:val="22"/>
      </w:rPr>
      <w:tcPr>
        <w:shd w:val="clear" w:color="ffffff" w:fill="4472c4" w:themeFill="accent5"/>
      </w:tcPr>
    </w:tblStylePr>
    <w:tblStylePr w:type="lastCol">
      <w:rPr>
        <w:b/>
        <w:color w:val="ffffff"/>
        <w:sz w:val="22"/>
      </w:rPr>
      <w:tcPr>
        <w:shd w:val="clear" w:color="ffffff" w:fill="4472c4" w:themeFill="accent5"/>
      </w:tcPr>
    </w:tblStylePr>
    <w:tblStylePr w:type="lastRow">
      <w:rPr>
        <w:b/>
        <w:color w:val="ffffff"/>
        <w:sz w:val="22"/>
      </w:rPr>
      <w:tcPr>
        <w:shd w:val="clear" w:color="ffffff" w:fill="4472c4" w:themeFill="accent5"/>
        <w:tcBorders>
          <w:top w:val="single" w:color="000000" w:themeColor="light1" w:sz="4" w:space="0"/>
        </w:tcBorders>
      </w:tcPr>
    </w:tblStylePr>
  </w:style>
  <w:style w:type="table" w:styleId="833">
    <w:name w:val="Grid Table 5 Dark - Accent 6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bedba8" w:themeFill="accent6" w:themeFillTint="75"/>
      </w:tcPr>
    </w:tblStylePr>
    <w:tblStylePr w:type="band1Vert">
      <w:tcPr>
        <w:shd w:val="clear" w:color="ffffff" w:fill="bedba8" w:themeFill="accent6" w:themeFillTint="75"/>
      </w:tcPr>
    </w:tblStylePr>
    <w:tblStylePr w:type="firstCol">
      <w:rPr>
        <w:b/>
        <w:color w:val="ffffff"/>
        <w:sz w:val="22"/>
      </w:rPr>
      <w:tcPr>
        <w:shd w:val="clear" w:color="ffffff" w:fill="70ad47" w:themeFill="accent6"/>
      </w:tcPr>
    </w:tblStylePr>
    <w:tblStylePr w:type="firstRow">
      <w:rPr>
        <w:b/>
        <w:color w:val="ffffff"/>
        <w:sz w:val="22"/>
      </w:rPr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cPr>
        <w:shd w:val="clear" w:color="ffffff" w:fill="70ad47" w:themeFill="accent6"/>
        <w:tcBorders>
          <w:top w:val="single" w:color="000000" w:themeColor="light1" w:sz="4" w:space="0"/>
        </w:tcBorders>
      </w:tcPr>
    </w:tblStylePr>
  </w:style>
  <w:style w:type="table" w:styleId="834">
    <w:name w:val="Grid Table 6 Colorful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04040" w:themeColor="text1" w:themeTint="80" w:themeShade="95"/>
        <w:sz w:val="22"/>
      </w:rPr>
    </w:tblStylePr>
  </w:style>
  <w:style w:type="table" w:styleId="835">
    <w:name w:val="Grid Table 6 Colorful - Accent 1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cPr>
        <w:shd w:val="clear" w:color="ffffff" w:fill="ddebf6" w:themeFill="accent1" w:themeFillTint="34"/>
      </w:tcPr>
    </w:tblStylePr>
    <w:tblStylePr w:type="band1Vert">
      <w:tcPr>
        <w:shd w:val="clear" w:color="ffffff" w:fill="ddebf6" w:themeFill="accent1" w:themeFillTint="34"/>
      </w:tcPr>
    </w:tblStylePr>
    <w:tblStylePr w:type="band2Horz">
      <w:rPr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color w:val="404040" w:themeColor="accent1" w:themeTint="80" w:themeShade="95"/>
        <w:sz w:val="22"/>
      </w:rPr>
    </w:tblStylePr>
  </w:style>
  <w:style w:type="table" w:styleId="836">
    <w:name w:val="Grid Table 6 Colorful - Accent 2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color w:val="404040" w:themeColor="accent2" w:themeTint="97" w:themeShade="95"/>
        <w:sz w:val="22"/>
      </w:rPr>
    </w:tblStylePr>
  </w:style>
  <w:style w:type="table" w:styleId="837">
    <w:name w:val="Grid Table 6 Colorful - Accent 3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cPr>
        <w:shd w:val="clear" w:color="ffffff" w:fill="ededed" w:themeFill="accent3" w:themeFillTint="34"/>
      </w:tcPr>
    </w:tblStylePr>
    <w:tblStylePr w:type="band1Vert">
      <w:tcPr>
        <w:shd w:val="clear" w:color="ffffff" w:fill="ededed" w:themeFill="accent3" w:themeFillTint="34"/>
      </w:tcPr>
    </w:tblStylePr>
    <w:tblStylePr w:type="band2Horz">
      <w:rPr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color w:val="404040" w:themeColor="accent3" w:themeTint="FE" w:themeShade="95"/>
        <w:sz w:val="22"/>
      </w:rPr>
    </w:tblStylePr>
  </w:style>
  <w:style w:type="table" w:styleId="838">
    <w:name w:val="Grid Table 6 Colorful - Accent 4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fef2cb" w:themeFill="accent4" w:themeFillTint="34"/>
      </w:tcPr>
    </w:tblStylePr>
    <w:tblStylePr w:type="band1Vert">
      <w:tcPr>
        <w:shd w:val="clear" w:color="ffffff" w:fill="fef2cb" w:themeFill="accent4" w:themeFillTint="34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color w:val="404040" w:themeColor="accent4" w:themeTint="9A" w:themeShade="95"/>
        <w:sz w:val="22"/>
      </w:rPr>
    </w:tblStylePr>
  </w:style>
  <w:style w:type="table" w:styleId="839">
    <w:name w:val="Grid Table 6 Colorful - Accent 5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d9e2f2" w:themeFill="accent5" w:themeFillTint="34"/>
      </w:tcPr>
    </w:tblStylePr>
    <w:tblStylePr w:type="band1Vert">
      <w:tcPr>
        <w:shd w:val="clear" w:color="ffffff" w:fill="d9e2f2" w:themeFill="accent5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840">
    <w:name w:val="Grid Table 6 Colorful - Accent 6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e2efd8" w:themeFill="accent6" w:themeFillTint="34"/>
      </w:tcPr>
    </w:tblStylePr>
    <w:tblStylePr w:type="band1Vert">
      <w:tcPr>
        <w:shd w:val="clear" w:color="ffffff" w:fill="e2efd8" w:themeFill="accent6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841">
    <w:name w:val="Grid Table 7 Colorful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7 Colorful - Accent 1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17bba" w:themeColor="accent1" w:themeTint="80" w:themeShade="95"/>
        <w:sz w:val="22"/>
      </w:rPr>
      <w:tcPr>
        <w:shd w:val="clear" w:color="ffffff" w:fill="ddebf6" w:themeFill="accent1" w:themeFillTint="34"/>
      </w:tcPr>
    </w:tblStylePr>
    <w:tblStylePr w:type="band1Vert">
      <w:tcPr>
        <w:shd w:val="clear" w:color="ffffff" w:fill="ddebf6" w:themeFill="accent1" w:themeFillTint="34"/>
      </w:tcPr>
    </w:tblStylePr>
    <w:tblStylePr w:type="band2Horz">
      <w:rPr>
        <w:color w:val="317bba" w:themeColor="accent1" w:themeTint="80" w:themeShade="95"/>
        <w:sz w:val="22"/>
      </w:rPr>
    </w:tblStylePr>
    <w:tblStylePr w:type="firstCol">
      <w:rPr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7 Colorful - Accent 2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7 Colorful - Accent 3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cPr>
        <w:shd w:val="clear" w:color="ffffff" w:fill="ededed" w:themeFill="accent3" w:themeFillTint="34"/>
      </w:tcPr>
    </w:tblStylePr>
    <w:tblStylePr w:type="band1Vert">
      <w:tcPr>
        <w:shd w:val="clear" w:color="ffffff" w:fill="ededed" w:themeFill="accent3" w:themeFillTint="34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7 Colorful - Accent 4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ef2cb" w:themeFill="accent4" w:themeFillTint="34"/>
      </w:tcPr>
    </w:tblStylePr>
    <w:tblStylePr w:type="band1Vert">
      <w:tcPr>
        <w:shd w:val="clear" w:color="ffffff" w:fill="fef2cb" w:themeFill="accent4" w:themeFillTint="34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7 Colorful - Accent 5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54374" w:themeColor="accent5" w:themeShade="95"/>
        <w:sz w:val="22"/>
      </w:rPr>
      <w:tcPr>
        <w:shd w:val="clear" w:color="ffffff" w:fill="d9e2f2" w:themeFill="accent5" w:themeFillTint="34"/>
      </w:tcPr>
    </w:tblStylePr>
    <w:tblStylePr w:type="band1Vert">
      <w:tcPr>
        <w:shd w:val="clear" w:color="ffffff" w:fill="d9e2f2" w:themeFill="accent5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7 Colorful - Accent 6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26429" w:themeColor="accent6" w:themeShade="95"/>
        <w:sz w:val="22"/>
      </w:rPr>
      <w:tcPr>
        <w:shd w:val="clear" w:color="ffffff" w:fill="e2efd8" w:themeFill="accent6" w:themeFillTint="34"/>
      </w:tcPr>
    </w:tblStylePr>
    <w:tblStylePr w:type="band1Vert">
      <w:tcPr>
        <w:shd w:val="clear" w:color="ffffff" w:fill="e2efd8" w:themeFill="accent6" w:themeFillTint="34"/>
      </w:tcPr>
    </w:tblStylePr>
    <w:tblStylePr w:type="band2Horz">
      <w:rPr>
        <w:color w:val="426429" w:themeColor="accent6" w:themeShade="95"/>
        <w:sz w:val="22"/>
      </w:rPr>
    </w:tblStylePr>
    <w:tblStylePr w:type="firstCol">
      <w:rPr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"/>
    <w:basedOn w:val="9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1 Light - Accent 1"/>
    <w:basedOn w:val="9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List Table 1 Light - Accent 2"/>
    <w:basedOn w:val="9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List Table 1 Light - Accent 3"/>
    <w:basedOn w:val="9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List Table 1 Light - Accent 4"/>
    <w:basedOn w:val="9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List Table 1 Light - Accent 5"/>
    <w:basedOn w:val="9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List Table 1 Light - Accent 6"/>
    <w:basedOn w:val="9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List Table 2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56">
    <w:name w:val="List Table 2 - Accent 1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5e6f4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5e6f4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57">
    <w:name w:val="List Table 2 - Accent 2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adecb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fadecb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58">
    <w:name w:val="List Table 2 - Accent 3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8e8e8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8e8e8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59">
    <w:name w:val="List Table 2 - Accent 4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ffefbf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ffefbf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60">
    <w:name w:val="List Table 2 - Accent 5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cfdc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cfdc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861">
    <w:name w:val="List Table 2 - Accent 6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dbebd0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dbebd0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62">
    <w:name w:val="List Table 3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1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2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3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4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5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3 - Accent 6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1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5e6f4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2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adecb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3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8e8e8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4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ffefbf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5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cfdc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 - Accent 6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dbebd0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5 Dark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77">
    <w:name w:val="List Table 5 Dark - Accent 1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78">
    <w:name w:val="List Table 5 Dark - Accent 2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4b185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79">
    <w:name w:val="List Table 5 Dark - Accent 3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9c9c9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80">
    <w:name w:val="List Table 5 Dark - Accent 4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fd864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81">
    <w:name w:val="List Table 5 Dark - Accent 5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8eabdb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82">
    <w:name w:val="List Table 5 Dark - Accent 6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aad08f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83">
    <w:name w:val="List Table 6 Colorful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84">
    <w:name w:val="List Table 6 Colorful - Accent 1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band2Horz">
      <w:rPr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5">
    <w:name w:val="List Table 6 Colorful - Accent 2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886">
    <w:name w:val="List Table 6 Colorful - Accent 3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887">
    <w:name w:val="List Table 6 Colorful - Accent 4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888">
    <w:name w:val="List Table 6 Colorful - Accent 5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band2Horz">
      <w:rPr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889">
    <w:name w:val="List Table 6 Colorful - Accent 6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band2Horz">
      <w:rPr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890">
    <w:name w:val="List Table 7 Colorful"/>
    <w:basedOn w:val="91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91">
    <w:name w:val="List Table 7 Colorful - Accent 1"/>
    <w:basedOn w:val="91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45d8d" w:themeColor="accent1" w:themeShade="95"/>
        <w:sz w:val="22"/>
      </w:rPr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band2Horz">
      <w:rPr>
        <w:color w:val="245d8d" w:themeColor="accent1" w:themeShade="95"/>
        <w:sz w:val="22"/>
      </w:rPr>
    </w:tblStylePr>
    <w:tblStylePr w:type="firstCol">
      <w:rPr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45d8d" w:themeColor="accent1" w:themeShade="95"/>
        <w:sz w:val="22"/>
      </w:rPr>
    </w:tblStylePr>
  </w:style>
  <w:style w:type="table" w:styleId="892">
    <w:name w:val="List Table 7 Colorful - Accent 2"/>
    <w:basedOn w:val="91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c95712" w:themeColor="accent2" w:themeTint="97" w:themeShade="95"/>
        <w:sz w:val="22"/>
      </w:rPr>
    </w:tblStylePr>
  </w:style>
  <w:style w:type="table" w:styleId="893">
    <w:name w:val="List Table 7 Colorful - Accent 3"/>
    <w:basedOn w:val="91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57575" w:themeColor="accent3" w:themeTint="98" w:themeShade="95"/>
        <w:sz w:val="22"/>
      </w:rPr>
    </w:tblStylePr>
  </w:style>
  <w:style w:type="table" w:styleId="894">
    <w:name w:val="List Table 7 Colorful - Accent 4"/>
    <w:basedOn w:val="91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cd9600" w:themeColor="accent4" w:themeTint="9A" w:themeShade="95"/>
        <w:sz w:val="22"/>
      </w:rPr>
    </w:tblStylePr>
  </w:style>
  <w:style w:type="table" w:styleId="895">
    <w:name w:val="List Table 7 Colorful - Accent 5"/>
    <w:basedOn w:val="91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5e9e" w:themeColor="accent5" w:themeTint="9A" w:themeShade="95"/>
        <w:sz w:val="22"/>
      </w:rPr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band2Horz">
      <w:rPr>
        <w:color w:val="335e9e" w:themeColor="accent5" w:themeTint="9A" w:themeShade="95"/>
        <w:sz w:val="22"/>
      </w:rPr>
    </w:tblStylePr>
    <w:tblStylePr w:type="firstCol">
      <w:rPr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5e9e" w:themeColor="accent5" w:themeTint="9A" w:themeShade="95"/>
        <w:sz w:val="22"/>
      </w:rPr>
    </w:tblStylePr>
  </w:style>
  <w:style w:type="table" w:styleId="896">
    <w:name w:val="List Table 7 Colorful - Accent 6"/>
    <w:basedOn w:val="91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5f8f3c" w:themeColor="accent6" w:themeTint="98" w:themeShade="95"/>
        <w:sz w:val="22"/>
      </w:rPr>
    </w:tblStylePr>
  </w:style>
  <w:style w:type="table" w:styleId="897">
    <w:name w:val="Lined - Accent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98">
    <w:name w:val="Lined - Accent 1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ce0f1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ce0f1" w:themeFill="accent1" w:themeFillTint="50"/>
      </w:tcPr>
    </w:tblStylePr>
    <w:tblStylePr w:type="firstCol">
      <w:rPr>
        <w:color w:val="f2f2f2"/>
        <w:sz w:val="22"/>
      </w:rPr>
      <w:tcPr>
        <w:shd w:val="clear" w:color="ffffff" w:fill="67a4d8" w:themeFill="accent1" w:themeFillTint="EA"/>
      </w:tcPr>
    </w:tblStylePr>
    <w:tblStylePr w:type="firstRow">
      <w:rPr>
        <w:color w:val="f2f2f2"/>
        <w:sz w:val="22"/>
      </w:rPr>
      <w:tcPr>
        <w:shd w:val="clear" w:color="ffffff" w:fill="67a4d8" w:themeFill="accent1" w:themeFillTint="EA"/>
      </w:tcPr>
    </w:tblStylePr>
    <w:tblStylePr w:type="lastCol">
      <w:rPr>
        <w:color w:val="f2f2f2"/>
        <w:sz w:val="22"/>
      </w:rPr>
      <w:tcPr>
        <w:shd w:val="clear" w:color="ffffff" w:fill="67a4d8" w:themeFill="accent1" w:themeFillTint="EA"/>
      </w:tcPr>
    </w:tblStylePr>
    <w:tblStylePr w:type="lastRow">
      <w:rPr>
        <w:color w:val="f2f2f2"/>
        <w:sz w:val="22"/>
      </w:rPr>
      <w:tcPr>
        <w:shd w:val="clear" w:color="ffffff" w:fill="67a4d8" w:themeFill="accent1" w:themeFillTint="EA"/>
      </w:tcPr>
    </w:tblStylePr>
  </w:style>
  <w:style w:type="table" w:styleId="899">
    <w:name w:val="Lined - Accent 2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firstRow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Row">
      <w:rPr>
        <w:color w:val="f2f2f2"/>
        <w:sz w:val="22"/>
      </w:rPr>
      <w:tcPr>
        <w:shd w:val="clear" w:color="ffffff" w:fill="f4b185" w:themeFill="accent2" w:themeFillTint="97"/>
      </w:tcPr>
    </w:tblStylePr>
  </w:style>
  <w:style w:type="table" w:styleId="900">
    <w:name w:val="Lined - Accent 3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firstRow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cPr>
        <w:shd w:val="clear" w:color="ffffff" w:fill="a5a5a5" w:themeFill="accent3" w:themeFillTint="FE"/>
      </w:tcPr>
    </w:tblStylePr>
  </w:style>
  <w:style w:type="table" w:styleId="901">
    <w:name w:val="Lined - Accent 4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firstRow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Row">
      <w:rPr>
        <w:color w:val="f2f2f2"/>
        <w:sz w:val="22"/>
      </w:rPr>
      <w:tcPr>
        <w:shd w:val="clear" w:color="ffffff" w:fill="ffd864" w:themeFill="accent4" w:themeFillTint="9A"/>
      </w:tcPr>
    </w:tblStylePr>
  </w:style>
  <w:style w:type="table" w:styleId="902">
    <w:name w:val="Lined - Accent 5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472c4" w:themeFill="accent5"/>
      </w:tcPr>
    </w:tblStylePr>
    <w:tblStylePr w:type="firstRow">
      <w:rPr>
        <w:color w:val="f2f2f2"/>
        <w:sz w:val="22"/>
      </w:rPr>
      <w:tcPr>
        <w:shd w:val="clear" w:color="ffffff" w:fill="4472c4" w:themeFill="accent5"/>
      </w:tcPr>
    </w:tblStylePr>
    <w:tblStylePr w:type="lastCol">
      <w:rPr>
        <w:color w:val="f2f2f2"/>
        <w:sz w:val="22"/>
      </w:rPr>
      <w:tcPr>
        <w:shd w:val="clear" w:color="ffffff" w:fill="4472c4" w:themeFill="accent5"/>
      </w:tcPr>
    </w:tblStylePr>
    <w:tblStylePr w:type="lastRow">
      <w:rPr>
        <w:color w:val="f2f2f2"/>
        <w:sz w:val="22"/>
      </w:rPr>
      <w:tcPr>
        <w:shd w:val="clear" w:color="ffffff" w:fill="4472c4" w:themeFill="accent5"/>
      </w:tcPr>
    </w:tblStylePr>
  </w:style>
  <w:style w:type="table" w:styleId="903">
    <w:name w:val="Lined - Accent 6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70ad47" w:themeFill="accent6"/>
      </w:tcPr>
    </w:tblStylePr>
    <w:tblStylePr w:type="firstRow">
      <w:rPr>
        <w:color w:val="f2f2f2"/>
        <w:sz w:val="22"/>
      </w:rPr>
      <w:tcPr>
        <w:shd w:val="clear" w:color="ffffff" w:fill="70ad47" w:themeFill="accent6"/>
      </w:tcPr>
    </w:tblStylePr>
    <w:tblStylePr w:type="lastCol">
      <w:rPr>
        <w:color w:val="f2f2f2"/>
        <w:sz w:val="22"/>
      </w:rPr>
      <w:tcPr>
        <w:shd w:val="clear" w:color="ffffff" w:fill="70ad47" w:themeFill="accent6"/>
      </w:tcPr>
    </w:tblStylePr>
    <w:tblStylePr w:type="lastRow">
      <w:rPr>
        <w:color w:val="f2f2f2"/>
        <w:sz w:val="22"/>
      </w:rPr>
      <w:tcPr>
        <w:shd w:val="clear" w:color="ffffff" w:fill="70ad47" w:themeFill="accent6"/>
      </w:tcPr>
    </w:tblStylePr>
  </w:style>
  <w:style w:type="table" w:styleId="904">
    <w:name w:val="Bordered &amp; Lined - Accent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905">
    <w:name w:val="Bordered &amp; Lined - Accent 1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ce0f1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ce0f1" w:themeFill="accent1" w:themeFillTint="50"/>
      </w:tcPr>
    </w:tblStylePr>
    <w:tblStylePr w:type="firstCol">
      <w:rPr>
        <w:color w:val="f2f2f2"/>
        <w:sz w:val="22"/>
      </w:rPr>
      <w:tcPr>
        <w:shd w:val="clear" w:color="ffffff" w:fill="67a4d8" w:themeFill="accent1" w:themeFillTint="EA"/>
      </w:tcPr>
    </w:tblStylePr>
    <w:tblStylePr w:type="firstRow">
      <w:rPr>
        <w:color w:val="f2f2f2"/>
        <w:sz w:val="22"/>
      </w:rPr>
      <w:tcPr>
        <w:shd w:val="clear" w:color="ffffff" w:fill="67a4d8" w:themeFill="accent1" w:themeFillTint="EA"/>
      </w:tcPr>
    </w:tblStylePr>
    <w:tblStylePr w:type="lastCol">
      <w:rPr>
        <w:color w:val="f2f2f2"/>
        <w:sz w:val="22"/>
      </w:rPr>
      <w:tcPr>
        <w:shd w:val="clear" w:color="ffffff" w:fill="67a4d8" w:themeFill="accent1" w:themeFillTint="EA"/>
      </w:tcPr>
    </w:tblStylePr>
    <w:tblStylePr w:type="lastRow">
      <w:rPr>
        <w:color w:val="f2f2f2"/>
        <w:sz w:val="22"/>
      </w:rPr>
      <w:tcPr>
        <w:shd w:val="clear" w:color="ffffff" w:fill="67a4d8" w:themeFill="accent1" w:themeFillTint="EA"/>
      </w:tcPr>
    </w:tblStylePr>
  </w:style>
  <w:style w:type="table" w:styleId="906">
    <w:name w:val="Bordered &amp; Lined - Accent 2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firstRow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Row">
      <w:rPr>
        <w:color w:val="f2f2f2"/>
        <w:sz w:val="22"/>
      </w:rPr>
      <w:tcPr>
        <w:shd w:val="clear" w:color="ffffff" w:fill="f4b185" w:themeFill="accent2" w:themeFillTint="97"/>
      </w:tcPr>
    </w:tblStylePr>
  </w:style>
  <w:style w:type="table" w:styleId="907">
    <w:name w:val="Bordered &amp; Lined - Accent 3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firstRow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cPr>
        <w:shd w:val="clear" w:color="ffffff" w:fill="a5a5a5" w:themeFill="accent3" w:themeFillTint="FE"/>
      </w:tcPr>
    </w:tblStylePr>
  </w:style>
  <w:style w:type="table" w:styleId="908">
    <w:name w:val="Bordered &amp; Lined - Accent 4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firstRow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Row">
      <w:rPr>
        <w:color w:val="f2f2f2"/>
        <w:sz w:val="22"/>
      </w:rPr>
      <w:tcPr>
        <w:shd w:val="clear" w:color="ffffff" w:fill="ffd864" w:themeFill="accent4" w:themeFillTint="9A"/>
      </w:tcPr>
    </w:tblStylePr>
  </w:style>
  <w:style w:type="table" w:styleId="909">
    <w:name w:val="Bordered &amp; Lined - Accent 5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472c4" w:themeFill="accent5"/>
      </w:tcPr>
    </w:tblStylePr>
    <w:tblStylePr w:type="firstRow">
      <w:rPr>
        <w:color w:val="f2f2f2"/>
        <w:sz w:val="22"/>
      </w:rPr>
      <w:tcPr>
        <w:shd w:val="clear" w:color="ffffff" w:fill="4472c4" w:themeFill="accent5"/>
      </w:tcPr>
    </w:tblStylePr>
    <w:tblStylePr w:type="lastCol">
      <w:rPr>
        <w:color w:val="f2f2f2"/>
        <w:sz w:val="22"/>
      </w:rPr>
      <w:tcPr>
        <w:shd w:val="clear" w:color="ffffff" w:fill="4472c4" w:themeFill="accent5"/>
      </w:tcPr>
    </w:tblStylePr>
    <w:tblStylePr w:type="lastRow">
      <w:rPr>
        <w:color w:val="f2f2f2"/>
        <w:sz w:val="22"/>
      </w:rPr>
      <w:tcPr>
        <w:shd w:val="clear" w:color="ffffff" w:fill="4472c4" w:themeFill="accent5"/>
      </w:tcPr>
    </w:tblStylePr>
  </w:style>
  <w:style w:type="table" w:styleId="910">
    <w:name w:val="Bordered &amp; Lined - Accent 6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70ad47" w:themeFill="accent6"/>
      </w:tcPr>
    </w:tblStylePr>
    <w:tblStylePr w:type="firstRow">
      <w:rPr>
        <w:color w:val="f2f2f2"/>
        <w:sz w:val="22"/>
      </w:rPr>
      <w:tcPr>
        <w:shd w:val="clear" w:color="ffffff" w:fill="70ad47" w:themeFill="accent6"/>
      </w:tcPr>
    </w:tblStylePr>
    <w:tblStylePr w:type="lastCol">
      <w:rPr>
        <w:color w:val="f2f2f2"/>
        <w:sz w:val="22"/>
      </w:rPr>
      <w:tcPr>
        <w:shd w:val="clear" w:color="ffffff" w:fill="70ad47" w:themeFill="accent6"/>
      </w:tcPr>
    </w:tblStylePr>
    <w:tblStylePr w:type="lastRow">
      <w:rPr>
        <w:color w:val="f2f2f2"/>
        <w:sz w:val="22"/>
      </w:rPr>
      <w:tcPr>
        <w:shd w:val="clear" w:color="ffffff" w:fill="70ad47" w:themeFill="accent6"/>
      </w:tcPr>
    </w:tblStylePr>
  </w:style>
  <w:style w:type="table" w:styleId="911">
    <w:name w:val="Bordered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912">
    <w:name w:val="Bordered - Accent 1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13">
    <w:name w:val="Bordered - Accent 2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914">
    <w:name w:val="Bordered - Accent 3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915">
    <w:name w:val="Bordered - Accent 4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916">
    <w:name w:val="Bordered - Accent 5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917">
    <w:name w:val="Bordered - Accent 6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918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919">
    <w:name w:val="Table Grid"/>
    <w:basedOn w:val="91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20" w:customStyle="1">
    <w:name w:val="Сетка таблицы2"/>
    <w:basedOn w:val="918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21" w:customStyle="1">
    <w:name w:val="Table Normal"/>
    <w:uiPriority w:val="2"/>
    <w:semiHidden/>
    <w:unhideWhenUsed/>
    <w:qFormat/>
    <w:pPr>
      <w:spacing w:after="0" w:line="240" w:lineRule="auto"/>
    </w:pPr>
    <w:rPr>
      <w:lang w:val="en-US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22" w:customStyle="1">
    <w:name w:val="Сетка таблицы1"/>
    <w:basedOn w:val="918"/>
    <w:uiPriority w:val="39"/>
    <w:pPr>
      <w:spacing w:after="0" w:line="240" w:lineRule="auto"/>
    </w:pPr>
    <w:rPr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23" w:customStyle="1">
    <w:name w:val="Сетка таблицы3"/>
    <w:basedOn w:val="918"/>
    <w:uiPriority w:val="59"/>
    <w:pPr>
      <w:spacing w:after="0" w:line="240" w:lineRule="auto"/>
    </w:pPr>
    <w:rPr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E7DA7-70CF-49CF-8B6D-4CDC47E43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Брилин Юрий Леонидович</dc:creator>
  <dc:description/>
  <dc:language>ru-RU</dc:language>
  <cp:lastModifiedBy>tatiyana.krohmaleva</cp:lastModifiedBy>
  <cp:revision>10</cp:revision>
  <dcterms:created xsi:type="dcterms:W3CDTF">2025-08-01T08:44:00Z</dcterms:created>
  <dcterms:modified xsi:type="dcterms:W3CDTF">2026-07-31T09:17:37Z</dcterms:modified>
</cp:coreProperties>
</file>