
<file path=[Content_Types].xml><?xml version="1.0" encoding="utf-8"?>
<Types xmlns="http://schemas.openxmlformats.org/package/2006/content-types">
  <Default ContentType="image/x-wmf" Extension="w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ind w:firstLine="709" w:left="709"/>
        <w:jc w:val="center"/>
        <w:rPr>
          <w:rFonts w:ascii="PT Astra Serif" w:hAnsi="PT Astra Serif"/>
          <w:b w:val="1"/>
          <w:sz w:val="10"/>
        </w:rPr>
      </w:pPr>
      <w:bookmarkStart w:id="1" w:name="_GoBack"/>
      <w:bookmarkEnd w:id="1"/>
    </w:p>
    <w:p w14:paraId="03000000">
      <w:pPr>
        <w:ind w:firstLine="0" w:left="8505"/>
        <w:rPr>
          <w:b w:val="1"/>
        </w:rPr>
      </w:pPr>
      <w:r>
        <w:rPr>
          <w:rFonts w:ascii="PT Astra Serif" w:hAnsi="PT Astra Serif"/>
          <w:b w:val="1"/>
          <w:sz w:val="18"/>
        </w:rPr>
        <w:t>Идентификационный код закупки:</w:t>
      </w:r>
      <w:r>
        <w:rPr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-720090</wp:posOffset>
            </wp:positionH>
            <wp:positionV relativeFrom="paragraph">
              <wp:posOffset>-540385</wp:posOffset>
            </wp:positionV>
            <wp:extent cx="9525" cy="952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b w:val="1"/>
          <w:sz w:val="18"/>
        </w:rPr>
        <w:t xml:space="preserve"> </w:t>
      </w:r>
      <w:r>
        <w:t>261645400269864514500200010000000000</w:t>
      </w:r>
    </w:p>
    <w:p w14:paraId="04000000">
      <w:pPr>
        <w:pStyle w:val="Style_1"/>
        <w:ind/>
        <w:jc w:val="center"/>
        <w:rPr>
          <w:rFonts w:ascii="PT Astra Serif" w:hAnsi="PT Astra Serif"/>
          <w:b w:val="1"/>
        </w:rPr>
      </w:pPr>
    </w:p>
    <w:p w14:paraId="05000000">
      <w:pPr>
        <w:pStyle w:val="Style_1"/>
        <w:ind/>
        <w:jc w:val="center"/>
        <w:rPr>
          <w:rFonts w:ascii="PT Astra Serif" w:hAnsi="PT Astra Serif"/>
          <w:b w:val="1"/>
          <w:caps w:val="1"/>
        </w:rPr>
      </w:pPr>
      <w:r>
        <w:rPr>
          <w:rFonts w:ascii="PT Astra Serif" w:hAnsi="PT Astra Serif"/>
          <w:b w:val="1"/>
          <w:caps w:val="1"/>
        </w:rPr>
        <w:t>Обоснование начальной (максимальной) цены контракта</w:t>
      </w:r>
    </w:p>
    <w:p w14:paraId="06000000">
      <w:pPr>
        <w:pStyle w:val="Style_1"/>
        <w:ind w:firstLine="567" w:left="0" w:right="252"/>
        <w:jc w:val="center"/>
      </w:pPr>
      <w:r>
        <w:rPr>
          <w:rFonts w:ascii="PT Astra Serif" w:hAnsi="PT Astra Serif"/>
          <w:b w:val="1"/>
        </w:rPr>
        <w:t>с единственным поставщиком р</w:t>
      </w:r>
      <w:r>
        <w:t>абот по определению рыночной стоимости (ежемесячный арендный платёж) на право временного возмездного пользования нежилыми помещениями</w:t>
      </w:r>
      <w:r>
        <w:rPr>
          <w:rFonts w:ascii="PT Astra Serif" w:hAnsi="PT Astra Serif"/>
          <w:b w:val="1"/>
          <w:sz w:val="24"/>
        </w:rPr>
        <w:t xml:space="preserve"> </w:t>
      </w:r>
      <w:r>
        <w:rPr>
          <w:rFonts w:ascii="PT Astra Serif" w:hAnsi="PT Astra Serif"/>
          <w:b w:val="1"/>
        </w:rPr>
        <w:t>для нужд ИПТМУ РАН</w:t>
      </w:r>
    </w:p>
    <w:p w14:paraId="07000000">
      <w:pPr>
        <w:pStyle w:val="Style_1"/>
        <w:ind w:firstLine="567" w:left="0" w:right="252"/>
        <w:jc w:val="center"/>
        <w:rPr>
          <w:rFonts w:ascii="PT Astra Serif" w:hAnsi="PT Astra Serif"/>
          <w:b w:val="1"/>
        </w:rPr>
      </w:pPr>
    </w:p>
    <w:p w14:paraId="08000000">
      <w:pPr>
        <w:ind w:firstLine="708"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Начальная (максимальная) цена контракта (далее - НМЦК) определена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</w:t>
      </w:r>
      <w:r>
        <w:rPr>
          <w:rFonts w:ascii="PT Astra Serif" w:hAnsi="PT Astra Serif"/>
        </w:rPr>
        <w:t>м)»</w:t>
      </w:r>
    </w:p>
    <w:p w14:paraId="09000000">
      <w:pPr>
        <w:ind w:firstLine="708"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Информация о валюте, используемой для формирования цены контракта и расчетов с поставщиком (подрядчиком, исполнителем) – Российский рубль.</w:t>
      </w:r>
    </w:p>
    <w:p w14:paraId="0A000000">
      <w:pPr>
        <w:ind w:firstLine="708" w:left="0"/>
        <w:rPr>
          <w:rFonts w:ascii="PT Astra Serif" w:hAnsi="PT Astra Serif"/>
        </w:rPr>
      </w:pPr>
    </w:p>
    <w:p w14:paraId="0B000000">
      <w:pPr>
        <w:spacing w:line="276" w:lineRule="auto"/>
        <w:ind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Метод определения НМЦК: метод сопоставимых рыночных цен.</w:t>
      </w:r>
      <w:r>
        <w:rPr>
          <w:rFonts w:ascii="PT Astra Serif" w:hAnsi="PT Astra Serif"/>
          <w:b w:val="1"/>
        </w:rPr>
        <w:t xml:space="preserve"> </w:t>
      </w:r>
    </w:p>
    <w:p w14:paraId="0C000000">
      <w:pPr>
        <w:pStyle w:val="Style_1"/>
        <w:ind w:firstLine="567" w:left="0" w:right="252"/>
        <w:jc w:val="center"/>
        <w:rPr>
          <w:rFonts w:ascii="PT Astra Serif" w:hAnsi="PT Astra Serif"/>
          <w:b w:val="1"/>
          <w:color w:val="000000"/>
        </w:rPr>
      </w:pPr>
    </w:p>
    <w:tbl>
      <w:tblPr>
        <w:tblStyle w:val="Style_2"/>
        <w:tblLayout w:type="fixed"/>
      </w:tblPr>
      <w:tblGrid>
        <w:gridCol w:w="737"/>
        <w:gridCol w:w="820"/>
        <w:gridCol w:w="1810"/>
        <w:gridCol w:w="915"/>
        <w:gridCol w:w="786"/>
        <w:gridCol w:w="1637"/>
        <w:gridCol w:w="1726"/>
        <w:gridCol w:w="1418"/>
        <w:gridCol w:w="621"/>
        <w:gridCol w:w="1417"/>
        <w:gridCol w:w="1418"/>
        <w:gridCol w:w="992"/>
        <w:gridCol w:w="1134"/>
      </w:tblGrid>
      <w:tr>
        <w:tc>
          <w:tcPr>
            <w:tcW w:type="dxa" w:w="737"/>
            <w:vMerge w:val="restart"/>
          </w:tcPr>
          <w:p w14:paraId="0D000000">
            <w:pPr>
              <w:pStyle w:val="Style_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№ п/п</w:t>
            </w:r>
          </w:p>
        </w:tc>
        <w:tc>
          <w:tcPr>
            <w:tcW w:type="dxa" w:w="14694"/>
            <w:gridSpan w:val="12"/>
          </w:tcPr>
          <w:p w14:paraId="0E000000">
            <w:pPr>
              <w:pStyle w:val="Style_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b w:val="1"/>
                <w:sz w:val="18"/>
              </w:rPr>
              <w:t>Таблица цен для определения начальной (максимальной) цены контракта</w:t>
            </w:r>
          </w:p>
        </w:tc>
      </w:tr>
      <w:tr>
        <w:tc>
          <w:tcPr>
            <w:tcW w:type="dxa" w:w="737"/>
            <w:gridSpan w:val="1"/>
            <w:vMerge w:val="continue"/>
          </w:tcPr>
          <w:p/>
        </w:tc>
        <w:tc>
          <w:tcPr>
            <w:tcW w:type="dxa" w:w="2630"/>
            <w:gridSpan w:val="2"/>
            <w:vMerge w:val="restart"/>
            <w:vAlign w:val="center"/>
          </w:tcPr>
          <w:p w14:paraId="0F000000">
            <w:pPr>
              <w:pStyle w:val="Style_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Наименование </w:t>
            </w:r>
            <w:r>
              <w:rPr>
                <w:sz w:val="18"/>
              </w:rPr>
              <w:t>ТРУ</w:t>
            </w:r>
          </w:p>
        </w:tc>
        <w:tc>
          <w:tcPr>
            <w:tcW w:type="dxa" w:w="7103"/>
            <w:gridSpan w:val="6"/>
          </w:tcPr>
          <w:p w14:paraId="10000000">
            <w:pPr>
              <w:pStyle w:val="Style_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color w:val="000000"/>
                <w:sz w:val="18"/>
              </w:rPr>
              <w:t>Источники информации и цена за единицу, руб.*</w:t>
            </w:r>
          </w:p>
        </w:tc>
        <w:tc>
          <w:tcPr>
            <w:tcW w:type="dxa" w:w="4961"/>
            <w:gridSpan w:val="4"/>
            <w:vAlign w:val="center"/>
          </w:tcPr>
          <w:p w14:paraId="1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Определение однородности и средних значений цен**</w:t>
            </w:r>
          </w:p>
        </w:tc>
      </w:tr>
      <w:tr>
        <w:tc>
          <w:tcPr>
            <w:tcW w:type="dxa" w:w="737"/>
            <w:gridSpan w:val="1"/>
            <w:vMerge w:val="continue"/>
          </w:tcPr>
          <w:p/>
        </w:tc>
        <w:tc>
          <w:tcPr>
            <w:tcW w:type="dxa" w:w="2630"/>
            <w:gridSpan w:val="2"/>
            <w:vMerge w:val="continue"/>
            <w:vAlign w:val="center"/>
          </w:tcPr>
          <w:p/>
        </w:tc>
        <w:tc>
          <w:tcPr>
            <w:tcW w:type="dxa" w:w="915"/>
            <w:vAlign w:val="center"/>
          </w:tcPr>
          <w:p w14:paraId="12000000">
            <w:pPr>
              <w:pStyle w:val="Style_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Ед.изм.</w:t>
            </w:r>
          </w:p>
        </w:tc>
        <w:tc>
          <w:tcPr>
            <w:tcW w:type="dxa" w:w="786"/>
            <w:vAlign w:val="center"/>
          </w:tcPr>
          <w:p w14:paraId="13000000">
            <w:pPr>
              <w:pStyle w:val="Style_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Кол-во</w:t>
            </w:r>
          </w:p>
        </w:tc>
        <w:tc>
          <w:tcPr>
            <w:tcW w:type="dxa" w:w="1637"/>
            <w:vAlign w:val="center"/>
          </w:tcPr>
          <w:p w14:paraId="14000000">
            <w:pPr>
              <w:pStyle w:val="Style_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Коммерческое предложение вх. от 21</w:t>
            </w:r>
            <w:r>
              <w:rPr>
                <w:color w:val="000000"/>
                <w:sz w:val="18"/>
              </w:rPr>
              <w:t>.05</w:t>
            </w:r>
            <w:r>
              <w:rPr>
                <w:color w:val="000000"/>
                <w:sz w:val="18"/>
              </w:rPr>
              <w:t>.202</w:t>
            </w:r>
            <w:r>
              <w:rPr>
                <w:color w:val="000000"/>
                <w:sz w:val="18"/>
              </w:rPr>
              <w:t>6</w:t>
            </w:r>
            <w:r>
              <w:rPr>
                <w:color w:val="000000"/>
                <w:sz w:val="18"/>
              </w:rPr>
              <w:t xml:space="preserve"> №1</w:t>
            </w:r>
          </w:p>
        </w:tc>
        <w:tc>
          <w:tcPr>
            <w:tcW w:type="dxa" w:w="1726"/>
            <w:vAlign w:val="center"/>
          </w:tcPr>
          <w:p w14:paraId="15000000">
            <w:pPr>
              <w:pStyle w:val="Style_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Коммерческое предложение вх. от 21</w:t>
            </w:r>
            <w:r>
              <w:rPr>
                <w:color w:val="000000"/>
                <w:sz w:val="18"/>
              </w:rPr>
              <w:t>.05</w:t>
            </w:r>
            <w:r>
              <w:rPr>
                <w:color w:val="000000"/>
                <w:sz w:val="18"/>
              </w:rPr>
              <w:t>.202</w:t>
            </w:r>
            <w:r>
              <w:rPr>
                <w:color w:val="000000"/>
                <w:sz w:val="18"/>
              </w:rPr>
              <w:t xml:space="preserve">6 </w:t>
            </w:r>
            <w:r>
              <w:rPr>
                <w:color w:val="000000"/>
                <w:sz w:val="18"/>
              </w:rPr>
              <w:t>№ 2</w:t>
            </w:r>
          </w:p>
        </w:tc>
        <w:tc>
          <w:tcPr>
            <w:tcW w:type="dxa" w:w="2039"/>
            <w:gridSpan w:val="2"/>
          </w:tcPr>
          <w:p w14:paraId="16000000">
            <w:pPr>
              <w:pStyle w:val="Style_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Коммерческое предложение вх. от 21</w:t>
            </w:r>
            <w:r>
              <w:rPr>
                <w:color w:val="000000"/>
                <w:sz w:val="18"/>
              </w:rPr>
              <w:t>.05</w:t>
            </w:r>
            <w:r>
              <w:rPr>
                <w:color w:val="000000"/>
                <w:sz w:val="18"/>
              </w:rPr>
              <w:t>.202</w:t>
            </w:r>
            <w:r>
              <w:rPr>
                <w:color w:val="000000"/>
                <w:sz w:val="18"/>
              </w:rPr>
              <w:t xml:space="preserve">6 </w:t>
            </w:r>
            <w:r>
              <w:rPr>
                <w:color w:val="000000"/>
                <w:sz w:val="18"/>
              </w:rPr>
              <w:t>№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3</w:t>
            </w:r>
          </w:p>
        </w:tc>
        <w:tc>
          <w:tcPr>
            <w:tcW w:type="dxa" w:w="1417"/>
            <w:vAlign w:val="center"/>
          </w:tcPr>
          <w:p w14:paraId="1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Коэфф.</w:t>
            </w:r>
          </w:p>
          <w:p w14:paraId="1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вариации (V), %</w:t>
            </w:r>
          </w:p>
        </w:tc>
        <w:tc>
          <w:tcPr>
            <w:tcW w:type="dxa" w:w="1418"/>
            <w:vAlign w:val="center"/>
          </w:tcPr>
          <w:p w14:paraId="1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совокупн. значений</w:t>
            </w:r>
          </w:p>
        </w:tc>
        <w:tc>
          <w:tcPr>
            <w:tcW w:type="dxa" w:w="992"/>
            <w:vAlign w:val="center"/>
          </w:tcPr>
          <w:p w14:paraId="1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Среднее квадратичное отклонение</w:t>
            </w:r>
            <w:r>
              <w:rPr>
                <w:sz w:val="18"/>
              </w:rPr>
              <w:t>, руб.</w:t>
            </w:r>
          </w:p>
        </w:tc>
        <w:tc>
          <w:tcPr>
            <w:tcW w:type="dxa" w:w="1134"/>
            <w:vAlign w:val="center"/>
          </w:tcPr>
          <w:p w14:paraId="1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НМЦК</w:t>
            </w:r>
            <w:r>
              <w:rPr>
                <w:sz w:val="18"/>
              </w:rPr>
              <w:t>***, руб.</w:t>
            </w:r>
            <w:r>
              <w:rPr>
                <w:sz w:val="18"/>
              </w:rPr>
              <w:t>, в т.ч. НДС</w:t>
            </w:r>
          </w:p>
        </w:tc>
      </w:tr>
      <w:tr>
        <w:tc>
          <w:tcPr>
            <w:tcW w:type="dxa" w:w="737"/>
            <w:vAlign w:val="center"/>
          </w:tcPr>
          <w:p w14:paraId="1C000000">
            <w:pPr>
              <w:pStyle w:val="Style_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2630"/>
            <w:gridSpan w:val="2"/>
            <w:vAlign w:val="bottom"/>
          </w:tcPr>
          <w:p w14:paraId="1D000000">
            <w:r>
              <w:t>Работы по определению рыночной стоимости (ежемесячный арендный платёж) на право временного возмездного пользования нежилыми помещениями</w:t>
            </w:r>
          </w:p>
        </w:tc>
        <w:tc>
          <w:tcPr>
            <w:tcW w:type="dxa" w:w="915"/>
            <w:vAlign w:val="center"/>
          </w:tcPr>
          <w:p w14:paraId="1E000000">
            <w:pPr>
              <w:ind/>
              <w:jc w:val="center"/>
            </w:pPr>
            <w:r>
              <w:t>усл. ед.</w:t>
            </w:r>
          </w:p>
        </w:tc>
        <w:tc>
          <w:tcPr>
            <w:tcW w:type="dxa" w:w="786"/>
            <w:vAlign w:val="center"/>
          </w:tcPr>
          <w:p w14:paraId="1F000000">
            <w:pPr>
              <w:pStyle w:val="Style_1"/>
              <w:ind/>
              <w:jc w:val="center"/>
            </w:pPr>
            <w:r>
              <w:t>1</w:t>
            </w:r>
          </w:p>
        </w:tc>
        <w:tc>
          <w:tcPr>
            <w:tcW w:type="dxa" w:w="1637"/>
            <w:vAlign w:val="center"/>
          </w:tcPr>
          <w:p w14:paraId="20000000">
            <w:pPr>
              <w:ind/>
              <w:jc w:val="center"/>
            </w:pPr>
            <w:r>
              <w:t>15 000</w:t>
            </w:r>
          </w:p>
        </w:tc>
        <w:tc>
          <w:tcPr>
            <w:tcW w:type="dxa" w:w="1726"/>
            <w:vAlign w:val="center"/>
          </w:tcPr>
          <w:p w14:paraId="21000000">
            <w:pPr>
              <w:ind/>
              <w:jc w:val="center"/>
            </w:pPr>
            <w:r>
              <w:t>17 500</w:t>
            </w:r>
          </w:p>
        </w:tc>
        <w:tc>
          <w:tcPr>
            <w:tcW w:type="dxa" w:w="2039"/>
            <w:gridSpan w:val="2"/>
            <w:vAlign w:val="center"/>
          </w:tcPr>
          <w:p w14:paraId="22000000">
            <w:pPr>
              <w:ind/>
              <w:jc w:val="center"/>
            </w:pPr>
            <w:r>
              <w:t>10 000</w:t>
            </w:r>
          </w:p>
        </w:tc>
        <w:tc>
          <w:tcPr>
            <w:tcW w:type="dxa" w:w="1417"/>
            <w:vAlign w:val="center"/>
          </w:tcPr>
          <w:p w14:paraId="23000000">
            <w:pPr>
              <w:pStyle w:val="Style_1"/>
              <w:ind/>
              <w:jc w:val="center"/>
            </w:pPr>
            <w:r>
              <w:t>26,96</w:t>
            </w:r>
          </w:p>
        </w:tc>
        <w:tc>
          <w:tcPr>
            <w:tcW w:type="dxa" w:w="1418"/>
            <w:vAlign w:val="center"/>
          </w:tcPr>
          <w:p w14:paraId="24000000">
            <w:pPr>
              <w:pStyle w:val="Style_1"/>
              <w:ind/>
              <w:jc w:val="center"/>
            </w:pPr>
            <w:r>
              <w:t>однородная</w:t>
            </w:r>
          </w:p>
        </w:tc>
        <w:tc>
          <w:tcPr>
            <w:tcW w:type="dxa" w:w="992"/>
            <w:vAlign w:val="center"/>
          </w:tcPr>
          <w:p w14:paraId="2500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>3 818,81</w:t>
            </w:r>
          </w:p>
        </w:tc>
        <w:tc>
          <w:tcPr>
            <w:tcW w:type="dxa" w:w="1134"/>
            <w:vAlign w:val="center"/>
          </w:tcPr>
          <w:p w14:paraId="2600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>10 000, 00</w:t>
            </w:r>
          </w:p>
        </w:tc>
      </w:tr>
      <w:tr>
        <w:tc>
          <w:tcPr>
            <w:tcW w:type="dxa" w:w="1557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7000000">
            <w:pPr>
              <w:pStyle w:val="Style_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</w:tc>
        <w:tc>
          <w:tcPr>
            <w:tcW w:type="dxa" w:w="12740"/>
            <w:gridSpan w:val="10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</w:tcPr>
          <w:p w14:paraId="28000000">
            <w:pPr>
              <w:pStyle w:val="Style_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Итого: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</w:tcPr>
          <w:p w14:paraId="29000000"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>10 000, 00</w:t>
            </w:r>
          </w:p>
        </w:tc>
      </w:tr>
    </w:tbl>
    <w:p w14:paraId="2A000000">
      <w:pPr>
        <w:pStyle w:val="Style_1"/>
        <w:ind w:firstLine="567" w:left="0" w:right="252"/>
        <w:jc w:val="center"/>
        <w:rPr>
          <w:rFonts w:asciiTheme="minorAscii" w:hAnsiTheme="minorHAnsi"/>
          <w:b w:val="1"/>
          <w:color w:val="000000"/>
        </w:rPr>
      </w:pPr>
    </w:p>
    <w:tbl>
      <w:tblPr>
        <w:tblStyle w:val="Style_3"/>
        <w:tblLayout w:type="fixed"/>
      </w:tblPr>
      <w:tblGrid>
        <w:gridCol w:w="14379"/>
        <w:gridCol w:w="1608"/>
      </w:tblGrid>
      <w:tr>
        <w:trPr>
          <w:trHeight w:hRule="atLeast" w:val="255"/>
        </w:trPr>
        <w:tc>
          <w:tcPr>
            <w:tcW w:type="dxa" w:w="1437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2B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* Применение корректирующих коэффициентов и индексов в рамках данного исследования нецелесообразно.</w:t>
            </w:r>
          </w:p>
        </w:tc>
        <w:tc>
          <w:tcPr>
            <w:tcW w:type="dxa" w:w="160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2C000000">
            <w:pPr>
              <w:rPr>
                <w:rFonts w:ascii="PT Astra Serif" w:hAnsi="PT Astra Serif"/>
              </w:rPr>
            </w:pPr>
          </w:p>
        </w:tc>
      </w:tr>
      <w:tr>
        <w:trPr>
          <w:trHeight w:hRule="atLeast" w:val="255"/>
        </w:trPr>
        <w:tc>
          <w:tcPr>
            <w:tcW w:type="dxa" w:w="1598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2D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** Определение однородности совокупности цен в соответствии с п.3.20 приказа Минэкономразвития России от 02.10.2013 N 567</w:t>
            </w:r>
          </w:p>
        </w:tc>
      </w:tr>
      <w:tr>
        <w:trPr>
          <w:trHeight w:hRule="atLeast" w:val="255"/>
        </w:trPr>
        <w:tc>
          <w:tcPr>
            <w:tcW w:type="dxa" w:w="1598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2E000000">
            <w:pPr>
              <w:pStyle w:val="Style_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*** начальная максимальная цена контракта рассчитана по формуле: минимальная ценовое предложение * количество единиц</w:t>
            </w:r>
          </w:p>
        </w:tc>
      </w:tr>
    </w:tbl>
    <w:p w14:paraId="2F000000">
      <w:pPr>
        <w:pStyle w:val="Style_1"/>
        <w:ind w:firstLine="567" w:left="0" w:right="252"/>
        <w:rPr>
          <w:b w:val="1"/>
        </w:rPr>
      </w:pPr>
    </w:p>
    <w:tbl>
      <w:tblPr>
        <w:tblStyle w:val="Style_2"/>
        <w:tblInd w:type="dxa" w:w="237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591"/>
        <w:gridCol w:w="6592"/>
      </w:tblGrid>
      <w:tr>
        <w:tc>
          <w:tcPr>
            <w:tcW w:type="dxa" w:w="65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0000000">
            <w:pPr>
              <w:pStyle w:val="Style_1"/>
              <w:ind w:right="252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Среднее квадратичное отклонение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: </w:t>
            </w:r>
          </w:p>
          <w:p w14:paraId="31000000">
            <w:pPr>
              <w:pStyle w:val="Style_1"/>
              <w:ind w:right="252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Cambria Math" w:hAnsi="Cambria Math"/>
                <w:color w:val="000000"/>
                <w:sz w:val="20"/>
              </w:rPr>
              <w:t>𝜎</w:t>
            </w:r>
            <w:r>
              <w:rPr>
                <w:rFonts w:ascii="PT Astra Serif" w:hAnsi="PT Astra Serif"/>
                <w:color w:val="000000"/>
                <w:sz w:val="20"/>
              </w:rPr>
              <w:t>= √(( ∑2_(</w:t>
            </w:r>
            <w:r>
              <w:rPr>
                <w:rFonts w:ascii="Cambria Math" w:hAnsi="Cambria Math"/>
                <w:color w:val="000000"/>
                <w:sz w:val="20"/>
              </w:rPr>
              <w:t>𝑖</w:t>
            </w:r>
            <w:r>
              <w:rPr>
                <w:rFonts w:ascii="PT Astra Serif" w:hAnsi="PT Astra Serif"/>
                <w:color w:val="000000"/>
                <w:sz w:val="20"/>
              </w:rPr>
              <w:t>=1)^</w:t>
            </w:r>
            <w:r>
              <w:rPr>
                <w:rFonts w:ascii="Cambria Math" w:hAnsi="Cambria Math"/>
                <w:color w:val="000000"/>
                <w:sz w:val="20"/>
              </w:rPr>
              <w:t>𝑛</w:t>
            </w:r>
            <w:r>
              <w:rPr>
                <w:rFonts w:ascii="PT Astra Serif" w:hAnsi="PT Astra Serif"/>
                <w:color w:val="000000"/>
                <w:sz w:val="20"/>
              </w:rPr>
              <w:t>▒</w:t>
            </w:r>
            <w:r>
              <w:rPr>
                <w:rFonts w:ascii="Cambria Math" w:hAnsi="Cambria Math"/>
                <w:color w:val="000000"/>
                <w:sz w:val="20"/>
              </w:rPr>
              <w:t>〖〖</w:t>
            </w:r>
            <w:r>
              <w:rPr>
                <w:color w:val="000000"/>
                <w:sz w:val="20"/>
              </w:rPr>
              <w:t>(</w:t>
            </w:r>
            <w:r>
              <w:rPr>
                <w:rFonts w:ascii="PT Astra Serif" w:hAnsi="PT Astra Serif"/>
                <w:color w:val="000000"/>
                <w:sz w:val="20"/>
              </w:rPr>
              <w:t>ц_</w:t>
            </w:r>
            <w:r>
              <w:rPr>
                <w:rFonts w:ascii="Cambria Math" w:hAnsi="Cambria Math"/>
                <w:color w:val="000000"/>
                <w:sz w:val="20"/>
              </w:rPr>
              <w:t>𝑖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  − </w:t>
            </w:r>
            <w:r>
              <w:rPr>
                <w:rFonts w:ascii="Cambria Math" w:hAnsi="Cambria Math"/>
                <w:color w:val="000000"/>
                <w:sz w:val="20"/>
              </w:rPr>
              <w:t>⟨</w:t>
            </w:r>
            <w:r>
              <w:rPr>
                <w:rFonts w:ascii="PT Astra Serif" w:hAnsi="PT Astra Serif"/>
                <w:color w:val="000000"/>
                <w:sz w:val="20"/>
              </w:rPr>
              <w:t>ц</w:t>
            </w:r>
            <w:r>
              <w:rPr>
                <w:rFonts w:ascii="Cambria Math" w:hAnsi="Cambria Math"/>
                <w:color w:val="000000"/>
                <w:sz w:val="20"/>
              </w:rPr>
              <w:t>⟩</w:t>
            </w:r>
            <w:r>
              <w:rPr>
                <w:rFonts w:ascii="PT Astra Serif" w:hAnsi="PT Astra Serif"/>
                <w:color w:val="000000"/>
                <w:sz w:val="20"/>
              </w:rPr>
              <w:t>)</w:t>
            </w:r>
            <w:r>
              <w:rPr>
                <w:rFonts w:ascii="Cambria Math" w:hAnsi="Cambria Math"/>
                <w:color w:val="000000"/>
                <w:sz w:val="20"/>
              </w:rPr>
              <w:t>〗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^2  </w:t>
            </w:r>
            <w:r>
              <w:rPr>
                <w:rFonts w:ascii="Cambria Math" w:hAnsi="Cambria Math"/>
                <w:color w:val="000000"/>
                <w:sz w:val="20"/>
              </w:rPr>
              <w:t>〗</w:t>
            </w:r>
            <w:r>
              <w:rPr>
                <w:rFonts w:ascii="PT Astra Serif" w:hAnsi="PT Astra Serif"/>
                <w:color w:val="000000"/>
                <w:sz w:val="20"/>
              </w:rPr>
              <w:t>)/(</w:t>
            </w:r>
            <w:r>
              <w:rPr>
                <w:rFonts w:ascii="Cambria Math" w:hAnsi="Cambria Math"/>
                <w:color w:val="000000"/>
                <w:sz w:val="20"/>
              </w:rPr>
              <w:t>𝑛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−1)) </w:t>
            </w:r>
          </w:p>
          <w:p w14:paraId="32000000">
            <w:pPr>
              <w:pStyle w:val="Style_1"/>
              <w:ind w:right="252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Cambria Math" w:hAnsi="Cambria Math"/>
                <w:color w:val="000000"/>
                <w:sz w:val="20"/>
              </w:rPr>
              <w:t>⟨</w:t>
            </w:r>
            <w:r>
              <w:rPr>
                <w:rFonts w:ascii="PT Astra Serif" w:hAnsi="PT Astra Serif"/>
                <w:color w:val="000000"/>
                <w:sz w:val="20"/>
              </w:rPr>
              <w:t>ц</w:t>
            </w:r>
            <w:r>
              <w:rPr>
                <w:rFonts w:ascii="Cambria Math" w:hAnsi="Cambria Math"/>
                <w:color w:val="000000"/>
                <w:sz w:val="20"/>
              </w:rPr>
              <w:t>⟩</w:t>
            </w:r>
            <w:r>
              <w:rPr>
                <w:color w:val="000000"/>
                <w:sz w:val="20"/>
              </w:rPr>
              <w:t xml:space="preserve">" 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– среднее арифметическое всех цен;" </w:t>
            </w:r>
          </w:p>
          <w:p w14:paraId="33000000">
            <w:pPr>
              <w:pStyle w:val="Style_1"/>
              <w:ind w:right="252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Cambria Math" w:hAnsi="Cambria Math"/>
                <w:color w:val="000000"/>
                <w:sz w:val="20"/>
              </w:rPr>
              <w:t>𝑛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 "– количество значений, используемых в расчете;" </w:t>
            </w:r>
          </w:p>
          <w:p w14:paraId="34000000">
            <w:pPr>
              <w:pStyle w:val="Style_1"/>
              <w:ind w:right="252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Cambria Math" w:hAnsi="Cambria Math"/>
                <w:color w:val="000000"/>
                <w:sz w:val="20"/>
              </w:rPr>
              <w:t>𝑖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 "– номер источника ценовой информации;" </w:t>
            </w:r>
          </w:p>
          <w:p w14:paraId="35000000">
            <w:pPr>
              <w:pStyle w:val="Style_1"/>
              <w:ind w:right="252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ц_</w:t>
            </w:r>
            <w:r>
              <w:rPr>
                <w:rFonts w:ascii="Cambria Math" w:hAnsi="Cambria Math"/>
                <w:color w:val="000000"/>
                <w:sz w:val="20"/>
              </w:rPr>
              <w:t>𝑖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 "– цена единицы товара" </w:t>
            </w:r>
          </w:p>
        </w:tc>
        <w:tc>
          <w:tcPr>
            <w:tcW w:type="dxa" w:w="65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6000000">
            <w:pPr>
              <w:pStyle w:val="Style_1"/>
              <w:ind w:right="252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Коэффициент вариации</w:t>
            </w:r>
            <w:r>
              <w:rPr>
                <w:rFonts w:ascii="PT Astra Serif" w:hAnsi="PT Astra Serif"/>
                <w:color w:val="000000"/>
                <w:sz w:val="20"/>
              </w:rPr>
              <w:t>:</w:t>
            </w:r>
          </w:p>
          <w:p w14:paraId="37000000">
            <w:pPr>
              <w:pStyle w:val="Style_1"/>
              <w:ind w:right="252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Cambria Math" w:hAnsi="Cambria Math"/>
                <w:color w:val="000000"/>
                <w:sz w:val="20"/>
              </w:rPr>
              <w:t>𝑉</w:t>
            </w:r>
            <w:r>
              <w:rPr>
                <w:rFonts w:ascii="PT Astra Serif" w:hAnsi="PT Astra Serif"/>
                <w:color w:val="000000"/>
                <w:sz w:val="20"/>
              </w:rPr>
              <w:t>=</w:t>
            </w:r>
            <w:r>
              <w:rPr>
                <w:rFonts w:ascii="Cambria Math" w:hAnsi="Cambria Math"/>
                <w:color w:val="000000"/>
                <w:sz w:val="20"/>
              </w:rPr>
              <w:t>𝜎</w:t>
            </w:r>
            <w:r>
              <w:rPr>
                <w:rFonts w:ascii="PT Astra Serif" w:hAnsi="PT Astra Serif"/>
                <w:color w:val="000000"/>
                <w:sz w:val="20"/>
              </w:rPr>
              <w:t>/</w:t>
            </w:r>
            <w:r>
              <w:rPr>
                <w:rFonts w:ascii="Cambria Math" w:hAnsi="Cambria Math"/>
                <w:color w:val="000000"/>
                <w:sz w:val="20"/>
              </w:rPr>
              <w:t>⟨</w:t>
            </w:r>
            <w:r>
              <w:rPr>
                <w:rFonts w:ascii="PT Astra Serif" w:hAnsi="PT Astra Serif"/>
                <w:color w:val="000000"/>
                <w:sz w:val="20"/>
              </w:rPr>
              <w:t>ц</w:t>
            </w:r>
            <w:r>
              <w:rPr>
                <w:rFonts w:ascii="Cambria Math" w:hAnsi="Cambria Math"/>
                <w:color w:val="000000"/>
                <w:sz w:val="20"/>
              </w:rPr>
              <w:t>⟩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  × 100 </w:t>
            </w:r>
          </w:p>
          <w:p w14:paraId="38000000">
            <w:pPr>
              <w:pStyle w:val="Style_1"/>
              <w:ind w:right="252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Cambria Math" w:hAnsi="Cambria Math"/>
                <w:color w:val="000000"/>
                <w:sz w:val="20"/>
              </w:rPr>
              <w:t>⟨</w:t>
            </w:r>
            <w:r>
              <w:rPr>
                <w:rFonts w:ascii="PT Astra Serif" w:hAnsi="PT Astra Serif"/>
                <w:color w:val="000000"/>
                <w:sz w:val="20"/>
              </w:rPr>
              <w:t>ц</w:t>
            </w:r>
            <w:r>
              <w:rPr>
                <w:rFonts w:ascii="Cambria Math" w:hAnsi="Cambria Math"/>
                <w:color w:val="000000"/>
                <w:sz w:val="20"/>
              </w:rPr>
              <w:t>⟩</w:t>
            </w:r>
            <w:r>
              <w:rPr>
                <w:color w:val="000000"/>
                <w:sz w:val="20"/>
              </w:rPr>
              <w:t xml:space="preserve">" 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– среднее арифметическое всех цен;" </w:t>
            </w:r>
          </w:p>
          <w:p w14:paraId="39000000">
            <w:pPr>
              <w:pStyle w:val="Style_1"/>
              <w:ind w:right="252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Cambria Math" w:hAnsi="Cambria Math"/>
                <w:color w:val="000000"/>
                <w:sz w:val="20"/>
              </w:rPr>
              <w:t>𝜎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" – </w:t>
            </w:r>
            <w:r>
              <w:rPr>
                <w:rFonts w:ascii="PT Astra Serif" w:hAnsi="PT Astra Serif"/>
                <w:color w:val="000000"/>
                <w:sz w:val="20"/>
              </w:rPr>
              <w:t>c</w:t>
            </w:r>
            <w:r>
              <w:rPr>
                <w:rFonts w:ascii="PT Astra Serif" w:hAnsi="PT Astra Serif"/>
                <w:color w:val="000000"/>
                <w:sz w:val="20"/>
              </w:rPr>
              <w:t>реднее квадратичное отклонение</w:t>
            </w:r>
            <w:r>
              <w:rPr>
                <w:rFonts w:ascii="PT Astra Serif" w:hAnsi="PT Astra Serif"/>
                <w:color w:val="000000"/>
                <w:sz w:val="20"/>
              </w:rPr>
              <w:t>"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 </w:t>
            </w:r>
          </w:p>
          <w:p w14:paraId="3A000000">
            <w:pPr>
              <w:pStyle w:val="Style_1"/>
              <w:ind w:right="252"/>
              <w:rPr>
                <w:rFonts w:ascii="PT Astra Serif" w:hAnsi="PT Astra Serif"/>
                <w:color w:val="000000"/>
                <w:sz w:val="20"/>
              </w:rPr>
            </w:pPr>
          </w:p>
        </w:tc>
      </w:tr>
    </w:tbl>
    <w:p w14:paraId="3B000000">
      <w:pPr>
        <w:pStyle w:val="Style_1"/>
        <w:ind w:firstLine="567" w:left="0" w:right="252"/>
        <w:rPr>
          <w:rFonts w:ascii="PT Astra Serif" w:hAnsi="PT Astra Serif"/>
          <w:color w:val="000000"/>
          <w:sz w:val="24"/>
        </w:rPr>
      </w:pPr>
    </w:p>
    <w:p w14:paraId="3C000000">
      <w:pPr>
        <w:pStyle w:val="Style_1"/>
        <w:ind w:firstLine="567" w:left="0" w:right="252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sz w:val="24"/>
        </w:rPr>
        <w:t>Источниками информации для определения начальной (максимальной) цены контракта являются коммерческие предложения</w:t>
      </w:r>
    </w:p>
    <w:p w14:paraId="3D000000">
      <w:pPr>
        <w:pStyle w:val="Style_1"/>
        <w:ind w:firstLine="567" w:left="0" w:right="252"/>
        <w:rPr>
          <w:rFonts w:ascii="Times New Roman" w:hAnsi="Times New Roman"/>
          <w:sz w:val="20"/>
        </w:rPr>
      </w:pPr>
      <w:r>
        <w:rPr>
          <w:rFonts w:ascii="PT Astra Serif" w:hAnsi="PT Astra Serif"/>
          <w:sz w:val="24"/>
        </w:rPr>
        <w:t>Учитывая имеющиеся бюджетные обязательства (в соответствии с планом финансово-хозяйственной деятельности на 202</w:t>
      </w: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 xml:space="preserve"> год и плановые 202</w:t>
      </w:r>
      <w:r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 xml:space="preserve"> и 202</w:t>
      </w:r>
      <w:r>
        <w:rPr>
          <w:rFonts w:ascii="PT Astra Serif" w:hAnsi="PT Astra Serif"/>
          <w:sz w:val="24"/>
        </w:rPr>
        <w:t xml:space="preserve">8 </w:t>
      </w:r>
      <w:r>
        <w:rPr>
          <w:rFonts w:ascii="PT Astra Serif" w:hAnsi="PT Astra Serif"/>
          <w:sz w:val="24"/>
        </w:rPr>
        <w:t>год</w:t>
      </w:r>
      <w:r>
        <w:rPr>
          <w:rFonts w:ascii="PT Astra Serif" w:hAnsi="PT Astra Serif"/>
          <w:sz w:val="24"/>
        </w:rPr>
        <w:t>ы)</w:t>
      </w:r>
      <w:r>
        <w:rPr>
          <w:rFonts w:ascii="PT Astra Serif" w:hAnsi="PT Astra Serif"/>
          <w:sz w:val="24"/>
        </w:rPr>
        <w:t xml:space="preserve">, </w:t>
      </w:r>
      <w:r>
        <w:rPr>
          <w:rFonts w:ascii="PT Astra Serif" w:hAnsi="PT Astra Serif"/>
          <w:b w:val="1"/>
          <w:sz w:val="24"/>
          <w:u w:val="single"/>
        </w:rPr>
        <w:t>начальная (максимальная) цена контракта</w:t>
      </w:r>
      <w:r>
        <w:rPr>
          <w:rFonts w:ascii="PT Astra Serif" w:hAnsi="PT Astra Serif"/>
          <w:sz w:val="24"/>
        </w:rPr>
        <w:t xml:space="preserve"> на оказание </w:t>
      </w:r>
      <w:r>
        <w:rPr>
          <w:sz w:val="24"/>
        </w:rPr>
        <w:t xml:space="preserve">услуг </w:t>
      </w:r>
      <w:r>
        <w:rPr>
          <w:sz w:val="24"/>
        </w:rPr>
        <w:t xml:space="preserve">по </w:t>
      </w:r>
      <w:r>
        <w:rPr>
          <w:sz w:val="24"/>
        </w:rPr>
        <w:t>поставке бумаги офисной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b w:val="1"/>
          <w:sz w:val="24"/>
          <w:u w:val="single"/>
        </w:rPr>
        <w:t xml:space="preserve">определяется в размере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0"/>
          <w:highlight w:val="white"/>
          <w:u w:val="single"/>
        </w:rPr>
        <w:t>10 00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0"/>
          <w:highlight w:val="white"/>
          <w:u w:val="single"/>
        </w:rPr>
        <w:t>0,</w:t>
      </w:r>
      <w:r>
        <w:rPr>
          <w:rFonts w:ascii="PT Astra Serif" w:hAnsi="PT Astra Serif"/>
          <w:b w:val="1"/>
          <w:color w:val="000000"/>
          <w:sz w:val="20"/>
          <w:u w:val="single"/>
        </w:rPr>
        <w:t xml:space="preserve">00 </w:t>
      </w:r>
      <w:r>
        <w:rPr>
          <w:rFonts w:ascii="PT Astra Serif" w:hAnsi="PT Astra Serif"/>
          <w:b w:val="1"/>
          <w:sz w:val="24"/>
          <w:u w:val="single"/>
        </w:rPr>
        <w:t>(десять тысяч)</w:t>
      </w:r>
      <w:r>
        <w:rPr>
          <w:rFonts w:ascii="PT Astra Serif" w:hAnsi="PT Astra Serif"/>
          <w:b w:val="1"/>
          <w:sz w:val="24"/>
          <w:u w:val="single"/>
        </w:rPr>
        <w:t xml:space="preserve"> рубл</w:t>
      </w:r>
      <w:r>
        <w:rPr>
          <w:rFonts w:asciiTheme="minorAscii" w:hAnsiTheme="minorHAnsi"/>
          <w:b w:val="1"/>
          <w:sz w:val="24"/>
          <w:u w:val="single"/>
        </w:rPr>
        <w:t>ей</w:t>
      </w:r>
      <w:r>
        <w:rPr>
          <w:rFonts w:ascii="PT Astra Serif" w:hAnsi="PT Astra Serif"/>
          <w:b w:val="1"/>
          <w:sz w:val="24"/>
          <w:u w:val="single"/>
        </w:rPr>
        <w:t xml:space="preserve"> 67 копеек</w:t>
      </w:r>
      <w:r>
        <w:rPr>
          <w:rFonts w:ascii="PT Astra Serif" w:hAnsi="PT Astra Serif"/>
          <w:sz w:val="24"/>
        </w:rPr>
        <w:t>.</w:t>
      </w:r>
    </w:p>
    <w:p w14:paraId="3E000000">
      <w:pPr>
        <w:ind/>
        <w:jc w:val="both"/>
        <w:rPr>
          <w:rFonts w:ascii="PT Astra Serif" w:hAnsi="PT Astra Serif"/>
          <w:b w:val="1"/>
          <w:sz w:val="24"/>
        </w:rPr>
      </w:pPr>
    </w:p>
    <w:p w14:paraId="3F000000">
      <w:pPr>
        <w:ind/>
        <w:jc w:val="both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Дата подготовки обоснования 22</w:t>
      </w:r>
      <w:r>
        <w:rPr>
          <w:rFonts w:ascii="PT Astra Serif" w:hAnsi="PT Astra Serif"/>
          <w:b w:val="1"/>
          <w:sz w:val="24"/>
        </w:rPr>
        <w:t>.05</w:t>
      </w:r>
      <w:r>
        <w:rPr>
          <w:rFonts w:ascii="PT Astra Serif" w:hAnsi="PT Astra Serif"/>
          <w:b w:val="1"/>
          <w:sz w:val="24"/>
        </w:rPr>
        <w:t>.202</w:t>
      </w:r>
      <w:r>
        <w:rPr>
          <w:rFonts w:asciiTheme="minorAscii" w:hAnsiTheme="minorHAnsi"/>
          <w:b w:val="1"/>
          <w:sz w:val="24"/>
        </w:rPr>
        <w:t>6</w:t>
      </w:r>
      <w:r>
        <w:rPr>
          <w:rFonts w:ascii="PT Astra Serif" w:hAnsi="PT Astra Serif"/>
          <w:b w:val="1"/>
          <w:sz w:val="24"/>
        </w:rPr>
        <w:t xml:space="preserve"> год.</w:t>
      </w:r>
    </w:p>
    <w:p w14:paraId="40000000">
      <w:pPr>
        <w:pStyle w:val="Style_1"/>
        <w:ind w:firstLine="567" w:left="0" w:right="252"/>
        <w:rPr>
          <w:rFonts w:ascii="PT Astra Serif" w:hAnsi="PT Astra Serif"/>
          <w:b w:val="1"/>
          <w:color w:val="000000"/>
        </w:rPr>
      </w:pPr>
    </w:p>
    <w:sectPr>
      <w:headerReference r:id="rId1" w:type="default"/>
      <w:pgSz w:h="11906" w:orient="landscape" w:w="16838"/>
      <w:pgMar w:bottom="0" w:footer="720" w:gutter="0" w:header="720" w:left="567" w:right="284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Body Text Indent 2"/>
    <w:basedOn w:val="Style_4"/>
    <w:link w:val="Style_5_ch"/>
    <w:pPr>
      <w:spacing w:after="120" w:line="480" w:lineRule="auto"/>
      <w:ind w:firstLine="0" w:left="283"/>
    </w:pPr>
  </w:style>
  <w:style w:styleId="Style_5_ch" w:type="character">
    <w:name w:val="Body Text Indent 2"/>
    <w:basedOn w:val="Style_4_ch"/>
    <w:link w:val="Style_5"/>
  </w:style>
  <w:style w:styleId="Style_6" w:type="paragraph">
    <w:name w:val="page number"/>
    <w:basedOn w:val="Style_7"/>
    <w:link w:val="Style_6_ch"/>
  </w:style>
  <w:style w:styleId="Style_6_ch" w:type="character">
    <w:name w:val="page number"/>
    <w:basedOn w:val="Style_7_ch"/>
    <w:link w:val="Style_6"/>
  </w:style>
  <w:style w:styleId="Style_8" w:type="paragraph">
    <w:name w:val="toc 2"/>
    <w:next w:val="Style_4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s1"/>
    <w:basedOn w:val="Style_7"/>
    <w:link w:val="Style_9_ch"/>
  </w:style>
  <w:style w:styleId="Style_9_ch" w:type="character">
    <w:name w:val="s1"/>
    <w:basedOn w:val="Style_7_ch"/>
    <w:link w:val="Style_9"/>
  </w:style>
  <w:style w:styleId="Style_10" w:type="paragraph">
    <w:name w:val="toc 4"/>
    <w:next w:val="Style_4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er"/>
    <w:basedOn w:val="Style_4"/>
    <w:link w:val="Style_11_ch"/>
    <w:pPr>
      <w:tabs>
        <w:tab w:leader="none" w:pos="4153" w:val="center"/>
        <w:tab w:leader="none" w:pos="8306" w:val="right"/>
      </w:tabs>
      <w:ind/>
    </w:pPr>
  </w:style>
  <w:style w:styleId="Style_11_ch" w:type="character">
    <w:name w:val="header"/>
    <w:basedOn w:val="Style_4_ch"/>
    <w:link w:val="Style_11"/>
  </w:style>
  <w:style w:styleId="Style_12" w:type="paragraph">
    <w:name w:val="heading 7"/>
    <w:basedOn w:val="Style_4"/>
    <w:next w:val="Style_4"/>
    <w:link w:val="Style_12_ch"/>
    <w:uiPriority w:val="9"/>
    <w:qFormat/>
    <w:pPr>
      <w:keepNext w:val="1"/>
      <w:spacing w:before="120"/>
      <w:ind/>
      <w:jc w:val="center"/>
      <w:outlineLvl w:val="6"/>
    </w:pPr>
    <w:rPr>
      <w:b w:val="1"/>
      <w:color w:val="0000FF"/>
      <w:sz w:val="22"/>
    </w:rPr>
  </w:style>
  <w:style w:styleId="Style_12_ch" w:type="character">
    <w:name w:val="heading 7"/>
    <w:basedOn w:val="Style_4_ch"/>
    <w:link w:val="Style_12"/>
    <w:rPr>
      <w:b w:val="1"/>
      <w:color w:val="0000FF"/>
      <w:sz w:val="22"/>
    </w:rPr>
  </w:style>
  <w:style w:styleId="Style_13" w:type="paragraph">
    <w:name w:val="toc 6"/>
    <w:next w:val="Style_4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Body Text"/>
    <w:basedOn w:val="Style_4"/>
    <w:link w:val="Style_14_ch"/>
    <w:pPr>
      <w:ind/>
      <w:jc w:val="center"/>
    </w:pPr>
    <w:rPr>
      <w:b w:val="1"/>
    </w:rPr>
  </w:style>
  <w:style w:styleId="Style_14_ch" w:type="character">
    <w:name w:val="Body Text"/>
    <w:basedOn w:val="Style_4_ch"/>
    <w:link w:val="Style_14"/>
    <w:rPr>
      <w:b w:val="1"/>
    </w:rPr>
  </w:style>
  <w:style w:styleId="Style_15" w:type="paragraph">
    <w:name w:val="toc 7"/>
    <w:next w:val="Style_4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heading 3"/>
    <w:basedOn w:val="Style_4"/>
    <w:next w:val="Style_4"/>
    <w:link w:val="Style_16_ch"/>
    <w:uiPriority w:val="9"/>
    <w:qFormat/>
    <w:pPr>
      <w:keepNext w:val="1"/>
      <w:ind/>
      <w:jc w:val="center"/>
      <w:outlineLvl w:val="2"/>
    </w:pPr>
    <w:rPr>
      <w:b w:val="1"/>
      <w:sz w:val="24"/>
    </w:rPr>
  </w:style>
  <w:style w:styleId="Style_16_ch" w:type="character">
    <w:name w:val="heading 3"/>
    <w:basedOn w:val="Style_4_ch"/>
    <w:link w:val="Style_16"/>
    <w:rPr>
      <w:b w:val="1"/>
      <w:sz w:val="24"/>
    </w:rPr>
  </w:style>
  <w:style w:styleId="Style_17" w:type="paragraph">
    <w:name w:val="Strong"/>
    <w:basedOn w:val="Style_7"/>
    <w:link w:val="Style_17_ch"/>
    <w:rPr>
      <w:b w:val="1"/>
    </w:rPr>
  </w:style>
  <w:style w:styleId="Style_17_ch" w:type="character">
    <w:name w:val="Strong"/>
    <w:basedOn w:val="Style_7_ch"/>
    <w:link w:val="Style_17"/>
    <w:rPr>
      <w:b w:val="1"/>
    </w:rPr>
  </w:style>
  <w:style w:styleId="Style_18" w:type="paragraph">
    <w:name w:val="caption"/>
    <w:basedOn w:val="Style_4"/>
    <w:next w:val="Style_4"/>
    <w:link w:val="Style_18_ch"/>
    <w:pPr>
      <w:ind/>
      <w:jc w:val="center"/>
    </w:pPr>
    <w:rPr>
      <w:b w:val="1"/>
    </w:rPr>
  </w:style>
  <w:style w:styleId="Style_18_ch" w:type="character">
    <w:name w:val="caption"/>
    <w:basedOn w:val="Style_4_ch"/>
    <w:link w:val="Style_18"/>
    <w:rPr>
      <w:b w:val="1"/>
    </w:rPr>
  </w:style>
  <w:style w:styleId="Style_19" w:type="paragraph">
    <w:name w:val="Body Text Indent"/>
    <w:basedOn w:val="Style_4"/>
    <w:link w:val="Style_19_ch"/>
    <w:pPr>
      <w:ind w:firstLine="709" w:left="0"/>
      <w:jc w:val="both"/>
    </w:pPr>
    <w:rPr>
      <w:sz w:val="28"/>
    </w:rPr>
  </w:style>
  <w:style w:styleId="Style_19_ch" w:type="character">
    <w:name w:val="Body Text Indent"/>
    <w:basedOn w:val="Style_4_ch"/>
    <w:link w:val="Style_19"/>
    <w:rPr>
      <w:sz w:val="28"/>
    </w:rPr>
  </w:style>
  <w:style w:styleId="Style_20" w:type="paragraph">
    <w:name w:val="s2"/>
    <w:basedOn w:val="Style_7"/>
    <w:link w:val="Style_20_ch"/>
  </w:style>
  <w:style w:styleId="Style_20_ch" w:type="character">
    <w:name w:val="s2"/>
    <w:basedOn w:val="Style_7_ch"/>
    <w:link w:val="Style_20"/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ind w:firstLine="0" w:left="356"/>
      <w:jc w:val="center"/>
      <w:outlineLvl w:val="4"/>
    </w:pPr>
    <w:rPr>
      <w:b w:val="1"/>
      <w:sz w:val="23"/>
    </w:rPr>
  </w:style>
  <w:style w:styleId="Style_22_ch" w:type="character">
    <w:name w:val="heading 5"/>
    <w:basedOn w:val="Style_4_ch"/>
    <w:link w:val="Style_22"/>
    <w:rPr>
      <w:b w:val="1"/>
      <w:sz w:val="23"/>
    </w:rPr>
  </w:style>
  <w:style w:styleId="Style_23" w:type="paragraph">
    <w:name w:val="heading 1"/>
    <w:basedOn w:val="Style_4"/>
    <w:next w:val="Style_4"/>
    <w:link w:val="Style_23_ch"/>
    <w:uiPriority w:val="9"/>
    <w:qFormat/>
    <w:pPr>
      <w:keepNext w:val="1"/>
      <w:ind/>
      <w:jc w:val="both"/>
      <w:outlineLvl w:val="0"/>
    </w:pPr>
    <w:rPr>
      <w:b w:val="1"/>
      <w:sz w:val="24"/>
    </w:rPr>
  </w:style>
  <w:style w:styleId="Style_23_ch" w:type="character">
    <w:name w:val="heading 1"/>
    <w:basedOn w:val="Style_4_ch"/>
    <w:link w:val="Style_23"/>
    <w:rPr>
      <w:b w:val="1"/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Normal (Web)"/>
    <w:basedOn w:val="Style_4"/>
    <w:link w:val="Style_26_ch"/>
    <w:pPr>
      <w:spacing w:afterAutospacing="on" w:beforeAutospacing="on"/>
      <w:ind/>
    </w:pPr>
    <w:rPr>
      <w:sz w:val="24"/>
    </w:rPr>
  </w:style>
  <w:style w:styleId="Style_26_ch" w:type="character">
    <w:name w:val="Normal (Web)"/>
    <w:basedOn w:val="Style_4_ch"/>
    <w:link w:val="Style_26"/>
    <w:rPr>
      <w:sz w:val="24"/>
    </w:rPr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Balloon Text"/>
    <w:basedOn w:val="Style_4"/>
    <w:link w:val="Style_28_ch"/>
    <w:rPr>
      <w:rFonts w:ascii="Tahoma" w:hAnsi="Tahoma"/>
      <w:sz w:val="16"/>
    </w:rPr>
  </w:style>
  <w:style w:styleId="Style_28_ch" w:type="character">
    <w:name w:val="Balloon Text"/>
    <w:basedOn w:val="Style_4_ch"/>
    <w:link w:val="Style_28"/>
    <w:rPr>
      <w:rFonts w:ascii="Tahoma" w:hAnsi="Tahoma"/>
      <w:sz w:val="16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footer"/>
    <w:basedOn w:val="Style_4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4_ch"/>
    <w:link w:val="Style_30"/>
  </w:style>
  <w:style w:styleId="Style_31" w:type="paragraph">
    <w:name w:val="toc 9"/>
    <w:next w:val="Style_4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1" w:type="paragraph">
    <w:name w:val="No Spacing"/>
    <w:link w:val="Style_1_ch"/>
  </w:style>
  <w:style w:styleId="Style_1_ch" w:type="character">
    <w:name w:val="No Spacing"/>
    <w:link w:val="Style_1"/>
  </w:style>
  <w:style w:styleId="Style_32" w:type="paragraph">
    <w:name w:val="toc 8"/>
    <w:next w:val="Style_4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Emphasis"/>
    <w:basedOn w:val="Style_7"/>
    <w:link w:val="Style_33_ch"/>
    <w:rPr>
      <w:i w:val="1"/>
    </w:rPr>
  </w:style>
  <w:style w:styleId="Style_33_ch" w:type="character">
    <w:name w:val="Emphasis"/>
    <w:basedOn w:val="Style_7_ch"/>
    <w:link w:val="Style_33"/>
    <w:rPr>
      <w:i w:val="1"/>
    </w:rPr>
  </w:style>
  <w:style w:styleId="Style_34" w:type="paragraph">
    <w:name w:val="toc 5"/>
    <w:next w:val="Style_4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apple-converted-space"/>
    <w:link w:val="Style_35_ch"/>
  </w:style>
  <w:style w:styleId="Style_35_ch" w:type="character">
    <w:name w:val="apple-converted-space"/>
    <w:link w:val="Style_35"/>
  </w:style>
  <w:style w:styleId="Style_36" w:type="paragraph">
    <w:name w:val="Subtitle"/>
    <w:next w:val="Style_4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ConsNonformat"/>
    <w:link w:val="Style_37_ch"/>
    <w:pPr>
      <w:widowControl w:val="0"/>
      <w:ind w:right="19772"/>
    </w:pPr>
    <w:rPr>
      <w:rFonts w:ascii="Courier New" w:hAnsi="Courier New"/>
      <w:sz w:val="26"/>
    </w:rPr>
  </w:style>
  <w:style w:styleId="Style_37_ch" w:type="character">
    <w:name w:val="ConsNonformat"/>
    <w:link w:val="Style_37"/>
    <w:rPr>
      <w:rFonts w:ascii="Courier New" w:hAnsi="Courier New"/>
      <w:sz w:val="26"/>
    </w:rPr>
  </w:style>
  <w:style w:styleId="Style_38" w:type="paragraph">
    <w:name w:val="Title"/>
    <w:basedOn w:val="Style_4"/>
    <w:link w:val="Style_38_ch"/>
    <w:uiPriority w:val="10"/>
    <w:qFormat/>
    <w:pPr>
      <w:spacing w:after="20" w:before="20"/>
      <w:ind w:hanging="1134" w:left="1134"/>
      <w:jc w:val="center"/>
    </w:pPr>
    <w:rPr>
      <w:b w:val="1"/>
      <w:spacing w:val="20"/>
      <w:sz w:val="32"/>
    </w:rPr>
  </w:style>
  <w:style w:styleId="Style_38_ch" w:type="character">
    <w:name w:val="Title"/>
    <w:basedOn w:val="Style_4_ch"/>
    <w:link w:val="Style_38"/>
    <w:rPr>
      <w:b w:val="1"/>
      <w:spacing w:val="20"/>
      <w:sz w:val="32"/>
    </w:rPr>
  </w:style>
  <w:style w:styleId="Style_39" w:type="paragraph">
    <w:name w:val="heading 4"/>
    <w:basedOn w:val="Style_4"/>
    <w:next w:val="Style_4"/>
    <w:link w:val="Style_39_ch"/>
    <w:uiPriority w:val="9"/>
    <w:qFormat/>
    <w:pPr>
      <w:keepNext w:val="1"/>
      <w:ind/>
      <w:jc w:val="center"/>
      <w:outlineLvl w:val="3"/>
    </w:pPr>
    <w:rPr>
      <w:b w:val="1"/>
      <w:sz w:val="23"/>
    </w:rPr>
  </w:style>
  <w:style w:styleId="Style_39_ch" w:type="character">
    <w:name w:val="heading 4"/>
    <w:basedOn w:val="Style_4_ch"/>
    <w:link w:val="Style_39"/>
    <w:rPr>
      <w:b w:val="1"/>
      <w:sz w:val="23"/>
    </w:rPr>
  </w:style>
  <w:style w:styleId="Style_40" w:type="paragraph">
    <w:name w:val="fontstyle01"/>
    <w:basedOn w:val="Style_7"/>
    <w:link w:val="Style_40_ch"/>
    <w:rPr>
      <w:rFonts w:ascii="TimesNewRomanPSMT" w:hAnsi="TimesNewRomanPSMT"/>
      <w:b w:val="0"/>
      <w:i w:val="0"/>
      <w:color w:val="000000"/>
      <w:sz w:val="22"/>
    </w:rPr>
  </w:style>
  <w:style w:styleId="Style_40_ch" w:type="character">
    <w:name w:val="fontstyle01"/>
    <w:basedOn w:val="Style_7_ch"/>
    <w:link w:val="Style_40"/>
    <w:rPr>
      <w:rFonts w:ascii="TimesNewRomanPSMT" w:hAnsi="TimesNewRomanPSMT"/>
      <w:b w:val="0"/>
      <w:i w:val="0"/>
      <w:color w:val="000000"/>
      <w:sz w:val="22"/>
    </w:rPr>
  </w:style>
  <w:style w:styleId="Style_41" w:type="paragraph">
    <w:name w:val="heading 2"/>
    <w:basedOn w:val="Style_4"/>
    <w:next w:val="Style_4"/>
    <w:link w:val="Style_41_ch"/>
    <w:uiPriority w:val="9"/>
    <w:qFormat/>
    <w:pPr>
      <w:keepNext w:val="1"/>
      <w:ind/>
      <w:jc w:val="right"/>
      <w:outlineLvl w:val="1"/>
    </w:pPr>
    <w:rPr>
      <w:b w:val="1"/>
      <w:sz w:val="24"/>
    </w:rPr>
  </w:style>
  <w:style w:styleId="Style_41_ch" w:type="character">
    <w:name w:val="heading 2"/>
    <w:basedOn w:val="Style_4_ch"/>
    <w:link w:val="Style_41"/>
    <w:rPr>
      <w:b w:val="1"/>
      <w:sz w:val="24"/>
    </w:rPr>
  </w:style>
  <w:style w:styleId="Style_42" w:type="paragraph">
    <w:name w:val="heading 6"/>
    <w:basedOn w:val="Style_4"/>
    <w:next w:val="Style_4"/>
    <w:link w:val="Style_42_ch"/>
    <w:uiPriority w:val="9"/>
    <w:qFormat/>
    <w:pPr>
      <w:keepNext w:val="1"/>
      <w:ind/>
      <w:jc w:val="center"/>
      <w:outlineLvl w:val="5"/>
    </w:pPr>
    <w:rPr>
      <w:b w:val="1"/>
    </w:rPr>
  </w:style>
  <w:style w:styleId="Style_42_ch" w:type="character">
    <w:name w:val="heading 6"/>
    <w:basedOn w:val="Style_4_ch"/>
    <w:link w:val="Style_42"/>
    <w:rPr>
      <w:b w:val="1"/>
    </w:rPr>
  </w:style>
  <w:style w:styleId="Style_2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wmf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2026-05-22T12:50:09Z</dcterms:modified>
</cp:coreProperties>
</file>