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09FBA">
      <w:pPr>
        <w:jc w:val="center"/>
        <w:rPr>
          <w:b/>
          <w:bCs/>
          <w:color w:val="000000"/>
          <w:sz w:val="18"/>
          <w:szCs w:val="18"/>
        </w:rPr>
      </w:pPr>
      <w:r>
        <w:rPr>
          <w:b/>
          <w:bCs/>
          <w:smallCaps/>
          <w:color w:val="000000"/>
          <w:sz w:val="18"/>
          <w:szCs w:val="18"/>
        </w:rPr>
        <w:t xml:space="preserve">договор </w:t>
      </w:r>
      <w:r>
        <w:rPr>
          <w:b/>
          <w:bCs/>
          <w:color w:val="000000"/>
          <w:sz w:val="18"/>
          <w:szCs w:val="18"/>
        </w:rPr>
        <w:t>№ ______________</w:t>
      </w:r>
    </w:p>
    <w:p w14:paraId="4E4C63AF">
      <w:pPr>
        <w:jc w:val="center"/>
        <w:rPr>
          <w:b/>
          <w:color w:val="000000"/>
          <w:sz w:val="18"/>
          <w:szCs w:val="18"/>
        </w:rPr>
      </w:pPr>
      <w:r>
        <w:rPr>
          <w:b/>
          <w:color w:val="000000"/>
          <w:sz w:val="18"/>
          <w:szCs w:val="18"/>
        </w:rPr>
        <w:t>обязательного страхования гражданской ответственности</w:t>
      </w:r>
    </w:p>
    <w:p w14:paraId="6399047E">
      <w:pPr>
        <w:jc w:val="center"/>
        <w:rPr>
          <w:b/>
          <w:color w:val="000000"/>
          <w:sz w:val="18"/>
          <w:szCs w:val="18"/>
        </w:rPr>
      </w:pPr>
      <w:r>
        <w:rPr>
          <w:b/>
          <w:color w:val="000000"/>
          <w:sz w:val="18"/>
          <w:szCs w:val="18"/>
        </w:rPr>
        <w:t>владельцев транспортных средств</w:t>
      </w:r>
    </w:p>
    <w:p w14:paraId="004E4067">
      <w:pPr>
        <w:jc w:val="center"/>
        <w:rPr>
          <w:b/>
          <w:color w:val="000000"/>
          <w:sz w:val="18"/>
          <w:szCs w:val="18"/>
        </w:rPr>
      </w:pPr>
      <w:r>
        <w:rPr>
          <w:b/>
          <w:color w:val="000000"/>
          <w:sz w:val="18"/>
          <w:szCs w:val="18"/>
        </w:rPr>
        <w:t xml:space="preserve">ИКЗ </w:t>
      </w:r>
      <w:r>
        <w:rPr>
          <w:rFonts w:ascii="Tahoma" w:hAnsi="Tahoma" w:cs="Tahoma"/>
          <w:b/>
          <w:bCs/>
          <w:color w:val="000000"/>
          <w:sz w:val="17"/>
          <w:szCs w:val="17"/>
          <w:shd w:val="clear" w:color="auto" w:fill="E0E0E0"/>
        </w:rPr>
        <w:t>26 1 1618001016 164601001 0003 000 0000 244</w:t>
      </w:r>
    </w:p>
    <w:p w14:paraId="55094EBD">
      <w:pPr>
        <w:rPr>
          <w:color w:val="000000"/>
          <w:sz w:val="18"/>
          <w:szCs w:val="18"/>
        </w:rPr>
      </w:pPr>
    </w:p>
    <w:tbl>
      <w:tblPr>
        <w:tblStyle w:val="5"/>
        <w:tblW w:w="9322" w:type="dxa"/>
        <w:tblInd w:w="0" w:type="dxa"/>
        <w:tblLayout w:type="autofit"/>
        <w:tblCellMar>
          <w:top w:w="0" w:type="dxa"/>
          <w:left w:w="108" w:type="dxa"/>
          <w:bottom w:w="0" w:type="dxa"/>
          <w:right w:w="108" w:type="dxa"/>
        </w:tblCellMar>
      </w:tblPr>
      <w:tblGrid>
        <w:gridCol w:w="4785"/>
        <w:gridCol w:w="4537"/>
      </w:tblGrid>
      <w:tr w14:paraId="1E55B2B3">
        <w:tblPrEx>
          <w:tblCellMar>
            <w:top w:w="0" w:type="dxa"/>
            <w:left w:w="108" w:type="dxa"/>
            <w:bottom w:w="0" w:type="dxa"/>
            <w:right w:w="108" w:type="dxa"/>
          </w:tblCellMar>
        </w:tblPrEx>
        <w:tc>
          <w:tcPr>
            <w:tcW w:w="4785" w:type="dxa"/>
          </w:tcPr>
          <w:p w14:paraId="611E7FA7">
            <w:pPr>
              <w:rPr>
                <w:b/>
                <w:color w:val="000000"/>
                <w:sz w:val="18"/>
                <w:szCs w:val="18"/>
              </w:rPr>
            </w:pPr>
            <w:r>
              <w:rPr>
                <w:b/>
                <w:color w:val="000000"/>
                <w:sz w:val="18"/>
                <w:szCs w:val="18"/>
              </w:rPr>
              <w:t>г. Елабуга</w:t>
            </w:r>
          </w:p>
        </w:tc>
        <w:tc>
          <w:tcPr>
            <w:tcW w:w="4537" w:type="dxa"/>
          </w:tcPr>
          <w:p w14:paraId="6A140D78">
            <w:pPr>
              <w:jc w:val="right"/>
              <w:rPr>
                <w:b/>
                <w:bCs/>
                <w:color w:val="000000"/>
                <w:sz w:val="18"/>
                <w:szCs w:val="18"/>
              </w:rPr>
            </w:pPr>
            <w:r>
              <w:rPr>
                <w:b/>
                <w:bCs/>
                <w:color w:val="000000"/>
                <w:sz w:val="18"/>
                <w:szCs w:val="18"/>
              </w:rPr>
              <w:t>«___»__________ 2026 г.</w:t>
            </w:r>
          </w:p>
        </w:tc>
      </w:tr>
    </w:tbl>
    <w:p w14:paraId="58B54B67">
      <w:pPr>
        <w:pStyle w:val="10"/>
        <w:rPr>
          <w:b/>
          <w:bCs/>
          <w:sz w:val="18"/>
          <w:szCs w:val="18"/>
        </w:rPr>
      </w:pPr>
    </w:p>
    <w:p w14:paraId="3E1A881C">
      <w:pPr>
        <w:pStyle w:val="10"/>
        <w:rPr>
          <w:sz w:val="18"/>
          <w:szCs w:val="18"/>
        </w:rPr>
      </w:pPr>
      <w:r>
        <w:rPr>
          <w:b/>
          <w:sz w:val="18"/>
          <w:szCs w:val="18"/>
        </w:rPr>
        <w:t>Федеральное государственное бюджетное учреждение «Национальный парк «Нижняя Кама»,</w:t>
      </w:r>
      <w:r>
        <w:rPr>
          <w:sz w:val="18"/>
          <w:szCs w:val="18"/>
        </w:rPr>
        <w:t xml:space="preserve"> именуемое в дальнейшем «Страхователь», в лице </w:t>
      </w:r>
      <w:r>
        <w:rPr>
          <w:b/>
          <w:sz w:val="18"/>
          <w:szCs w:val="18"/>
        </w:rPr>
        <w:t>директора Имамова Алексея Айратовича</w:t>
      </w:r>
      <w:r>
        <w:rPr>
          <w:sz w:val="18"/>
          <w:szCs w:val="18"/>
        </w:rPr>
        <w:t>, действующего на основании Устава, с одной стороны, и ____________________________________________________________________________________________________</w:t>
      </w:r>
      <w:r>
        <w:rPr>
          <w:b/>
          <w:bCs/>
          <w:sz w:val="18"/>
          <w:szCs w:val="18"/>
        </w:rPr>
        <w:t xml:space="preserve">, </w:t>
      </w:r>
      <w:r>
        <w:rPr>
          <w:bCs/>
          <w:sz w:val="18"/>
          <w:szCs w:val="18"/>
        </w:rPr>
        <w:t>действующее на основании ______________________________________________</w:t>
      </w:r>
      <w:r>
        <w:rPr>
          <w:b/>
          <w:bCs/>
          <w:sz w:val="18"/>
          <w:szCs w:val="18"/>
        </w:rPr>
        <w:t xml:space="preserve"> </w:t>
      </w:r>
      <w:r>
        <w:rPr>
          <w:sz w:val="18"/>
          <w:szCs w:val="18"/>
        </w:rPr>
        <w:t>именуемое в дальнейшем «СТРАХОВЩИК», в лице ____________________________________________</w:t>
      </w:r>
      <w:r>
        <w:rPr>
          <w:bCs/>
          <w:i/>
          <w:iCs/>
          <w:sz w:val="18"/>
          <w:szCs w:val="18"/>
        </w:rPr>
        <w:t xml:space="preserve"> </w:t>
      </w:r>
      <w:r>
        <w:rPr>
          <w:sz w:val="18"/>
          <w:szCs w:val="18"/>
        </w:rPr>
        <w:t>действующей на основании ______________________________________ и  с другой стороны, при совместном упоминании именуемые Стороны, заключили настоящий договор на основании п.5 ч.1 ст.93 ФЗ-44 «О контрактной системе в сфере закупок, товаров, услуг для обеспечения государственных и муниципальных служб» от 05.04.2013 г. и проведённой закупочной сессии на Едином агрегаторе торговли (далее - ЕАТ) № __________ от «__» ___ 2026 г.,:</w:t>
      </w:r>
    </w:p>
    <w:p w14:paraId="1AE45DE9">
      <w:pPr>
        <w:numPr>
          <w:ilvl w:val="0"/>
          <w:numId w:val="1"/>
        </w:numPr>
        <w:spacing w:before="120" w:after="120"/>
        <w:ind w:left="714" w:hanging="357"/>
        <w:jc w:val="center"/>
        <w:rPr>
          <w:b/>
          <w:bCs/>
          <w:caps/>
          <w:color w:val="000000"/>
          <w:sz w:val="18"/>
          <w:szCs w:val="18"/>
        </w:rPr>
      </w:pPr>
      <w:r>
        <w:rPr>
          <w:b/>
          <w:bCs/>
          <w:caps/>
          <w:color w:val="000000"/>
          <w:sz w:val="18"/>
          <w:szCs w:val="18"/>
        </w:rPr>
        <w:t>Предмет договора</w:t>
      </w:r>
    </w:p>
    <w:p w14:paraId="45F36EEA">
      <w:pPr>
        <w:pStyle w:val="2"/>
        <w:shd w:val="clear" w:color="auto" w:fill="FFFFFF"/>
        <w:spacing w:before="0" w:after="144" w:line="193" w:lineRule="atLeast"/>
        <w:ind w:firstLine="480"/>
        <w:jc w:val="both"/>
        <w:rPr>
          <w:rFonts w:ascii="Times New Roman" w:hAnsi="Times New Roman" w:cs="Times New Roman"/>
          <w:b w:val="0"/>
          <w:sz w:val="18"/>
          <w:szCs w:val="18"/>
        </w:rPr>
      </w:pPr>
      <w:r>
        <w:rPr>
          <w:rFonts w:ascii="Times New Roman" w:hAnsi="Times New Roman" w:cs="Times New Roman"/>
          <w:b w:val="0"/>
          <w:sz w:val="18"/>
          <w:szCs w:val="18"/>
        </w:rPr>
        <w:t xml:space="preserve"> 1.1. В соответствии с настоящим договором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потерпевшим причиненный вследствие этого события вред их жизни, здоровью или имуществу (осуществить страховую выплату) в пределах суммы установленной Федеральным законом от 25.04.2002 N 40-ФЗ "Об обязательном страховании гражданской ответственности владельцев транспортных средств" (страховой суммы).</w:t>
      </w:r>
    </w:p>
    <w:p w14:paraId="26F2D47C">
      <w:pPr>
        <w:autoSpaceDE w:val="0"/>
        <w:autoSpaceDN w:val="0"/>
        <w:adjustRightInd w:val="0"/>
        <w:ind w:firstLine="540"/>
        <w:jc w:val="both"/>
        <w:rPr>
          <w:sz w:val="18"/>
          <w:szCs w:val="18"/>
        </w:rPr>
      </w:pPr>
      <w:r>
        <w:rPr>
          <w:sz w:val="18"/>
          <w:szCs w:val="18"/>
        </w:rPr>
        <w:t>1.2.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Приложению к договору №1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14:paraId="4CCE6BD8">
      <w:pPr>
        <w:autoSpaceDE w:val="0"/>
        <w:autoSpaceDN w:val="0"/>
        <w:adjustRightInd w:val="0"/>
        <w:ind w:firstLine="540"/>
        <w:jc w:val="both"/>
        <w:rPr>
          <w:sz w:val="18"/>
          <w:szCs w:val="18"/>
        </w:rPr>
      </w:pPr>
      <w:r>
        <w:rPr>
          <w:sz w:val="18"/>
          <w:szCs w:val="18"/>
        </w:rPr>
        <w:t>1.3.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страховую выплату.</w:t>
      </w:r>
    </w:p>
    <w:p w14:paraId="260C0C4C">
      <w:pPr>
        <w:autoSpaceDE w:val="0"/>
        <w:autoSpaceDN w:val="0"/>
        <w:adjustRightInd w:val="0"/>
        <w:ind w:firstLine="540"/>
        <w:jc w:val="both"/>
        <w:rPr>
          <w:sz w:val="18"/>
          <w:szCs w:val="18"/>
        </w:rPr>
      </w:pPr>
      <w:r>
        <w:rPr>
          <w:sz w:val="18"/>
          <w:szCs w:val="18"/>
        </w:rPr>
        <w:t>1.4. В соответствии с настоящим Договором не возмещается вред, причиненный вследствие:</w:t>
      </w:r>
    </w:p>
    <w:p w14:paraId="37407662">
      <w:pPr>
        <w:autoSpaceDE w:val="0"/>
        <w:autoSpaceDN w:val="0"/>
        <w:adjustRightInd w:val="0"/>
        <w:ind w:firstLine="540"/>
        <w:jc w:val="both"/>
        <w:rPr>
          <w:sz w:val="18"/>
          <w:szCs w:val="18"/>
        </w:rPr>
      </w:pPr>
      <w:r>
        <w:rPr>
          <w:sz w:val="18"/>
          <w:szCs w:val="18"/>
        </w:rPr>
        <w:t>а) непреодолимой силы либо умысла потерпевшего;</w:t>
      </w:r>
    </w:p>
    <w:p w14:paraId="3F0A5EF9">
      <w:pPr>
        <w:autoSpaceDE w:val="0"/>
        <w:autoSpaceDN w:val="0"/>
        <w:adjustRightInd w:val="0"/>
        <w:ind w:firstLine="540"/>
        <w:jc w:val="both"/>
        <w:rPr>
          <w:sz w:val="18"/>
          <w:szCs w:val="18"/>
        </w:rPr>
      </w:pPr>
      <w:r>
        <w:rPr>
          <w:sz w:val="18"/>
          <w:szCs w:val="18"/>
        </w:rPr>
        <w:t>б) воздействия ядерного взрыва, радиации или радиоактивного заражения;</w:t>
      </w:r>
    </w:p>
    <w:p w14:paraId="0BEA5A57">
      <w:pPr>
        <w:autoSpaceDE w:val="0"/>
        <w:autoSpaceDN w:val="0"/>
        <w:adjustRightInd w:val="0"/>
        <w:ind w:firstLine="540"/>
        <w:jc w:val="both"/>
        <w:rPr>
          <w:sz w:val="18"/>
          <w:szCs w:val="18"/>
        </w:rPr>
      </w:pPr>
      <w:r>
        <w:rPr>
          <w:sz w:val="18"/>
          <w:szCs w:val="18"/>
        </w:rPr>
        <w:t>в) военных действий, а также маневров или иных военных мероприятий;</w:t>
      </w:r>
    </w:p>
    <w:p w14:paraId="389873F4">
      <w:pPr>
        <w:autoSpaceDE w:val="0"/>
        <w:autoSpaceDN w:val="0"/>
        <w:adjustRightInd w:val="0"/>
        <w:ind w:firstLine="540"/>
        <w:jc w:val="both"/>
        <w:rPr>
          <w:sz w:val="18"/>
          <w:szCs w:val="18"/>
        </w:rPr>
      </w:pPr>
      <w:r>
        <w:rPr>
          <w:sz w:val="18"/>
          <w:szCs w:val="18"/>
        </w:rPr>
        <w:t>г) гражданской войны, народных волнений или забастовок.</w:t>
      </w:r>
    </w:p>
    <w:p w14:paraId="4BA521E5">
      <w:pPr>
        <w:autoSpaceDE w:val="0"/>
        <w:autoSpaceDN w:val="0"/>
        <w:adjustRightInd w:val="0"/>
        <w:ind w:firstLine="540"/>
        <w:jc w:val="both"/>
        <w:rPr>
          <w:sz w:val="18"/>
          <w:szCs w:val="18"/>
        </w:rPr>
      </w:pPr>
      <w:r>
        <w:rPr>
          <w:sz w:val="18"/>
          <w:szCs w:val="18"/>
        </w:rPr>
        <w:t>1.5. Вред, причиненный имуществу, принадлежащему лицу, ответственному за причиненный вред, не возмещается.</w:t>
      </w:r>
    </w:p>
    <w:p w14:paraId="19122842">
      <w:pPr>
        <w:autoSpaceDE w:val="0"/>
        <w:autoSpaceDN w:val="0"/>
        <w:adjustRightInd w:val="0"/>
        <w:ind w:firstLine="540"/>
        <w:jc w:val="both"/>
        <w:rPr>
          <w:sz w:val="18"/>
          <w:szCs w:val="18"/>
        </w:rPr>
      </w:pPr>
      <w:r>
        <w:rPr>
          <w:sz w:val="18"/>
          <w:szCs w:val="18"/>
        </w:rPr>
        <w:t>1.6. Не относится к страховым случаям наступление гражданской ответственности владельцев транспортных средств вследствие:</w:t>
      </w:r>
    </w:p>
    <w:p w14:paraId="689F2C30">
      <w:pPr>
        <w:shd w:val="clear" w:color="auto" w:fill="FFFFFF"/>
        <w:spacing w:line="232" w:lineRule="atLeast"/>
        <w:ind w:firstLine="540"/>
        <w:jc w:val="both"/>
        <w:rPr>
          <w:color w:val="333333"/>
          <w:sz w:val="18"/>
          <w:szCs w:val="18"/>
        </w:rPr>
      </w:pPr>
      <w:r>
        <w:rPr>
          <w:rStyle w:val="21"/>
          <w:color w:val="333333"/>
          <w:sz w:val="18"/>
          <w:szCs w:val="18"/>
        </w:rPr>
        <w:t>а) причинения вреда при использовании иного транспортного средства, чем то, которое указано в договоре обязательного страхования;</w:t>
      </w:r>
    </w:p>
    <w:p w14:paraId="3D6F20D4">
      <w:pPr>
        <w:shd w:val="clear" w:color="auto" w:fill="FFFFFF"/>
        <w:spacing w:line="232" w:lineRule="atLeast"/>
        <w:ind w:firstLine="540"/>
        <w:jc w:val="both"/>
        <w:rPr>
          <w:color w:val="333333"/>
          <w:sz w:val="18"/>
          <w:szCs w:val="18"/>
        </w:rPr>
      </w:pPr>
      <w:bookmarkStart w:id="0" w:name="dst100054"/>
      <w:bookmarkEnd w:id="0"/>
      <w:r>
        <w:rPr>
          <w:rStyle w:val="21"/>
          <w:color w:val="333333"/>
          <w:sz w:val="18"/>
          <w:szCs w:val="18"/>
        </w:rPr>
        <w:t>б) причинения морального вреда или возникновения обязанности по возмещению упущенной выгоды;</w:t>
      </w:r>
    </w:p>
    <w:p w14:paraId="6B4B345D">
      <w:pPr>
        <w:shd w:val="clear" w:color="auto" w:fill="FFFFFF"/>
        <w:spacing w:line="232" w:lineRule="atLeast"/>
        <w:ind w:firstLine="540"/>
        <w:jc w:val="both"/>
        <w:rPr>
          <w:color w:val="333333"/>
          <w:sz w:val="18"/>
          <w:szCs w:val="18"/>
        </w:rPr>
      </w:pPr>
      <w:bookmarkStart w:id="1" w:name="dst100055"/>
      <w:bookmarkEnd w:id="1"/>
      <w:r>
        <w:rPr>
          <w:rStyle w:val="21"/>
          <w:color w:val="333333"/>
          <w:sz w:val="18"/>
          <w:szCs w:val="18"/>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3F24BB56">
      <w:pPr>
        <w:shd w:val="clear" w:color="auto" w:fill="FFFFFF"/>
        <w:spacing w:line="232" w:lineRule="atLeast"/>
        <w:ind w:firstLine="540"/>
        <w:jc w:val="both"/>
        <w:rPr>
          <w:color w:val="333333"/>
          <w:sz w:val="18"/>
          <w:szCs w:val="18"/>
        </w:rPr>
      </w:pPr>
      <w:bookmarkStart w:id="2" w:name="dst151"/>
      <w:bookmarkEnd w:id="2"/>
      <w:r>
        <w:rPr>
          <w:rStyle w:val="21"/>
          <w:color w:val="333333"/>
          <w:sz w:val="18"/>
          <w:szCs w:val="18"/>
        </w:rPr>
        <w:t>г) загрязнения окружающей среды;</w:t>
      </w:r>
    </w:p>
    <w:p w14:paraId="7F33AD47">
      <w:pPr>
        <w:shd w:val="clear" w:color="auto" w:fill="FFFFFF"/>
        <w:spacing w:line="232" w:lineRule="atLeast"/>
        <w:ind w:firstLine="540"/>
        <w:jc w:val="both"/>
        <w:rPr>
          <w:color w:val="333333"/>
          <w:sz w:val="18"/>
          <w:szCs w:val="18"/>
        </w:rPr>
      </w:pPr>
      <w:bookmarkStart w:id="3" w:name="dst100057"/>
      <w:bookmarkEnd w:id="3"/>
      <w:r>
        <w:rPr>
          <w:rStyle w:val="21"/>
          <w:color w:val="333333"/>
          <w:sz w:val="18"/>
          <w:szCs w:val="18"/>
        </w:rPr>
        <w:t>д) причинения вреда воздействием перевозимого 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7C8B713A">
      <w:pPr>
        <w:shd w:val="clear" w:color="auto" w:fill="FFFFFF"/>
        <w:spacing w:line="232" w:lineRule="atLeast"/>
        <w:ind w:firstLine="540"/>
        <w:jc w:val="both"/>
        <w:rPr>
          <w:sz w:val="18"/>
          <w:szCs w:val="18"/>
        </w:rPr>
      </w:pPr>
      <w:bookmarkStart w:id="4" w:name="dst100058"/>
      <w:bookmarkEnd w:id="4"/>
      <w:r>
        <w:rPr>
          <w:rStyle w:val="21"/>
          <w:color w:val="333333"/>
          <w:sz w:val="18"/>
          <w:szCs w:val="18"/>
        </w:rPr>
        <w:t xml:space="preserve">е) причинения вреда жизни или здоровью работников при исполнении ими трудовых обязанностей, если этот вред подлежит возмещению в </w:t>
      </w:r>
      <w:r>
        <w:rPr>
          <w:rStyle w:val="21"/>
          <w:sz w:val="18"/>
          <w:szCs w:val="18"/>
        </w:rPr>
        <w:t>соответствии с</w:t>
      </w:r>
      <w:r>
        <w:rPr>
          <w:rStyle w:val="22"/>
          <w:sz w:val="18"/>
          <w:szCs w:val="18"/>
        </w:rPr>
        <w:t> </w:t>
      </w:r>
      <w:r>
        <w:fldChar w:fldCharType="begin"/>
      </w:r>
      <w:r>
        <w:instrText xml:space="preserve"> HYPERLINK "http://www.consultant.ru/document/cons_doc_LAW_342184/0d04affa1d1941273c93ac528567d15cf94cfc14/" \l "dst100046" </w:instrText>
      </w:r>
      <w:r>
        <w:fldChar w:fldCharType="separate"/>
      </w:r>
      <w:r>
        <w:rPr>
          <w:rStyle w:val="6"/>
          <w:color w:val="auto"/>
          <w:sz w:val="18"/>
          <w:szCs w:val="18"/>
          <w:u w:val="none"/>
        </w:rPr>
        <w:t>законом</w:t>
      </w:r>
      <w:r>
        <w:rPr>
          <w:rStyle w:val="6"/>
          <w:color w:val="auto"/>
          <w:sz w:val="18"/>
          <w:szCs w:val="18"/>
          <w:u w:val="none"/>
        </w:rPr>
        <w:fldChar w:fldCharType="end"/>
      </w:r>
      <w:r>
        <w:rPr>
          <w:rStyle w:val="22"/>
          <w:sz w:val="18"/>
          <w:szCs w:val="18"/>
        </w:rPr>
        <w:t> </w:t>
      </w:r>
      <w:r>
        <w:rPr>
          <w:rStyle w:val="21"/>
          <w:sz w:val="18"/>
          <w:szCs w:val="18"/>
        </w:rPr>
        <w:t>о соответствующем виде обязательного страхования или обязательного социального страхования;</w:t>
      </w:r>
    </w:p>
    <w:p w14:paraId="0C83C8C4">
      <w:pPr>
        <w:shd w:val="clear" w:color="auto" w:fill="FFFFFF"/>
        <w:spacing w:line="232" w:lineRule="atLeast"/>
        <w:ind w:firstLine="540"/>
        <w:jc w:val="both"/>
        <w:rPr>
          <w:sz w:val="18"/>
          <w:szCs w:val="18"/>
        </w:rPr>
      </w:pPr>
      <w:bookmarkStart w:id="5" w:name="dst100059"/>
      <w:bookmarkEnd w:id="5"/>
      <w:r>
        <w:rPr>
          <w:rStyle w:val="21"/>
          <w:sz w:val="18"/>
          <w:szCs w:val="18"/>
        </w:rPr>
        <w:t>ж) обязанности по возмещению работодателю убытков, вызванных причинением вреда работнику;</w:t>
      </w:r>
    </w:p>
    <w:p w14:paraId="36B9C312">
      <w:pPr>
        <w:shd w:val="clear" w:color="auto" w:fill="FFFFFF"/>
        <w:spacing w:line="232" w:lineRule="atLeast"/>
        <w:ind w:firstLine="540"/>
        <w:jc w:val="both"/>
        <w:rPr>
          <w:sz w:val="18"/>
          <w:szCs w:val="18"/>
        </w:rPr>
      </w:pPr>
      <w:bookmarkStart w:id="6" w:name="dst18"/>
      <w:bookmarkEnd w:id="6"/>
      <w:r>
        <w:rPr>
          <w:rStyle w:val="21"/>
          <w:sz w:val="18"/>
          <w:szCs w:val="18"/>
        </w:rPr>
        <w:t>з) причинения водителем вреда управляемому им транспортному средству и прицепу к нему, перевозимому ими грузу, установленному на них оборудованию и иному имуществу;</w:t>
      </w:r>
    </w:p>
    <w:p w14:paraId="0F7D6867">
      <w:pPr>
        <w:shd w:val="clear" w:color="auto" w:fill="FFFFFF"/>
        <w:spacing w:line="232" w:lineRule="atLeast"/>
        <w:ind w:firstLine="540"/>
        <w:jc w:val="both"/>
        <w:rPr>
          <w:sz w:val="18"/>
          <w:szCs w:val="18"/>
        </w:rPr>
      </w:pPr>
      <w:bookmarkStart w:id="7" w:name="dst19"/>
      <w:bookmarkEnd w:id="7"/>
      <w:r>
        <w:rPr>
          <w:rStyle w:val="21"/>
          <w:sz w:val="18"/>
          <w:szCs w:val="18"/>
        </w:rPr>
        <w:t>и) причинения вреда при погрузке груза на транспортное средство или его разгрузке;</w:t>
      </w:r>
    </w:p>
    <w:p w14:paraId="591AE93E">
      <w:pPr>
        <w:shd w:val="clear" w:color="auto" w:fill="FFFFFF"/>
        <w:spacing w:line="232" w:lineRule="atLeast"/>
        <w:ind w:firstLine="540"/>
        <w:jc w:val="both"/>
        <w:rPr>
          <w:sz w:val="18"/>
          <w:szCs w:val="18"/>
        </w:rPr>
      </w:pPr>
      <w:bookmarkStart w:id="8" w:name="dst100062"/>
      <w:bookmarkEnd w:id="8"/>
      <w:r>
        <w:rPr>
          <w:rStyle w:val="21"/>
          <w:sz w:val="18"/>
          <w:szCs w:val="18"/>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характера, а также произведений науки, литературы и искусства, других объектов интеллектуальной собственности;</w:t>
      </w:r>
    </w:p>
    <w:p w14:paraId="7872E7B5">
      <w:pPr>
        <w:shd w:val="clear" w:color="auto" w:fill="FFFFFF"/>
        <w:spacing w:line="232" w:lineRule="atLeast"/>
        <w:ind w:firstLine="540"/>
        <w:jc w:val="both"/>
        <w:rPr>
          <w:color w:val="333333"/>
          <w:sz w:val="18"/>
          <w:szCs w:val="18"/>
        </w:rPr>
      </w:pPr>
      <w:bookmarkStart w:id="9" w:name="dst288"/>
      <w:bookmarkEnd w:id="9"/>
      <w:bookmarkStart w:id="10" w:name="dst221"/>
      <w:bookmarkEnd w:id="10"/>
      <w:r>
        <w:rPr>
          <w:rStyle w:val="21"/>
          <w:sz w:val="18"/>
          <w:szCs w:val="18"/>
        </w:rPr>
        <w:t>м) причинения вреда жизни, здоровью</w:t>
      </w:r>
      <w:r>
        <w:rPr>
          <w:rStyle w:val="21"/>
          <w:color w:val="333333"/>
          <w:sz w:val="18"/>
          <w:szCs w:val="18"/>
        </w:rPr>
        <w:t>, имуществу пассажиров при их перевозке, если этот вред подлежит возмещению в соответствии с законодательством</w:t>
      </w:r>
      <w:r>
        <w:rPr>
          <w:rStyle w:val="22"/>
          <w:color w:val="333333"/>
          <w:sz w:val="18"/>
          <w:szCs w:val="18"/>
        </w:rPr>
        <w:t> </w:t>
      </w:r>
      <w:r>
        <w:rPr>
          <w:rStyle w:val="21"/>
          <w:color w:val="333333"/>
          <w:sz w:val="18"/>
          <w:szCs w:val="18"/>
        </w:rPr>
        <w:t>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14:paraId="6B2FF214">
      <w:pPr>
        <w:autoSpaceDE w:val="0"/>
        <w:autoSpaceDN w:val="0"/>
        <w:adjustRightInd w:val="0"/>
        <w:ind w:firstLine="540"/>
        <w:jc w:val="both"/>
        <w:rPr>
          <w:sz w:val="18"/>
          <w:szCs w:val="18"/>
        </w:rPr>
      </w:pPr>
      <w:r>
        <w:rPr>
          <w:sz w:val="18"/>
          <w:szCs w:val="18"/>
        </w:rPr>
        <w:t>1.7. Условия страхования, права и обязанности сторон при наступлении страхового случая регулируются Правилами обязательного страхования гражданской ответственности владельцев транспортных средств, утвержденные Положением Банка России от 19 сентября  2014 г. №431-П (далее по тексту – Правила обязательного страхования гражданской ответственности владельцев транспортных средств).</w:t>
      </w:r>
    </w:p>
    <w:p w14:paraId="2966D5B0">
      <w:pPr>
        <w:numPr>
          <w:ilvl w:val="0"/>
          <w:numId w:val="1"/>
        </w:numPr>
        <w:tabs>
          <w:tab w:val="left" w:pos="900"/>
          <w:tab w:val="clear" w:pos="720"/>
        </w:tabs>
        <w:spacing w:before="120" w:after="120"/>
        <w:ind w:left="0" w:firstLine="539"/>
        <w:jc w:val="center"/>
        <w:rPr>
          <w:b/>
          <w:bCs/>
          <w:caps/>
          <w:sz w:val="18"/>
          <w:szCs w:val="18"/>
        </w:rPr>
      </w:pPr>
      <w:r>
        <w:rPr>
          <w:b/>
          <w:bCs/>
          <w:caps/>
          <w:color w:val="000000"/>
          <w:sz w:val="18"/>
          <w:szCs w:val="18"/>
        </w:rPr>
        <w:t xml:space="preserve"> Страховая сумма, страховая премия и порядок ее уплаты</w:t>
      </w:r>
    </w:p>
    <w:p w14:paraId="6920947B">
      <w:pPr>
        <w:autoSpaceDE w:val="0"/>
        <w:autoSpaceDN w:val="0"/>
        <w:adjustRightInd w:val="0"/>
        <w:ind w:firstLine="540"/>
        <w:jc w:val="both"/>
        <w:rPr>
          <w:sz w:val="18"/>
          <w:szCs w:val="18"/>
        </w:rPr>
      </w:pPr>
      <w:r>
        <w:rPr>
          <w:sz w:val="18"/>
          <w:szCs w:val="18"/>
        </w:rPr>
        <w:t>2.1. Страховая сумма, в пределах которой Страховщик при наступлении каждого страхового случая (независимо от их числа в течение срока действия договора обязательного страхования) обязуется возместить потерпевшим причиненный вред, составляет:</w:t>
      </w:r>
    </w:p>
    <w:p w14:paraId="21ED20D5">
      <w:pPr>
        <w:shd w:val="clear" w:color="auto" w:fill="FFFFFF"/>
        <w:spacing w:line="232" w:lineRule="atLeast"/>
        <w:ind w:firstLine="540"/>
        <w:jc w:val="both"/>
        <w:rPr>
          <w:color w:val="333333"/>
          <w:sz w:val="18"/>
          <w:szCs w:val="18"/>
        </w:rPr>
      </w:pPr>
      <w:r>
        <w:rPr>
          <w:rStyle w:val="21"/>
          <w:color w:val="333333"/>
          <w:sz w:val="18"/>
          <w:szCs w:val="18"/>
        </w:rPr>
        <w:t>а) в части возмещения вреда, причиненного жизни или здоровью каждого потерпевшего, до 500 тысяч рублей;</w:t>
      </w:r>
    </w:p>
    <w:p w14:paraId="21113F4E">
      <w:pPr>
        <w:shd w:val="clear" w:color="auto" w:fill="FFFFFF"/>
        <w:spacing w:line="232" w:lineRule="atLeast"/>
        <w:ind w:firstLine="540"/>
        <w:jc w:val="both"/>
        <w:rPr>
          <w:color w:val="333333"/>
          <w:sz w:val="18"/>
          <w:szCs w:val="18"/>
        </w:rPr>
      </w:pPr>
      <w:bookmarkStart w:id="11" w:name="dst532"/>
      <w:bookmarkEnd w:id="11"/>
      <w:r>
        <w:rPr>
          <w:rStyle w:val="21"/>
          <w:color w:val="333333"/>
          <w:sz w:val="18"/>
          <w:szCs w:val="18"/>
        </w:rPr>
        <w:t>б) в части возмещения вреда, причиненного имуществу каждого потерпевшего, до 400 тысяч рублей.</w:t>
      </w:r>
    </w:p>
    <w:p w14:paraId="2DB66875">
      <w:pPr>
        <w:ind w:firstLine="567"/>
        <w:jc w:val="both"/>
        <w:rPr>
          <w:color w:val="000000"/>
          <w:sz w:val="18"/>
          <w:szCs w:val="18"/>
        </w:rPr>
      </w:pPr>
      <w:r>
        <w:rPr>
          <w:color w:val="000000"/>
          <w:sz w:val="18"/>
          <w:szCs w:val="18"/>
        </w:rPr>
        <w:t>2.2. Страховая премия рассчитывается Страховщиком в соответствии со страховыми тарифами, определенными Страховщиком с учетом требований, установленных Указанием Банка России от 19 сентября 2014 г. N 3384-У «О предельных размерах базовых ставок страховых тарифов и коэффициентах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 (с изменениями и дополнениями) на основании заявления Страхователя и Приложений к нему, в которых указывается информация в отношении каждого транспортного средства, риск гражданской ответственности при использовании которого принимается на страхование, а также паспортов транспортных средств или свидетельств о регистрации указанных транспортных средств.</w:t>
      </w:r>
    </w:p>
    <w:p w14:paraId="49D2112B">
      <w:pPr>
        <w:numPr>
          <w:ilvl w:val="1"/>
          <w:numId w:val="1"/>
        </w:numPr>
        <w:ind w:firstLine="567"/>
        <w:jc w:val="both"/>
        <w:rPr>
          <w:sz w:val="18"/>
          <w:szCs w:val="18"/>
        </w:rPr>
      </w:pPr>
      <w:r>
        <w:rPr>
          <w:color w:val="000000"/>
          <w:sz w:val="18"/>
          <w:szCs w:val="18"/>
        </w:rPr>
        <w:t>Изменение Банком России страховых тарифов не влечет за собой изменение страховой премии, оплаченной Страхователем по действовавшим на момент уплаты страховым тарифам, по договору обязательного страхования в течение срока его действия. Если в соответствии с Правилами обязательного страхования гражданской ответственности владельцев транспортных средств Страховщик вправе потребовать от Страхователя уплаты дополнительной страховой премии соразмерно увеличению риска, размер дополнительно уплачиваемой страховой премии определяется по действующим на момент ее уплаты страховым тарифам.</w:t>
      </w:r>
    </w:p>
    <w:p w14:paraId="1AE96F19">
      <w:pPr>
        <w:ind w:firstLine="567"/>
        <w:jc w:val="both"/>
        <w:rPr>
          <w:bCs/>
          <w:sz w:val="18"/>
          <w:szCs w:val="18"/>
        </w:rPr>
      </w:pPr>
      <w:r>
        <w:rPr>
          <w:sz w:val="18"/>
          <w:szCs w:val="18"/>
        </w:rPr>
        <w:t>Максимальная сумма страховой премии по Договору (далее также - цена Договора) составляет ______________________________</w:t>
      </w:r>
      <w:r>
        <w:rPr>
          <w:b/>
          <w:sz w:val="18"/>
          <w:szCs w:val="18"/>
        </w:rPr>
        <w:t>.</w:t>
      </w:r>
      <w:r>
        <w:rPr>
          <w:sz w:val="18"/>
          <w:szCs w:val="18"/>
        </w:rPr>
        <w:t xml:space="preserve">, в том числе НДС , на основании ст. 149 ч.3 п.7 части II Налогового кодекса Российской Федерации,  и установлена итоговым протоколом проведённой закупочной сессии на ЕАТ. </w:t>
      </w:r>
    </w:p>
    <w:p w14:paraId="0857C8B5">
      <w:pPr>
        <w:ind w:firstLine="567"/>
        <w:jc w:val="both"/>
        <w:rPr>
          <w:bCs/>
          <w:sz w:val="18"/>
          <w:szCs w:val="18"/>
        </w:rPr>
      </w:pPr>
      <w:r>
        <w:rPr>
          <w:bCs/>
          <w:sz w:val="18"/>
          <w:szCs w:val="18"/>
        </w:rPr>
        <w:t>2.3. Расчет страхового взноса по транспортному средству, указывается в Приложении № 1 к Договору.</w:t>
      </w:r>
    </w:p>
    <w:p w14:paraId="2ABB8B31">
      <w:pPr>
        <w:ind w:firstLine="567"/>
        <w:jc w:val="both"/>
        <w:rPr>
          <w:bCs/>
          <w:sz w:val="18"/>
          <w:szCs w:val="18"/>
        </w:rPr>
      </w:pPr>
      <w:r>
        <w:rPr>
          <w:bCs/>
          <w:sz w:val="18"/>
          <w:szCs w:val="18"/>
        </w:rPr>
        <w:t xml:space="preserve">2.4. </w:t>
      </w:r>
      <w:r>
        <w:rPr>
          <w:sz w:val="18"/>
          <w:szCs w:val="18"/>
        </w:rPr>
        <w:t>Цена Контракта включает в себя все затраты, налоги, сборы и иные обязательные платежи, подлежащие уплате в связи с исполнением условий Контракта.</w:t>
      </w:r>
    </w:p>
    <w:p w14:paraId="77D79C8E">
      <w:pPr>
        <w:autoSpaceDE w:val="0"/>
        <w:autoSpaceDN w:val="0"/>
        <w:adjustRightInd w:val="0"/>
        <w:ind w:firstLine="540"/>
        <w:jc w:val="both"/>
        <w:rPr>
          <w:sz w:val="18"/>
          <w:szCs w:val="18"/>
        </w:rPr>
      </w:pPr>
      <w:r>
        <w:rPr>
          <w:sz w:val="18"/>
          <w:szCs w:val="18"/>
        </w:rPr>
        <w:t>2.5. Страховая премия по договору обязательного страхования уплачивается Страхователем Страховщику единовременно в безналичном порядке в течение 7 (семи) рабочих дней с даты подписания Страхователем договора обязательного страхования.</w:t>
      </w:r>
    </w:p>
    <w:p w14:paraId="259DF7E9">
      <w:pPr>
        <w:autoSpaceDE w:val="0"/>
        <w:autoSpaceDN w:val="0"/>
        <w:adjustRightInd w:val="0"/>
        <w:ind w:firstLine="540"/>
        <w:jc w:val="both"/>
        <w:rPr>
          <w:sz w:val="18"/>
          <w:szCs w:val="18"/>
        </w:rPr>
      </w:pPr>
      <w:r>
        <w:rPr>
          <w:sz w:val="18"/>
          <w:szCs w:val="18"/>
        </w:rPr>
        <w:t>2.6. Датой уплаты страховой премии считается день поступления страховой премии на расчетный счет Страховщика.</w:t>
      </w:r>
    </w:p>
    <w:p w14:paraId="383C7718">
      <w:pPr>
        <w:autoSpaceDE w:val="0"/>
        <w:autoSpaceDN w:val="0"/>
        <w:adjustRightInd w:val="0"/>
        <w:ind w:firstLine="540"/>
        <w:jc w:val="both"/>
        <w:rPr>
          <w:sz w:val="18"/>
          <w:szCs w:val="18"/>
        </w:rPr>
      </w:pPr>
      <w:r>
        <w:rPr>
          <w:sz w:val="18"/>
          <w:szCs w:val="18"/>
        </w:rPr>
        <w:t>2.7. Страховой полис обязательного страхования выдается Страхователю не позднее рабочего дня, следующего за днем перечисления на расчетный счет Страховщика страховой премии.</w:t>
      </w:r>
    </w:p>
    <w:p w14:paraId="02B19835">
      <w:pPr>
        <w:autoSpaceDE w:val="0"/>
        <w:autoSpaceDN w:val="0"/>
        <w:adjustRightInd w:val="0"/>
        <w:ind w:firstLine="540"/>
        <w:jc w:val="both"/>
        <w:rPr>
          <w:sz w:val="18"/>
          <w:szCs w:val="18"/>
        </w:rPr>
      </w:pPr>
      <w:r>
        <w:rPr>
          <w:sz w:val="18"/>
          <w:szCs w:val="18"/>
        </w:rPr>
        <w:t>2.8. При изменении условий договора обязательного страхования в течение срока его действия, страховая премия подлежит изменению после начала действия договора обязательного страхования в сторону ее уменьшения или увеличения в зависимости от изменившихся сведений, сообщенных Страхователем Страховщику, влияющих на степень страхового риска.</w:t>
      </w:r>
    </w:p>
    <w:p w14:paraId="7228DD7A">
      <w:pPr>
        <w:numPr>
          <w:ilvl w:val="0"/>
          <w:numId w:val="1"/>
        </w:numPr>
        <w:spacing w:before="120" w:after="120"/>
        <w:ind w:left="714" w:hanging="357"/>
        <w:jc w:val="center"/>
        <w:rPr>
          <w:b/>
          <w:bCs/>
          <w:caps/>
          <w:sz w:val="18"/>
          <w:szCs w:val="18"/>
        </w:rPr>
      </w:pPr>
      <w:r>
        <w:rPr>
          <w:b/>
          <w:bCs/>
          <w:caps/>
          <w:color w:val="000000"/>
          <w:sz w:val="18"/>
          <w:szCs w:val="18"/>
        </w:rPr>
        <w:t>Срок действия договора</w:t>
      </w:r>
    </w:p>
    <w:p w14:paraId="24C58251">
      <w:pPr>
        <w:autoSpaceDE w:val="0"/>
        <w:autoSpaceDN w:val="0"/>
        <w:adjustRightInd w:val="0"/>
        <w:ind w:firstLine="540"/>
        <w:jc w:val="both"/>
        <w:rPr>
          <w:sz w:val="18"/>
          <w:szCs w:val="18"/>
        </w:rPr>
      </w:pPr>
      <w:r>
        <w:rPr>
          <w:sz w:val="18"/>
          <w:szCs w:val="18"/>
        </w:rPr>
        <w:t>3.1. Срок страхования указывается в страховом полисе обязательного страхования, выдаваемом в отношении каждого транспортного средства, указанного в Приложении № 1 к Договору.</w:t>
      </w:r>
    </w:p>
    <w:p w14:paraId="482524AF">
      <w:pPr>
        <w:autoSpaceDE w:val="0"/>
        <w:autoSpaceDN w:val="0"/>
        <w:adjustRightInd w:val="0"/>
        <w:ind w:firstLine="540"/>
        <w:jc w:val="both"/>
        <w:rPr>
          <w:sz w:val="18"/>
          <w:szCs w:val="18"/>
        </w:rPr>
      </w:pPr>
      <w:r>
        <w:rPr>
          <w:sz w:val="18"/>
          <w:szCs w:val="18"/>
        </w:rPr>
        <w:t>3.2.  Действие договора обязательного страхования досрочно прекращается в случаях, установленных действующими Правилами обязательного страхования гражданской ответственности владельцев транспортных средств.</w:t>
      </w:r>
    </w:p>
    <w:p w14:paraId="53FD1D72">
      <w:pPr>
        <w:autoSpaceDE w:val="0"/>
        <w:autoSpaceDN w:val="0"/>
        <w:adjustRightInd w:val="0"/>
        <w:ind w:firstLine="540"/>
        <w:jc w:val="both"/>
        <w:rPr>
          <w:sz w:val="18"/>
          <w:szCs w:val="18"/>
        </w:rPr>
      </w:pPr>
      <w:r>
        <w:rPr>
          <w:sz w:val="18"/>
          <w:szCs w:val="18"/>
        </w:rPr>
        <w:t>3.3 Срок действия договора один год.</w:t>
      </w:r>
    </w:p>
    <w:p w14:paraId="305F9062">
      <w:pPr>
        <w:numPr>
          <w:ilvl w:val="0"/>
          <w:numId w:val="1"/>
        </w:numPr>
        <w:spacing w:before="120" w:after="120"/>
        <w:ind w:left="714" w:hanging="357"/>
        <w:jc w:val="center"/>
        <w:rPr>
          <w:b/>
          <w:bCs/>
          <w:caps/>
          <w:color w:val="000000"/>
          <w:sz w:val="18"/>
          <w:szCs w:val="18"/>
        </w:rPr>
      </w:pPr>
      <w:r>
        <w:rPr>
          <w:b/>
          <w:bCs/>
          <w:caps/>
          <w:color w:val="000000"/>
          <w:sz w:val="18"/>
          <w:szCs w:val="18"/>
        </w:rPr>
        <w:t>Прочие условия</w:t>
      </w:r>
    </w:p>
    <w:p w14:paraId="5D32BDA4">
      <w:pPr>
        <w:autoSpaceDE w:val="0"/>
        <w:autoSpaceDN w:val="0"/>
        <w:adjustRightInd w:val="0"/>
        <w:ind w:firstLine="540"/>
        <w:jc w:val="both"/>
        <w:rPr>
          <w:sz w:val="18"/>
          <w:szCs w:val="18"/>
        </w:rPr>
      </w:pPr>
      <w:r>
        <w:rPr>
          <w:sz w:val="18"/>
          <w:szCs w:val="18"/>
        </w:rPr>
        <w:t>4.1. Настоящий договор заключен в двух экземплярах, имеющих одинаковую юридическую силу, по одному экземпляру у каждой из сторон.</w:t>
      </w:r>
    </w:p>
    <w:p w14:paraId="7EA225B3">
      <w:pPr>
        <w:autoSpaceDE w:val="0"/>
        <w:autoSpaceDN w:val="0"/>
        <w:adjustRightInd w:val="0"/>
        <w:ind w:firstLine="540"/>
        <w:jc w:val="both"/>
        <w:rPr>
          <w:sz w:val="18"/>
          <w:szCs w:val="18"/>
        </w:rPr>
      </w:pPr>
      <w:r>
        <w:rPr>
          <w:sz w:val="18"/>
          <w:szCs w:val="18"/>
        </w:rPr>
        <w:t>4.2. Правоотношения, связанные с исполнением настоящего договора, регулируются Правилами обязательного страхования гражданской ответственности владельцев транспортных средств и законодательством, действующим на территории Российской Федерации. В случае, если условия настоящего договора войдут в противоречие с Правилами обязательного страхования гражданской ответственности владельцев транспортных средств и действующим законодательством, приоритет имеют положения законодательства и Правил обязательного страхования гражданской ответственности владельцев транспортных средств.</w:t>
      </w:r>
    </w:p>
    <w:p w14:paraId="2D8D3E29">
      <w:pPr>
        <w:autoSpaceDE w:val="0"/>
        <w:autoSpaceDN w:val="0"/>
        <w:adjustRightInd w:val="0"/>
        <w:ind w:firstLine="540"/>
        <w:jc w:val="both"/>
        <w:rPr>
          <w:sz w:val="18"/>
          <w:szCs w:val="18"/>
        </w:rPr>
      </w:pPr>
      <w:r>
        <w:rPr>
          <w:sz w:val="18"/>
          <w:szCs w:val="18"/>
        </w:rPr>
        <w:t xml:space="preserve">4.3. Во всем остальном, что не предусмотрено настоящим Договором, Стороны руководствуются действующим законодательством РФ и Правилами обязательного страхования гражданской ответственности владельцев транспортных средств. </w:t>
      </w:r>
    </w:p>
    <w:p w14:paraId="1E9687BC">
      <w:pPr>
        <w:autoSpaceDE w:val="0"/>
        <w:autoSpaceDN w:val="0"/>
        <w:adjustRightInd w:val="0"/>
        <w:ind w:firstLine="540"/>
        <w:jc w:val="both"/>
        <w:rPr>
          <w:sz w:val="18"/>
          <w:szCs w:val="18"/>
        </w:rPr>
      </w:pPr>
      <w:r>
        <w:rPr>
          <w:sz w:val="18"/>
          <w:szCs w:val="18"/>
        </w:rPr>
        <w:t>4.4. Все споры между Страхователем и Страховщиком, которые могут возникнуть из условий настоящего договора или в связи с его исполнением, решаются путем переговоров сторон, а в случае не урегулирования – подлежат рассмотрению в соответствии с законодательством Российской Федерации.</w:t>
      </w:r>
    </w:p>
    <w:p w14:paraId="0FE1ECCD">
      <w:pPr>
        <w:autoSpaceDE w:val="0"/>
        <w:autoSpaceDN w:val="0"/>
        <w:adjustRightInd w:val="0"/>
        <w:ind w:firstLine="540"/>
        <w:jc w:val="both"/>
        <w:rPr>
          <w:sz w:val="18"/>
          <w:szCs w:val="18"/>
        </w:rPr>
      </w:pPr>
      <w:r>
        <w:rPr>
          <w:sz w:val="18"/>
          <w:szCs w:val="18"/>
        </w:rPr>
        <w:t>4.5. Все сообщения, заявления и уведомления, производимые сторонами в связи с исполнением настоящего договора, признаются совершенными в надлежащей форме только при наличии у стороны, направившей такое сообщение (заявление, уведомление), документального подтверждения отправки этого сообщения заявления, уведомления другой стороне, уполномоченным на то лицом.</w:t>
      </w:r>
    </w:p>
    <w:p w14:paraId="69461C1C">
      <w:pPr>
        <w:autoSpaceDE w:val="0"/>
        <w:autoSpaceDN w:val="0"/>
        <w:adjustRightInd w:val="0"/>
        <w:ind w:firstLine="540"/>
        <w:jc w:val="both"/>
        <w:rPr>
          <w:sz w:val="18"/>
          <w:szCs w:val="18"/>
        </w:rPr>
      </w:pPr>
      <w:r>
        <w:rPr>
          <w:sz w:val="18"/>
          <w:szCs w:val="18"/>
        </w:rPr>
        <w:t>4.6. Любое действие, связанное с настоящим договором (соглашение, платеж, заявление, уведомление, одобрение, отказ и т.д.) признается надлежаще оформленным только при наличии подтверждающего это действие документа.</w:t>
      </w:r>
    </w:p>
    <w:p w14:paraId="41B13B62">
      <w:pPr>
        <w:autoSpaceDE w:val="0"/>
        <w:autoSpaceDN w:val="0"/>
        <w:adjustRightInd w:val="0"/>
        <w:ind w:firstLine="540"/>
        <w:jc w:val="both"/>
        <w:rPr>
          <w:sz w:val="18"/>
          <w:szCs w:val="18"/>
        </w:rPr>
      </w:pPr>
      <w:r>
        <w:rPr>
          <w:sz w:val="18"/>
          <w:szCs w:val="18"/>
        </w:rPr>
        <w:t>4.7. Настоящий договор имеет следующие приложения, являющиеся его неотъемлемой частью:</w:t>
      </w:r>
    </w:p>
    <w:p w14:paraId="473FF6F1">
      <w:pPr>
        <w:numPr>
          <w:ilvl w:val="0"/>
          <w:numId w:val="2"/>
        </w:numPr>
        <w:ind w:left="900" w:firstLine="0"/>
        <w:jc w:val="both"/>
        <w:rPr>
          <w:sz w:val="18"/>
          <w:szCs w:val="18"/>
        </w:rPr>
      </w:pPr>
      <w:r>
        <w:rPr>
          <w:color w:val="000000"/>
          <w:sz w:val="18"/>
          <w:szCs w:val="18"/>
        </w:rPr>
        <w:t>Заявление в отношении транспортных средств, риск гражданской ответственности при использовании которых принимается на страхование;</w:t>
      </w:r>
    </w:p>
    <w:p w14:paraId="7BF15B4E">
      <w:pPr>
        <w:numPr>
          <w:ilvl w:val="0"/>
          <w:numId w:val="2"/>
        </w:numPr>
        <w:ind w:left="900" w:firstLine="0"/>
        <w:jc w:val="both"/>
        <w:rPr>
          <w:rStyle w:val="21"/>
          <w:sz w:val="18"/>
          <w:szCs w:val="18"/>
        </w:rPr>
      </w:pPr>
      <w:bookmarkStart w:id="12" w:name="dst782"/>
      <w:bookmarkEnd w:id="12"/>
      <w:bookmarkStart w:id="13" w:name="dst783"/>
      <w:bookmarkEnd w:id="13"/>
      <w:r>
        <w:rPr>
          <w:rStyle w:val="21"/>
          <w:color w:val="333333"/>
          <w:sz w:val="18"/>
          <w:szCs w:val="18"/>
        </w:rPr>
        <w:t>выписка из единого государственного реестра юридических лиц о государственной регистрации юридического лица (если владельцем транспортного средства является юридическое лицо);</w:t>
      </w:r>
    </w:p>
    <w:p w14:paraId="7548C4C8">
      <w:pPr>
        <w:numPr>
          <w:ilvl w:val="0"/>
          <w:numId w:val="2"/>
        </w:numPr>
        <w:ind w:left="900" w:firstLine="0"/>
        <w:jc w:val="both"/>
        <w:rPr>
          <w:rStyle w:val="21"/>
          <w:sz w:val="18"/>
          <w:szCs w:val="18"/>
        </w:rPr>
      </w:pPr>
      <w:bookmarkStart w:id="14" w:name="dst784"/>
      <w:bookmarkEnd w:id="14"/>
      <w:r>
        <w:rPr>
          <w:rStyle w:val="21"/>
          <w:color w:val="333333"/>
          <w:sz w:val="18"/>
          <w:szCs w:val="18"/>
        </w:rPr>
        <w:t>регистрационный документ, выданный органом, осуществляющим государственную регистрацию транспортного средства (свидетельство о государственной регистрации транспортного средства или свидетельство о регистрации машины), либо паспорт транспортного средства или паспорт самоходной машины и других видов техники при заключении договора обязательного страхования до государственной регистрации транспортного средства;</w:t>
      </w:r>
    </w:p>
    <w:p w14:paraId="03B219D5">
      <w:pPr>
        <w:numPr>
          <w:ilvl w:val="0"/>
          <w:numId w:val="2"/>
        </w:numPr>
        <w:ind w:left="900" w:firstLine="0"/>
        <w:jc w:val="both"/>
        <w:rPr>
          <w:rStyle w:val="21"/>
          <w:sz w:val="18"/>
          <w:szCs w:val="18"/>
        </w:rPr>
      </w:pPr>
      <w:bookmarkStart w:id="15" w:name="dst785"/>
      <w:bookmarkEnd w:id="15"/>
      <w:bookmarkStart w:id="16" w:name="dst786"/>
      <w:bookmarkEnd w:id="16"/>
      <w:r>
        <w:rPr>
          <w:rStyle w:val="21"/>
          <w:color w:val="333333"/>
          <w:sz w:val="18"/>
          <w:szCs w:val="18"/>
        </w:rPr>
        <w:t>диагностическая карта, содержащая сведения о соответствии транспортного средства обязательным требованиям безопасности транспортных средств (за исключением случаев, если в соответствии с</w:t>
      </w:r>
      <w:r>
        <w:rPr>
          <w:rStyle w:val="22"/>
          <w:color w:val="333333"/>
          <w:sz w:val="18"/>
          <w:szCs w:val="18"/>
        </w:rPr>
        <w:t> </w:t>
      </w:r>
      <w:r>
        <w:rPr>
          <w:rStyle w:val="21"/>
          <w:color w:val="333333"/>
          <w:sz w:val="18"/>
          <w:szCs w:val="18"/>
        </w:rPr>
        <w:t>законодательством</w:t>
      </w:r>
      <w:r>
        <w:rPr>
          <w:rStyle w:val="22"/>
          <w:color w:val="333333"/>
          <w:sz w:val="18"/>
          <w:szCs w:val="18"/>
        </w:rPr>
        <w:t> </w:t>
      </w:r>
      <w:r>
        <w:rPr>
          <w:rStyle w:val="21"/>
          <w:color w:val="333333"/>
          <w:sz w:val="18"/>
          <w:szCs w:val="18"/>
        </w:rPr>
        <w:t>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 а также случаев, предусмотренных</w:t>
      </w:r>
      <w:r>
        <w:rPr>
          <w:rStyle w:val="22"/>
          <w:color w:val="333333"/>
          <w:sz w:val="18"/>
          <w:szCs w:val="18"/>
        </w:rPr>
        <w:t> </w:t>
      </w:r>
      <w:r>
        <w:fldChar w:fldCharType="begin"/>
      </w:r>
      <w:r>
        <w:instrText xml:space="preserve"> HYPERLINK "http://www.consultant.ru/document/cons_doc_LAW_317319/3147b4aac43c7c604a3698a73fba73e5cdc84754/" \l "dst769" </w:instrText>
      </w:r>
      <w:r>
        <w:fldChar w:fldCharType="separate"/>
      </w:r>
      <w:r>
        <w:rPr>
          <w:rStyle w:val="6"/>
          <w:color w:val="666699"/>
          <w:sz w:val="18"/>
          <w:szCs w:val="18"/>
        </w:rPr>
        <w:t>пунктом 3 статьи 10</w:t>
      </w:r>
      <w:r>
        <w:rPr>
          <w:rStyle w:val="6"/>
          <w:color w:val="666699"/>
          <w:sz w:val="18"/>
          <w:szCs w:val="18"/>
        </w:rPr>
        <w:fldChar w:fldCharType="end"/>
      </w:r>
      <w:r>
        <w:rPr>
          <w:rStyle w:val="22"/>
          <w:color w:val="333333"/>
          <w:sz w:val="18"/>
          <w:szCs w:val="18"/>
        </w:rPr>
        <w:t> </w:t>
      </w:r>
      <w:r>
        <w:rPr>
          <w:rStyle w:val="21"/>
          <w:color w:val="333333"/>
          <w:sz w:val="18"/>
          <w:szCs w:val="18"/>
        </w:rPr>
        <w:t>настоящего Федерального закона), либо свидетельство о прохождении технического осмотра в отношении тракторов, самоходных дорожно-строительных и иных машин (за исключением случаев, если нормативными правовыми актами в области технического осмотра тракторов, самоходных дорожно-строительных и иных машин проведение технического осмотра таких машин не требуется);</w:t>
      </w:r>
    </w:p>
    <w:p w14:paraId="6295A684">
      <w:pPr>
        <w:numPr>
          <w:ilvl w:val="0"/>
          <w:numId w:val="2"/>
        </w:numPr>
        <w:ind w:left="900" w:firstLine="0"/>
        <w:jc w:val="both"/>
        <w:rPr>
          <w:sz w:val="18"/>
          <w:szCs w:val="18"/>
        </w:rPr>
      </w:pPr>
      <w:bookmarkStart w:id="17" w:name="dst787"/>
      <w:bookmarkEnd w:id="17"/>
      <w:r>
        <w:rPr>
          <w:rStyle w:val="21"/>
          <w:color w:val="333333"/>
          <w:sz w:val="18"/>
          <w:szCs w:val="18"/>
        </w:rPr>
        <w:t>документ, подтверждающий право собственности на транспортное средство (в случае, если договор обязательного страхования заключается в отношении незарегистрированного транспортного средства), либо документ, подтверждающий право владения транспортным средством (в случае, если договор обязательного страхования заключается в отношении арендованного транспортного средства).</w:t>
      </w:r>
    </w:p>
    <w:p w14:paraId="22220141">
      <w:pPr>
        <w:tabs>
          <w:tab w:val="left" w:pos="900"/>
        </w:tabs>
        <w:ind w:firstLine="360"/>
        <w:jc w:val="both"/>
        <w:rPr>
          <w:sz w:val="18"/>
          <w:szCs w:val="18"/>
        </w:rPr>
      </w:pPr>
      <w:r>
        <w:rPr>
          <w:sz w:val="18"/>
          <w:szCs w:val="18"/>
        </w:rPr>
        <w:t xml:space="preserve">    4.8 . Во исполнении Федерального закона от 25.12.2008 №273-ФЗ «О противодействии коррупции»:</w:t>
      </w:r>
    </w:p>
    <w:p w14:paraId="0D96D24A">
      <w:pPr>
        <w:tabs>
          <w:tab w:val="left" w:pos="900"/>
        </w:tabs>
        <w:ind w:firstLine="360"/>
        <w:jc w:val="both"/>
        <w:rPr>
          <w:sz w:val="18"/>
          <w:szCs w:val="18"/>
        </w:rPr>
      </w:pPr>
      <w:r>
        <w:rPr>
          <w:sz w:val="18"/>
          <w:szCs w:val="18"/>
        </w:rPr>
        <w:t>-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 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E0E12C8">
      <w:pPr>
        <w:tabs>
          <w:tab w:val="left" w:pos="900"/>
        </w:tabs>
        <w:ind w:firstLine="360"/>
        <w:jc w:val="both"/>
        <w:rPr>
          <w:sz w:val="18"/>
          <w:szCs w:val="18"/>
        </w:rPr>
      </w:pPr>
      <w:r>
        <w:rPr>
          <w:sz w:val="18"/>
          <w:szCs w:val="18"/>
        </w:rPr>
        <w:t>-  в случае возникновения у Стороны подозрений, что произошло или может произойти нарушение каких-либо положений предыдущего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w:t>
      </w:r>
    </w:p>
    <w:p w14:paraId="2CF381D0">
      <w:pPr>
        <w:ind w:firstLine="360"/>
        <w:jc w:val="both"/>
        <w:rPr>
          <w:sz w:val="18"/>
          <w:szCs w:val="18"/>
        </w:rPr>
      </w:pPr>
      <w:r>
        <w:rPr>
          <w:sz w:val="18"/>
          <w:szCs w:val="18"/>
        </w:rPr>
        <w:t>-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14C7C57B">
      <w:pPr>
        <w:jc w:val="both"/>
        <w:rPr>
          <w:sz w:val="18"/>
          <w:szCs w:val="18"/>
        </w:rPr>
      </w:pPr>
      <w:r>
        <w:rPr>
          <w:sz w:val="18"/>
          <w:szCs w:val="18"/>
        </w:rPr>
        <w:t xml:space="preserve">           4.9 Стороны договорились, что при возникновении между ними денежного обязательства статья 317.1 ГК РФ применяться не будет. </w:t>
      </w:r>
    </w:p>
    <w:p w14:paraId="4EEFCD02">
      <w:pPr>
        <w:rPr>
          <w:sz w:val="18"/>
          <w:szCs w:val="18"/>
        </w:rPr>
      </w:pPr>
      <w:r>
        <w:rPr>
          <w:sz w:val="18"/>
          <w:szCs w:val="18"/>
        </w:rPr>
        <w:t xml:space="preserve">         4.10 Страхователь обязан:</w:t>
      </w:r>
    </w:p>
    <w:p w14:paraId="6098B0F3">
      <w:pPr>
        <w:jc w:val="both"/>
        <w:rPr>
          <w:sz w:val="18"/>
          <w:szCs w:val="18"/>
        </w:rPr>
      </w:pPr>
      <w:r>
        <w:rPr>
          <w:sz w:val="18"/>
          <w:szCs w:val="18"/>
        </w:rPr>
        <w:t xml:space="preserve"> </w:t>
      </w:r>
      <w:r>
        <w:rPr>
          <w:sz w:val="18"/>
          <w:szCs w:val="18"/>
        </w:rPr>
        <w:tab/>
      </w:r>
      <w:r>
        <w:rPr>
          <w:sz w:val="18"/>
          <w:szCs w:val="18"/>
        </w:rPr>
        <w:t xml:space="preserve">- до даты подписания договора предоставлять Страховщику информацию, необходимую для исполнения требований Федерального закона от 7 августа 2001 г. № 115-ФЗ «О противодействии легализации (отмыванию) доходов, полученных преступным путем, и финансированию терроризма», включая информацию о своих выгодоприобретателях, учредителях (участниках) и бенефициарных владельцах;          </w:t>
      </w:r>
    </w:p>
    <w:p w14:paraId="5CC93158">
      <w:pPr>
        <w:jc w:val="both"/>
        <w:rPr>
          <w:sz w:val="18"/>
          <w:szCs w:val="18"/>
        </w:rPr>
      </w:pPr>
      <w:r>
        <w:rPr>
          <w:sz w:val="18"/>
          <w:szCs w:val="18"/>
        </w:rPr>
        <w:t xml:space="preserve">  </w:t>
      </w:r>
      <w:r>
        <w:rPr>
          <w:sz w:val="18"/>
          <w:szCs w:val="18"/>
        </w:rPr>
        <w:tab/>
      </w:r>
      <w:r>
        <w:rPr>
          <w:sz w:val="18"/>
          <w:szCs w:val="18"/>
        </w:rPr>
        <w:t>- в срок не позднее 5 (пяти) календарных дней с даты вступления в силу изменений, уведомлять Страховщика, в том числе, но не исключительно, об изменениях в учредительных документах, изменениях адреса местонахождения и/или фактического адреса местонахождения Страхователя (его постоянно действующего органа управления, иного органа или лица, имеющих право действовать от имени Страхователя без доверенности), почтового адреса, номеров телефона, адреса электронной почты; о лицах, имеющих право подписи, о продлении/ прекращении их полномочий; об изменении любых идентификационных сведений, включая информацию о представителях, выгодоприобретателях, бенефициарных владельцах и т.п., а также иных изменениях, которые могут повлиять на выполнение Сторонами обязательств по настоящему Договору, с одновременным предоставлением документов (их копий), подтверждающих соответствующие изменения.</w:t>
      </w:r>
    </w:p>
    <w:p w14:paraId="2D76D95B">
      <w:pPr>
        <w:jc w:val="both"/>
        <w:rPr>
          <w:sz w:val="18"/>
          <w:szCs w:val="18"/>
        </w:rPr>
      </w:pPr>
    </w:p>
    <w:p w14:paraId="437D5079">
      <w:pPr>
        <w:numPr>
          <w:ilvl w:val="0"/>
          <w:numId w:val="1"/>
        </w:numPr>
        <w:spacing w:before="120" w:after="120"/>
        <w:jc w:val="center"/>
        <w:rPr>
          <w:b/>
          <w:bCs/>
          <w:caps/>
          <w:color w:val="000000"/>
          <w:sz w:val="18"/>
          <w:szCs w:val="18"/>
        </w:rPr>
      </w:pPr>
      <w:r>
        <w:rPr>
          <w:b/>
          <w:bCs/>
          <w:caps/>
          <w:color w:val="000000"/>
          <w:sz w:val="18"/>
          <w:szCs w:val="18"/>
        </w:rPr>
        <w:t>Реквизиты и подписи сторон</w:t>
      </w:r>
    </w:p>
    <w:p w14:paraId="398518AF">
      <w:pPr>
        <w:spacing w:before="120" w:after="120"/>
        <w:ind w:left="720"/>
        <w:rPr>
          <w:b/>
          <w:bCs/>
          <w:caps/>
          <w:color w:val="000000"/>
          <w:sz w:val="18"/>
          <w:szCs w:val="18"/>
        </w:rPr>
      </w:pPr>
    </w:p>
    <w:tbl>
      <w:tblPr>
        <w:tblStyle w:val="5"/>
        <w:tblW w:w="0" w:type="auto"/>
        <w:tblInd w:w="-72" w:type="dxa"/>
        <w:tblLayout w:type="autofit"/>
        <w:tblCellMar>
          <w:top w:w="0" w:type="dxa"/>
          <w:left w:w="108" w:type="dxa"/>
          <w:bottom w:w="0" w:type="dxa"/>
          <w:right w:w="108" w:type="dxa"/>
        </w:tblCellMar>
      </w:tblPr>
      <w:tblGrid>
        <w:gridCol w:w="4859"/>
        <w:gridCol w:w="4783"/>
      </w:tblGrid>
      <w:tr w14:paraId="6767B975">
        <w:tblPrEx>
          <w:tblCellMar>
            <w:top w:w="0" w:type="dxa"/>
            <w:left w:w="108" w:type="dxa"/>
            <w:bottom w:w="0" w:type="dxa"/>
            <w:right w:w="108" w:type="dxa"/>
          </w:tblCellMar>
        </w:tblPrEx>
        <w:tc>
          <w:tcPr>
            <w:tcW w:w="4859" w:type="dxa"/>
          </w:tcPr>
          <w:p w14:paraId="4210CC8A">
            <w:pPr>
              <w:jc w:val="both"/>
              <w:rPr>
                <w:b/>
                <w:color w:val="000000"/>
                <w:sz w:val="18"/>
                <w:szCs w:val="18"/>
              </w:rPr>
            </w:pPr>
            <w:r>
              <w:rPr>
                <w:b/>
                <w:color w:val="000000"/>
                <w:sz w:val="18"/>
                <w:szCs w:val="18"/>
              </w:rPr>
              <w:t>Страховщик:</w:t>
            </w:r>
          </w:p>
        </w:tc>
        <w:tc>
          <w:tcPr>
            <w:tcW w:w="4783" w:type="dxa"/>
          </w:tcPr>
          <w:p w14:paraId="1983913E">
            <w:pPr>
              <w:jc w:val="both"/>
              <w:rPr>
                <w:b/>
                <w:color w:val="000000"/>
                <w:sz w:val="18"/>
                <w:szCs w:val="18"/>
              </w:rPr>
            </w:pPr>
            <w:r>
              <w:rPr>
                <w:b/>
                <w:color w:val="000000"/>
                <w:sz w:val="18"/>
                <w:szCs w:val="18"/>
              </w:rPr>
              <w:t>Страхователь:</w:t>
            </w:r>
          </w:p>
        </w:tc>
      </w:tr>
      <w:tr w14:paraId="465409BC">
        <w:tblPrEx>
          <w:tblCellMar>
            <w:top w:w="0" w:type="dxa"/>
            <w:left w:w="108" w:type="dxa"/>
            <w:bottom w:w="0" w:type="dxa"/>
            <w:right w:w="108" w:type="dxa"/>
          </w:tblCellMar>
        </w:tblPrEx>
        <w:tc>
          <w:tcPr>
            <w:tcW w:w="4859" w:type="dxa"/>
          </w:tcPr>
          <w:p w14:paraId="1142B7B7">
            <w:pPr>
              <w:jc w:val="both"/>
              <w:rPr>
                <w:b/>
                <w:color w:val="000000"/>
                <w:sz w:val="18"/>
                <w:szCs w:val="18"/>
              </w:rPr>
            </w:pPr>
          </w:p>
        </w:tc>
        <w:tc>
          <w:tcPr>
            <w:tcW w:w="4783" w:type="dxa"/>
          </w:tcPr>
          <w:p w14:paraId="478EA4C6">
            <w:pPr>
              <w:rPr>
                <w:b/>
                <w:sz w:val="18"/>
                <w:szCs w:val="18"/>
              </w:rPr>
            </w:pPr>
            <w:r>
              <w:rPr>
                <w:b/>
                <w:sz w:val="18"/>
                <w:szCs w:val="18"/>
              </w:rPr>
              <w:t>Федеральное государственное бюджетное учреждение «Национальный парк «Нижняя Кама»</w:t>
            </w:r>
          </w:p>
        </w:tc>
      </w:tr>
      <w:tr w14:paraId="2187990F">
        <w:tblPrEx>
          <w:tblCellMar>
            <w:top w:w="0" w:type="dxa"/>
            <w:left w:w="108" w:type="dxa"/>
            <w:bottom w:w="0" w:type="dxa"/>
            <w:right w:w="108" w:type="dxa"/>
          </w:tblCellMar>
        </w:tblPrEx>
        <w:trPr>
          <w:trHeight w:val="335" w:hRule="atLeast"/>
        </w:trPr>
        <w:tc>
          <w:tcPr>
            <w:tcW w:w="4859" w:type="dxa"/>
          </w:tcPr>
          <w:p w14:paraId="210647EB">
            <w:pPr>
              <w:rPr>
                <w:b/>
                <w:color w:val="000000"/>
                <w:sz w:val="18"/>
                <w:szCs w:val="18"/>
              </w:rPr>
            </w:pPr>
          </w:p>
        </w:tc>
        <w:tc>
          <w:tcPr>
            <w:tcW w:w="4783" w:type="dxa"/>
          </w:tcPr>
          <w:p w14:paraId="0901B4F4">
            <w:pPr>
              <w:rPr>
                <w:b/>
                <w:bCs/>
                <w:sz w:val="18"/>
                <w:szCs w:val="18"/>
              </w:rPr>
            </w:pPr>
            <w:r>
              <w:rPr>
                <w:b/>
                <w:sz w:val="18"/>
                <w:szCs w:val="18"/>
              </w:rPr>
              <w:t xml:space="preserve">423631 РТ Елабужский р-н Танаевский лес квартал 109 а/я 241  тел. 8-5557-5-71-52 (факс) , 2-70-18 </w:t>
            </w:r>
          </w:p>
        </w:tc>
      </w:tr>
      <w:tr w14:paraId="5AF9FB6E">
        <w:tblPrEx>
          <w:tblCellMar>
            <w:top w:w="0" w:type="dxa"/>
            <w:left w:w="108" w:type="dxa"/>
            <w:bottom w:w="0" w:type="dxa"/>
            <w:right w:w="108" w:type="dxa"/>
          </w:tblCellMar>
        </w:tblPrEx>
        <w:trPr>
          <w:trHeight w:val="177" w:hRule="atLeast"/>
        </w:trPr>
        <w:tc>
          <w:tcPr>
            <w:tcW w:w="4859" w:type="dxa"/>
          </w:tcPr>
          <w:p w14:paraId="6A079290">
            <w:pPr>
              <w:jc w:val="both"/>
              <w:rPr>
                <w:b/>
                <w:color w:val="000000"/>
                <w:sz w:val="18"/>
                <w:szCs w:val="18"/>
              </w:rPr>
            </w:pPr>
          </w:p>
        </w:tc>
        <w:tc>
          <w:tcPr>
            <w:tcW w:w="4783" w:type="dxa"/>
          </w:tcPr>
          <w:p w14:paraId="3F8E8E68">
            <w:pPr>
              <w:rPr>
                <w:b/>
                <w:sz w:val="18"/>
                <w:szCs w:val="18"/>
              </w:rPr>
            </w:pPr>
            <w:r>
              <w:rPr>
                <w:b/>
                <w:color w:val="000000"/>
                <w:sz w:val="18"/>
                <w:szCs w:val="18"/>
              </w:rPr>
              <w:t xml:space="preserve">р/с </w:t>
            </w:r>
            <w:r>
              <w:rPr>
                <w:sz w:val="18"/>
                <w:szCs w:val="18"/>
              </w:rPr>
              <w:t>03214643000000013233</w:t>
            </w:r>
          </w:p>
        </w:tc>
      </w:tr>
      <w:tr w14:paraId="46F5F421">
        <w:tblPrEx>
          <w:tblCellMar>
            <w:top w:w="0" w:type="dxa"/>
            <w:left w:w="108" w:type="dxa"/>
            <w:bottom w:w="0" w:type="dxa"/>
            <w:right w:w="108" w:type="dxa"/>
          </w:tblCellMar>
        </w:tblPrEx>
        <w:tc>
          <w:tcPr>
            <w:tcW w:w="4859" w:type="dxa"/>
          </w:tcPr>
          <w:p w14:paraId="432F8806">
            <w:pPr>
              <w:jc w:val="both"/>
              <w:rPr>
                <w:b/>
                <w:color w:val="000000"/>
                <w:sz w:val="18"/>
                <w:szCs w:val="18"/>
              </w:rPr>
            </w:pPr>
          </w:p>
        </w:tc>
        <w:tc>
          <w:tcPr>
            <w:tcW w:w="4783" w:type="dxa"/>
          </w:tcPr>
          <w:p w14:paraId="11821896">
            <w:pPr>
              <w:rPr>
                <w:b/>
                <w:bCs/>
                <w:sz w:val="18"/>
                <w:szCs w:val="18"/>
              </w:rPr>
            </w:pPr>
            <w:r>
              <w:rPr>
                <w:b/>
                <w:bCs/>
                <w:sz w:val="18"/>
                <w:szCs w:val="18"/>
              </w:rPr>
              <w:t xml:space="preserve">Кор/с. </w:t>
            </w:r>
            <w:r>
              <w:rPr>
                <w:sz w:val="18"/>
                <w:szCs w:val="18"/>
              </w:rPr>
              <w:t>40102810745370000024</w:t>
            </w:r>
          </w:p>
        </w:tc>
      </w:tr>
      <w:tr w14:paraId="6F63AFC4">
        <w:tblPrEx>
          <w:tblCellMar>
            <w:top w:w="0" w:type="dxa"/>
            <w:left w:w="108" w:type="dxa"/>
            <w:bottom w:w="0" w:type="dxa"/>
            <w:right w:w="108" w:type="dxa"/>
          </w:tblCellMar>
        </w:tblPrEx>
        <w:tc>
          <w:tcPr>
            <w:tcW w:w="4859" w:type="dxa"/>
          </w:tcPr>
          <w:p w14:paraId="64A37452">
            <w:pPr>
              <w:jc w:val="both"/>
              <w:rPr>
                <w:b/>
                <w:color w:val="000000"/>
                <w:sz w:val="18"/>
                <w:szCs w:val="18"/>
              </w:rPr>
            </w:pPr>
          </w:p>
        </w:tc>
        <w:tc>
          <w:tcPr>
            <w:tcW w:w="4783" w:type="dxa"/>
          </w:tcPr>
          <w:p w14:paraId="3B9DDE3D">
            <w:pPr>
              <w:rPr>
                <w:sz w:val="18"/>
                <w:szCs w:val="18"/>
              </w:rPr>
            </w:pPr>
            <w:r>
              <w:rPr>
                <w:b/>
                <w:bCs/>
                <w:sz w:val="18"/>
                <w:szCs w:val="18"/>
              </w:rPr>
              <w:t>Наименование банка</w:t>
            </w:r>
            <w:r>
              <w:rPr>
                <w:sz w:val="18"/>
                <w:szCs w:val="18"/>
              </w:rPr>
              <w:t xml:space="preserve"> ОКЦ № 1 ВВГУ Банка России//УФК по Нижегородской области, г Нижний Новгород    </w:t>
            </w:r>
          </w:p>
          <w:p w14:paraId="4A07EAB0">
            <w:pPr>
              <w:rPr>
                <w:sz w:val="18"/>
                <w:szCs w:val="18"/>
              </w:rPr>
            </w:pPr>
            <w:r>
              <w:rPr>
                <w:b/>
                <w:bCs/>
                <w:sz w:val="18"/>
                <w:szCs w:val="18"/>
              </w:rPr>
              <w:t xml:space="preserve">Платежное наименование контрагента </w:t>
            </w:r>
            <w:r>
              <w:rPr>
                <w:sz w:val="18"/>
                <w:szCs w:val="18"/>
              </w:rPr>
              <w:t>УФК по Нижегородской области, г. Нижний Новгород (ФГБУ «Национальный парк «Нижняя  Кама», л/с 20116Ц64200)</w:t>
            </w:r>
          </w:p>
          <w:p w14:paraId="6DB261ED">
            <w:pPr>
              <w:rPr>
                <w:b/>
                <w:bCs/>
                <w:sz w:val="18"/>
                <w:szCs w:val="18"/>
              </w:rPr>
            </w:pPr>
            <w:r>
              <w:rPr>
                <w:sz w:val="18"/>
                <w:szCs w:val="18"/>
              </w:rPr>
              <w:t>КБК 00000000000000000130</w:t>
            </w:r>
          </w:p>
        </w:tc>
      </w:tr>
      <w:tr w14:paraId="4B23246B">
        <w:tblPrEx>
          <w:tblCellMar>
            <w:top w:w="0" w:type="dxa"/>
            <w:left w:w="108" w:type="dxa"/>
            <w:bottom w:w="0" w:type="dxa"/>
            <w:right w:w="108" w:type="dxa"/>
          </w:tblCellMar>
        </w:tblPrEx>
        <w:tc>
          <w:tcPr>
            <w:tcW w:w="4859" w:type="dxa"/>
          </w:tcPr>
          <w:p w14:paraId="5E5AD6FB">
            <w:pPr>
              <w:jc w:val="both"/>
              <w:rPr>
                <w:b/>
                <w:color w:val="000000"/>
                <w:sz w:val="18"/>
                <w:szCs w:val="18"/>
              </w:rPr>
            </w:pPr>
          </w:p>
        </w:tc>
        <w:tc>
          <w:tcPr>
            <w:tcW w:w="4783" w:type="dxa"/>
          </w:tcPr>
          <w:p w14:paraId="5DF640DC">
            <w:pPr>
              <w:rPr>
                <w:b/>
                <w:sz w:val="18"/>
                <w:szCs w:val="18"/>
              </w:rPr>
            </w:pPr>
            <w:r>
              <w:rPr>
                <w:b/>
                <w:sz w:val="18"/>
                <w:szCs w:val="18"/>
              </w:rPr>
              <w:t xml:space="preserve">БИК </w:t>
            </w:r>
            <w:r>
              <w:rPr>
                <w:sz w:val="18"/>
                <w:szCs w:val="18"/>
              </w:rPr>
              <w:t>012202102</w:t>
            </w:r>
          </w:p>
        </w:tc>
      </w:tr>
      <w:tr w14:paraId="30AFEEE6">
        <w:tblPrEx>
          <w:tblCellMar>
            <w:top w:w="0" w:type="dxa"/>
            <w:left w:w="108" w:type="dxa"/>
            <w:bottom w:w="0" w:type="dxa"/>
            <w:right w:w="108" w:type="dxa"/>
          </w:tblCellMar>
        </w:tblPrEx>
        <w:tc>
          <w:tcPr>
            <w:tcW w:w="4859" w:type="dxa"/>
          </w:tcPr>
          <w:p w14:paraId="1E38F750">
            <w:pPr>
              <w:jc w:val="both"/>
              <w:rPr>
                <w:b/>
                <w:color w:val="000000"/>
                <w:sz w:val="18"/>
                <w:szCs w:val="18"/>
              </w:rPr>
            </w:pPr>
          </w:p>
        </w:tc>
        <w:tc>
          <w:tcPr>
            <w:tcW w:w="4783" w:type="dxa"/>
          </w:tcPr>
          <w:p w14:paraId="0A7474C2">
            <w:pPr>
              <w:rPr>
                <w:b/>
                <w:bCs/>
                <w:sz w:val="18"/>
                <w:szCs w:val="18"/>
              </w:rPr>
            </w:pPr>
            <w:r>
              <w:rPr>
                <w:b/>
                <w:bCs/>
                <w:sz w:val="18"/>
                <w:szCs w:val="18"/>
              </w:rPr>
              <w:t xml:space="preserve">ИНН </w:t>
            </w:r>
            <w:r>
              <w:rPr>
                <w:b/>
                <w:sz w:val="18"/>
                <w:szCs w:val="18"/>
              </w:rPr>
              <w:t>1618001016</w:t>
            </w:r>
          </w:p>
        </w:tc>
      </w:tr>
      <w:tr w14:paraId="562C1ABF">
        <w:tblPrEx>
          <w:tblCellMar>
            <w:top w:w="0" w:type="dxa"/>
            <w:left w:w="108" w:type="dxa"/>
            <w:bottom w:w="0" w:type="dxa"/>
            <w:right w:w="108" w:type="dxa"/>
          </w:tblCellMar>
        </w:tblPrEx>
        <w:tc>
          <w:tcPr>
            <w:tcW w:w="4859" w:type="dxa"/>
          </w:tcPr>
          <w:p w14:paraId="686CBEC6">
            <w:pPr>
              <w:jc w:val="both"/>
              <w:rPr>
                <w:b/>
                <w:color w:val="000000"/>
                <w:sz w:val="18"/>
                <w:szCs w:val="18"/>
              </w:rPr>
            </w:pPr>
          </w:p>
        </w:tc>
        <w:tc>
          <w:tcPr>
            <w:tcW w:w="4783" w:type="dxa"/>
          </w:tcPr>
          <w:p w14:paraId="2EDFAE3D">
            <w:pPr>
              <w:rPr>
                <w:b/>
                <w:sz w:val="18"/>
                <w:szCs w:val="18"/>
              </w:rPr>
            </w:pPr>
            <w:r>
              <w:rPr>
                <w:b/>
                <w:sz w:val="18"/>
                <w:szCs w:val="18"/>
              </w:rPr>
              <w:t xml:space="preserve">КПП  </w:t>
            </w:r>
            <w:r>
              <w:rPr>
                <w:b/>
                <w:bCs/>
                <w:color w:val="000000"/>
                <w:sz w:val="18"/>
                <w:szCs w:val="18"/>
              </w:rPr>
              <w:t>164601001</w:t>
            </w:r>
          </w:p>
        </w:tc>
      </w:tr>
    </w:tbl>
    <w:p w14:paraId="750B0140">
      <w:pPr>
        <w:ind w:left="360"/>
        <w:jc w:val="both"/>
        <w:rPr>
          <w:b/>
          <w:color w:val="000000"/>
          <w:sz w:val="18"/>
          <w:szCs w:val="18"/>
        </w:rPr>
      </w:pPr>
    </w:p>
    <w:p w14:paraId="423BFBB8">
      <w:pPr>
        <w:ind w:left="360"/>
        <w:jc w:val="both"/>
        <w:rPr>
          <w:b/>
          <w:color w:val="000000"/>
          <w:sz w:val="18"/>
          <w:szCs w:val="18"/>
        </w:rPr>
      </w:pPr>
    </w:p>
    <w:p w14:paraId="1234AB45">
      <w:pPr>
        <w:jc w:val="both"/>
        <w:rPr>
          <w:b/>
          <w:color w:val="000000"/>
          <w:sz w:val="18"/>
          <w:szCs w:val="18"/>
        </w:rPr>
      </w:pPr>
      <w:r>
        <w:rPr>
          <w:b/>
          <w:color w:val="000000"/>
          <w:sz w:val="18"/>
          <w:szCs w:val="18"/>
        </w:rPr>
        <w:t>От имени «Страховщика»:                                                         От имени «Страхователя»:</w:t>
      </w:r>
    </w:p>
    <w:p w14:paraId="099B3F5A">
      <w:pPr>
        <w:ind w:left="360"/>
        <w:jc w:val="both"/>
        <w:rPr>
          <w:b/>
          <w:color w:val="000000"/>
          <w:sz w:val="18"/>
          <w:szCs w:val="18"/>
        </w:rPr>
      </w:pPr>
    </w:p>
    <w:p w14:paraId="23DA0589">
      <w:pPr>
        <w:ind w:left="360"/>
        <w:jc w:val="both"/>
        <w:rPr>
          <w:b/>
          <w:color w:val="000000"/>
          <w:sz w:val="18"/>
          <w:szCs w:val="18"/>
        </w:rPr>
      </w:pPr>
    </w:p>
    <w:p w14:paraId="7E132831">
      <w:pPr>
        <w:jc w:val="both"/>
        <w:rPr>
          <w:b/>
          <w:color w:val="000000"/>
          <w:sz w:val="18"/>
          <w:szCs w:val="18"/>
        </w:rPr>
      </w:pPr>
      <w:r>
        <w:rPr>
          <w:b/>
          <w:color w:val="000000"/>
          <w:sz w:val="18"/>
          <w:szCs w:val="18"/>
        </w:rPr>
        <w:t>_________________  (______________)</w:t>
      </w:r>
      <w:r>
        <w:rPr>
          <w:b/>
          <w:color w:val="000000"/>
          <w:sz w:val="18"/>
          <w:szCs w:val="18"/>
        </w:rPr>
        <w:tab/>
      </w:r>
      <w:r>
        <w:rPr>
          <w:b/>
          <w:color w:val="000000"/>
          <w:sz w:val="18"/>
          <w:szCs w:val="18"/>
        </w:rPr>
        <w:tab/>
      </w:r>
      <w:r>
        <w:rPr>
          <w:b/>
          <w:color w:val="000000"/>
          <w:sz w:val="18"/>
          <w:szCs w:val="18"/>
        </w:rPr>
        <w:t xml:space="preserve">             _______________  (А.А. Имамов)</w:t>
      </w:r>
    </w:p>
    <w:p w14:paraId="3FF9CE52">
      <w:pPr>
        <w:jc w:val="both"/>
        <w:rPr>
          <w:b/>
          <w:color w:val="000000"/>
          <w:sz w:val="18"/>
          <w:szCs w:val="18"/>
        </w:rPr>
      </w:pPr>
    </w:p>
    <w:p w14:paraId="6D6CF6A1">
      <w:pPr>
        <w:rPr>
          <w:b/>
          <w:color w:val="000000"/>
          <w:sz w:val="18"/>
          <w:szCs w:val="18"/>
        </w:rPr>
      </w:pPr>
    </w:p>
    <w:p w14:paraId="083E6C56">
      <w:pPr>
        <w:rPr>
          <w:b/>
          <w:color w:val="000000"/>
          <w:sz w:val="18"/>
          <w:szCs w:val="18"/>
        </w:rPr>
      </w:pPr>
    </w:p>
    <w:p w14:paraId="5DCEDDCE">
      <w:pPr>
        <w:rPr>
          <w:b/>
          <w:color w:val="000000"/>
          <w:sz w:val="18"/>
          <w:szCs w:val="18"/>
        </w:rPr>
      </w:pPr>
    </w:p>
    <w:p w14:paraId="64201B60">
      <w:pPr>
        <w:rPr>
          <w:b/>
          <w:color w:val="000000"/>
          <w:sz w:val="18"/>
          <w:szCs w:val="18"/>
        </w:rPr>
      </w:pPr>
    </w:p>
    <w:p w14:paraId="3EC70F29">
      <w:pPr>
        <w:rPr>
          <w:b/>
          <w:color w:val="000000"/>
          <w:sz w:val="18"/>
          <w:szCs w:val="18"/>
        </w:rPr>
      </w:pPr>
    </w:p>
    <w:p w14:paraId="759D7733">
      <w:pPr>
        <w:rPr>
          <w:b/>
          <w:color w:val="000000"/>
          <w:sz w:val="18"/>
          <w:szCs w:val="18"/>
        </w:rPr>
      </w:pPr>
    </w:p>
    <w:p w14:paraId="34F2E187">
      <w:pPr>
        <w:rPr>
          <w:b/>
          <w:color w:val="000000"/>
          <w:sz w:val="18"/>
          <w:szCs w:val="18"/>
        </w:rPr>
      </w:pPr>
    </w:p>
    <w:p w14:paraId="64C2D793">
      <w:pPr>
        <w:rPr>
          <w:b/>
          <w:color w:val="000000"/>
          <w:sz w:val="18"/>
          <w:szCs w:val="18"/>
        </w:rPr>
      </w:pPr>
    </w:p>
    <w:p w14:paraId="21D512F2">
      <w:pPr>
        <w:rPr>
          <w:sz w:val="18"/>
          <w:szCs w:val="18"/>
        </w:rPr>
      </w:pPr>
    </w:p>
    <w:p w14:paraId="0644A103">
      <w:pPr>
        <w:rPr>
          <w:sz w:val="18"/>
          <w:szCs w:val="18"/>
        </w:rPr>
      </w:pPr>
    </w:p>
    <w:p w14:paraId="11E1B46D">
      <w:pPr>
        <w:rPr>
          <w:sz w:val="18"/>
          <w:szCs w:val="18"/>
        </w:rPr>
      </w:pPr>
    </w:p>
    <w:p w14:paraId="1AD38640">
      <w:pPr>
        <w:rPr>
          <w:sz w:val="18"/>
          <w:szCs w:val="18"/>
        </w:rPr>
      </w:pPr>
    </w:p>
    <w:p w14:paraId="1E66122A">
      <w:pPr>
        <w:rPr>
          <w:sz w:val="18"/>
          <w:szCs w:val="18"/>
        </w:rPr>
      </w:pPr>
    </w:p>
    <w:p w14:paraId="6AB5A004">
      <w:pPr>
        <w:rPr>
          <w:sz w:val="18"/>
          <w:szCs w:val="18"/>
        </w:rPr>
      </w:pPr>
    </w:p>
    <w:p w14:paraId="553E7409">
      <w:pPr>
        <w:rPr>
          <w:sz w:val="18"/>
          <w:szCs w:val="18"/>
        </w:rPr>
      </w:pPr>
      <w:r>
        <w:rPr>
          <w:b/>
          <w:sz w:val="18"/>
          <w:szCs w:val="18"/>
        </w:rPr>
        <w:t>ПРИЛОЖЕНИЕ№1 К ДОГОВОРУ  № _______________________ от «____» ___________ 2026 г.</w:t>
      </w:r>
    </w:p>
    <w:p w14:paraId="2B5D8EEA">
      <w:pPr>
        <w:jc w:val="both"/>
        <w:rPr>
          <w:b/>
          <w:color w:val="000000"/>
          <w:sz w:val="18"/>
          <w:szCs w:val="18"/>
        </w:rPr>
      </w:pPr>
    </w:p>
    <w:p w14:paraId="1D288538">
      <w:pPr>
        <w:jc w:val="both"/>
        <w:rPr>
          <w:b/>
          <w:color w:val="000000"/>
          <w:sz w:val="18"/>
          <w:szCs w:val="18"/>
        </w:rPr>
      </w:pPr>
    </w:p>
    <w:p w14:paraId="2120DC59">
      <w:pPr>
        <w:jc w:val="both"/>
        <w:rPr>
          <w:b/>
          <w:color w:val="000000"/>
          <w:sz w:val="18"/>
          <w:szCs w:val="18"/>
        </w:rPr>
      </w:pPr>
    </w:p>
    <w:p w14:paraId="3E296A17">
      <w:pPr>
        <w:jc w:val="both"/>
        <w:rPr>
          <w:b/>
          <w:color w:val="000000"/>
          <w:sz w:val="18"/>
          <w:szCs w:val="18"/>
        </w:rPr>
      </w:pPr>
    </w:p>
    <w:p w14:paraId="6314E580">
      <w:pPr>
        <w:jc w:val="both"/>
        <w:rPr>
          <w:b/>
          <w:color w:val="000000"/>
          <w:sz w:val="18"/>
          <w:szCs w:val="18"/>
        </w:rPr>
      </w:pPr>
      <w:bookmarkStart w:id="18" w:name="_Hlk234850742"/>
      <w:r>
        <w:rPr>
          <w:b/>
          <w:color w:val="000000"/>
          <w:sz w:val="18"/>
          <w:szCs w:val="18"/>
        </w:rPr>
        <w:t>Транспортн</w:t>
      </w:r>
      <w:r>
        <w:rPr>
          <w:b/>
          <w:color w:val="000000"/>
          <w:sz w:val="18"/>
          <w:szCs w:val="18"/>
          <w:lang w:val="ru-RU"/>
        </w:rPr>
        <w:t>ые</w:t>
      </w:r>
      <w:r>
        <w:rPr>
          <w:rFonts w:hint="default"/>
          <w:b/>
          <w:color w:val="000000"/>
          <w:sz w:val="18"/>
          <w:szCs w:val="18"/>
          <w:lang w:val="ru-RU"/>
        </w:rPr>
        <w:t>(</w:t>
      </w:r>
      <w:r>
        <w:rPr>
          <w:b/>
          <w:color w:val="000000"/>
          <w:sz w:val="18"/>
          <w:szCs w:val="18"/>
        </w:rPr>
        <w:t xml:space="preserve">ое </w:t>
      </w:r>
      <w:r>
        <w:rPr>
          <w:rFonts w:hint="default"/>
          <w:b/>
          <w:color w:val="000000"/>
          <w:sz w:val="18"/>
          <w:szCs w:val="18"/>
          <w:lang w:val="ru-RU"/>
        </w:rPr>
        <w:t xml:space="preserve">) </w:t>
      </w:r>
      <w:r>
        <w:rPr>
          <w:b/>
          <w:color w:val="000000"/>
          <w:sz w:val="18"/>
          <w:szCs w:val="18"/>
        </w:rPr>
        <w:t>средство подлежащее страхованию</w:t>
      </w:r>
    </w:p>
    <w:p w14:paraId="4B59E549">
      <w:pPr>
        <w:jc w:val="both"/>
        <w:rPr>
          <w:b/>
          <w:color w:val="000000"/>
          <w:sz w:val="18"/>
          <w:szCs w:val="18"/>
        </w:rPr>
      </w:pPr>
    </w:p>
    <w:p w14:paraId="4D910CF6">
      <w:pPr>
        <w:jc w:val="both"/>
        <w:rPr>
          <w:b/>
          <w:color w:val="000000"/>
          <w:sz w:val="18"/>
          <w:szCs w:val="18"/>
        </w:rPr>
      </w:pPr>
      <w:r>
        <w:rPr>
          <w:b/>
          <w:color w:val="000000"/>
          <w:sz w:val="18"/>
          <w:szCs w:val="18"/>
        </w:rPr>
        <w:t xml:space="preserve">Находящееся по адресу : </w:t>
      </w:r>
      <w:r>
        <w:rPr>
          <w:b/>
          <w:sz w:val="18"/>
          <w:szCs w:val="18"/>
        </w:rPr>
        <w:t>423631 РТ Елабужский р-н Танаевский лес квартал 109.</w:t>
      </w:r>
    </w:p>
    <w:p w14:paraId="3F4070D0">
      <w:pPr>
        <w:jc w:val="both"/>
        <w:rPr>
          <w:b/>
          <w:color w:val="000000"/>
          <w:sz w:val="18"/>
          <w:szCs w:val="18"/>
        </w:rPr>
      </w:pPr>
    </w:p>
    <w:tbl>
      <w:tblPr>
        <w:tblStyle w:val="5"/>
        <w:tblW w:w="984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7" w:type="dxa"/>
          <w:bottom w:w="0" w:type="dxa"/>
          <w:right w:w="0" w:type="dxa"/>
        </w:tblCellMar>
      </w:tblPr>
      <w:tblGrid>
        <w:gridCol w:w="931"/>
        <w:gridCol w:w="2375"/>
        <w:gridCol w:w="3007"/>
        <w:gridCol w:w="1765"/>
        <w:gridCol w:w="1765"/>
      </w:tblGrid>
      <w:tr w14:paraId="63E8D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90" w:hRule="atLeast"/>
        </w:trPr>
        <w:tc>
          <w:tcPr>
            <w:tcW w:w="931" w:type="dxa"/>
            <w:vAlign w:val="center"/>
          </w:tcPr>
          <w:p w14:paraId="18E8991B">
            <w:pPr>
              <w:contextualSpacing/>
              <w:jc w:val="both"/>
              <w:rPr>
                <w:b/>
                <w:bCs/>
              </w:rPr>
            </w:pPr>
            <w:r>
              <w:rPr>
                <w:b/>
                <w:bCs/>
              </w:rPr>
              <w:t>№</w:t>
            </w:r>
          </w:p>
        </w:tc>
        <w:tc>
          <w:tcPr>
            <w:tcW w:w="2375" w:type="dxa"/>
            <w:vAlign w:val="center"/>
          </w:tcPr>
          <w:p w14:paraId="2E4657CF">
            <w:pPr>
              <w:contextualSpacing/>
              <w:jc w:val="center"/>
              <w:rPr>
                <w:b/>
                <w:bCs/>
              </w:rPr>
            </w:pPr>
            <w:r>
              <w:rPr>
                <w:b/>
                <w:bCs/>
              </w:rPr>
              <w:t>Модель ТС</w:t>
            </w:r>
          </w:p>
        </w:tc>
        <w:tc>
          <w:tcPr>
            <w:tcW w:w="3007" w:type="dxa"/>
          </w:tcPr>
          <w:p w14:paraId="5BA3601D">
            <w:pPr>
              <w:contextualSpacing/>
              <w:jc w:val="center"/>
              <w:rPr>
                <w:b/>
                <w:bCs/>
              </w:rPr>
            </w:pPr>
            <w:r>
              <w:rPr>
                <w:b/>
                <w:bCs/>
              </w:rPr>
              <w:t>Номер транспортного ср-ва (</w:t>
            </w:r>
            <w:r>
              <w:rPr>
                <w:b/>
                <w:bCs/>
                <w:lang w:val="en-US"/>
              </w:rPr>
              <w:t>VIN</w:t>
            </w:r>
            <w:r>
              <w:rPr>
                <w:b/>
                <w:bCs/>
              </w:rPr>
              <w:t>)</w:t>
            </w:r>
          </w:p>
        </w:tc>
        <w:tc>
          <w:tcPr>
            <w:tcW w:w="1765" w:type="dxa"/>
            <w:vAlign w:val="center"/>
          </w:tcPr>
          <w:p w14:paraId="0804D84F">
            <w:pPr>
              <w:contextualSpacing/>
              <w:jc w:val="center"/>
              <w:rPr>
                <w:rFonts w:hint="default"/>
                <w:b/>
                <w:bCs/>
                <w:lang w:val="ru-RU"/>
              </w:rPr>
            </w:pPr>
            <w:r>
              <w:rPr>
                <w:b/>
                <w:bCs/>
                <w:lang w:val="ru-RU"/>
              </w:rPr>
              <w:t>Л</w:t>
            </w:r>
            <w:r>
              <w:rPr>
                <w:rFonts w:hint="default"/>
                <w:b/>
                <w:bCs/>
                <w:lang w:val="ru-RU"/>
              </w:rPr>
              <w:t>.</w:t>
            </w:r>
            <w:r>
              <w:rPr>
                <w:b/>
                <w:bCs/>
                <w:lang w:val="ru-RU"/>
              </w:rPr>
              <w:t>С</w:t>
            </w:r>
            <w:r>
              <w:rPr>
                <w:rFonts w:hint="default"/>
                <w:b/>
                <w:bCs/>
                <w:lang w:val="ru-RU"/>
              </w:rPr>
              <w:t>.</w:t>
            </w:r>
          </w:p>
        </w:tc>
        <w:tc>
          <w:tcPr>
            <w:tcW w:w="1765" w:type="dxa"/>
            <w:vAlign w:val="center"/>
          </w:tcPr>
          <w:p w14:paraId="25AB100E">
            <w:pPr>
              <w:contextualSpacing/>
              <w:jc w:val="center"/>
              <w:rPr>
                <w:b/>
                <w:bCs/>
              </w:rPr>
            </w:pPr>
            <w:r>
              <w:rPr>
                <w:b/>
                <w:bCs/>
              </w:rPr>
              <w:t>Гос.номер</w:t>
            </w:r>
          </w:p>
        </w:tc>
      </w:tr>
      <w:tr w14:paraId="2110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415" w:hRule="atLeast"/>
        </w:trPr>
        <w:tc>
          <w:tcPr>
            <w:tcW w:w="931" w:type="dxa"/>
          </w:tcPr>
          <w:p w14:paraId="771B3DB9">
            <w:pPr>
              <w:contextualSpacing/>
              <w:rPr>
                <w:bCs/>
              </w:rPr>
            </w:pPr>
            <w:r>
              <w:rPr>
                <w:bCs/>
              </w:rPr>
              <w:t xml:space="preserve">      1</w:t>
            </w:r>
          </w:p>
        </w:tc>
        <w:tc>
          <w:tcPr>
            <w:tcW w:w="2375" w:type="dxa"/>
          </w:tcPr>
          <w:p w14:paraId="6B1BD897">
            <w:pPr>
              <w:rPr>
                <w:sz w:val="20"/>
                <w:szCs w:val="20"/>
              </w:rPr>
            </w:pPr>
            <w:r>
              <w:rPr>
                <w:sz w:val="20"/>
                <w:szCs w:val="20"/>
              </w:rPr>
              <w:t>УАЗ 3390995</w:t>
            </w:r>
          </w:p>
        </w:tc>
        <w:tc>
          <w:tcPr>
            <w:tcW w:w="3007" w:type="dxa"/>
            <w:vAlign w:val="center"/>
          </w:tcPr>
          <w:p w14:paraId="265118C3">
            <w:pPr>
              <w:rPr>
                <w:sz w:val="20"/>
                <w:szCs w:val="20"/>
              </w:rPr>
            </w:pPr>
            <w:r>
              <w:rPr>
                <w:sz w:val="20"/>
                <w:szCs w:val="20"/>
              </w:rPr>
              <w:t>ХТТ390995</w:t>
            </w:r>
            <w:r>
              <w:rPr>
                <w:sz w:val="20"/>
                <w:szCs w:val="20"/>
                <w:lang w:val="en-US"/>
              </w:rPr>
              <w:t>F12</w:t>
            </w:r>
            <w:r>
              <w:rPr>
                <w:sz w:val="20"/>
                <w:szCs w:val="20"/>
              </w:rPr>
              <w:t>18748</w:t>
            </w:r>
          </w:p>
        </w:tc>
        <w:tc>
          <w:tcPr>
            <w:tcW w:w="1765" w:type="dxa"/>
            <w:vAlign w:val="center"/>
          </w:tcPr>
          <w:p w14:paraId="252E326B">
            <w:pPr>
              <w:jc w:val="center"/>
              <w:rPr>
                <w:rFonts w:hint="default"/>
                <w:sz w:val="20"/>
                <w:szCs w:val="20"/>
                <w:lang w:val="ru-RU"/>
              </w:rPr>
            </w:pPr>
            <w:r>
              <w:rPr>
                <w:rFonts w:hint="default"/>
                <w:sz w:val="20"/>
                <w:szCs w:val="20"/>
                <w:lang w:val="ru-RU"/>
              </w:rPr>
              <w:t>112,2 (82,5)</w:t>
            </w:r>
          </w:p>
        </w:tc>
        <w:tc>
          <w:tcPr>
            <w:tcW w:w="1765" w:type="dxa"/>
            <w:vAlign w:val="center"/>
          </w:tcPr>
          <w:p w14:paraId="102FA6B7">
            <w:pPr>
              <w:jc w:val="center"/>
              <w:rPr>
                <w:sz w:val="20"/>
                <w:szCs w:val="20"/>
              </w:rPr>
            </w:pPr>
            <w:r>
              <w:rPr>
                <w:sz w:val="20"/>
                <w:szCs w:val="20"/>
              </w:rPr>
              <w:t>Х338АА 116</w:t>
            </w:r>
          </w:p>
        </w:tc>
      </w:tr>
      <w:tr w14:paraId="4F37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415" w:hRule="atLeast"/>
        </w:trPr>
        <w:tc>
          <w:tcPr>
            <w:tcW w:w="931" w:type="dxa"/>
          </w:tcPr>
          <w:p w14:paraId="1BF30D80">
            <w:pPr>
              <w:contextualSpacing/>
              <w:rPr>
                <w:bCs/>
              </w:rPr>
            </w:pPr>
            <w:r>
              <w:rPr>
                <w:bCs/>
              </w:rPr>
              <w:t xml:space="preserve">      2</w:t>
            </w:r>
          </w:p>
        </w:tc>
        <w:tc>
          <w:tcPr>
            <w:tcW w:w="2375" w:type="dxa"/>
          </w:tcPr>
          <w:p w14:paraId="5659B427">
            <w:pPr>
              <w:rPr>
                <w:sz w:val="20"/>
                <w:szCs w:val="20"/>
              </w:rPr>
            </w:pPr>
            <w:r>
              <w:rPr>
                <w:sz w:val="20"/>
                <w:szCs w:val="20"/>
              </w:rPr>
              <w:t>ЛАДА 212140</w:t>
            </w:r>
          </w:p>
        </w:tc>
        <w:tc>
          <w:tcPr>
            <w:tcW w:w="3007" w:type="dxa"/>
            <w:vAlign w:val="center"/>
          </w:tcPr>
          <w:p w14:paraId="4A610F0A">
            <w:pPr>
              <w:rPr>
                <w:sz w:val="20"/>
                <w:szCs w:val="20"/>
              </w:rPr>
            </w:pPr>
            <w:r>
              <w:rPr>
                <w:sz w:val="20"/>
                <w:szCs w:val="20"/>
              </w:rPr>
              <w:t>ХТА212140Е2169228</w:t>
            </w:r>
          </w:p>
        </w:tc>
        <w:tc>
          <w:tcPr>
            <w:tcW w:w="1765" w:type="dxa"/>
            <w:vAlign w:val="center"/>
          </w:tcPr>
          <w:p w14:paraId="798A3A7E">
            <w:pPr>
              <w:jc w:val="center"/>
              <w:rPr>
                <w:rFonts w:hint="default"/>
                <w:sz w:val="20"/>
                <w:szCs w:val="20"/>
                <w:lang w:val="ru-RU"/>
              </w:rPr>
            </w:pPr>
            <w:r>
              <w:rPr>
                <w:rFonts w:hint="default"/>
                <w:sz w:val="20"/>
                <w:szCs w:val="20"/>
                <w:lang w:val="ru-RU"/>
              </w:rPr>
              <w:t>82,9(61,0)</w:t>
            </w:r>
          </w:p>
        </w:tc>
        <w:tc>
          <w:tcPr>
            <w:tcW w:w="1765" w:type="dxa"/>
            <w:vAlign w:val="center"/>
          </w:tcPr>
          <w:p w14:paraId="088AC86E">
            <w:pPr>
              <w:jc w:val="center"/>
              <w:rPr>
                <w:sz w:val="20"/>
                <w:szCs w:val="20"/>
              </w:rPr>
            </w:pPr>
            <w:r>
              <w:rPr>
                <w:sz w:val="20"/>
                <w:szCs w:val="20"/>
              </w:rPr>
              <w:t>У699ВН  116</w:t>
            </w:r>
          </w:p>
        </w:tc>
      </w:tr>
      <w:tr w14:paraId="3075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7" w:type="dxa"/>
            <w:bottom w:w="0" w:type="dxa"/>
            <w:right w:w="0" w:type="dxa"/>
          </w:tblCellMar>
        </w:tblPrEx>
        <w:trPr>
          <w:trHeight w:val="438" w:hRule="atLeast"/>
        </w:trPr>
        <w:tc>
          <w:tcPr>
            <w:tcW w:w="931" w:type="dxa"/>
          </w:tcPr>
          <w:p w14:paraId="49970EBF">
            <w:pPr>
              <w:contextualSpacing/>
              <w:rPr>
                <w:bCs/>
              </w:rPr>
            </w:pPr>
            <w:r>
              <w:rPr>
                <w:bCs/>
              </w:rPr>
              <w:t xml:space="preserve">      3</w:t>
            </w:r>
          </w:p>
        </w:tc>
        <w:tc>
          <w:tcPr>
            <w:tcW w:w="2375" w:type="dxa"/>
          </w:tcPr>
          <w:p w14:paraId="431D9ED0">
            <w:pPr>
              <w:rPr>
                <w:sz w:val="20"/>
                <w:szCs w:val="20"/>
              </w:rPr>
            </w:pPr>
            <w:r>
              <w:rPr>
                <w:sz w:val="20"/>
                <w:szCs w:val="20"/>
              </w:rPr>
              <w:t>ТАЙОТА-КАМРИ</w:t>
            </w:r>
          </w:p>
        </w:tc>
        <w:tc>
          <w:tcPr>
            <w:tcW w:w="3007" w:type="dxa"/>
            <w:vAlign w:val="center"/>
          </w:tcPr>
          <w:p w14:paraId="62625AD7">
            <w:pPr>
              <w:rPr>
                <w:sz w:val="20"/>
                <w:szCs w:val="20"/>
                <w:lang w:val="en-US"/>
              </w:rPr>
            </w:pPr>
            <w:r>
              <w:rPr>
                <w:sz w:val="20"/>
                <w:szCs w:val="20"/>
                <w:lang w:val="en-US"/>
              </w:rPr>
              <w:t>XW7BF4FK20S031710</w:t>
            </w:r>
          </w:p>
        </w:tc>
        <w:tc>
          <w:tcPr>
            <w:tcW w:w="1765" w:type="dxa"/>
            <w:vAlign w:val="center"/>
          </w:tcPr>
          <w:p w14:paraId="28335608">
            <w:pPr>
              <w:jc w:val="center"/>
              <w:rPr>
                <w:rFonts w:hint="default"/>
                <w:sz w:val="20"/>
                <w:szCs w:val="20"/>
                <w:lang w:val="ru-RU"/>
              </w:rPr>
            </w:pPr>
            <w:r>
              <w:rPr>
                <w:rFonts w:hint="default"/>
                <w:sz w:val="20"/>
                <w:szCs w:val="20"/>
                <w:lang w:val="ru-RU"/>
              </w:rPr>
              <w:t>181 (133)</w:t>
            </w:r>
          </w:p>
        </w:tc>
        <w:tc>
          <w:tcPr>
            <w:tcW w:w="1765" w:type="dxa"/>
            <w:vAlign w:val="center"/>
          </w:tcPr>
          <w:p w14:paraId="7243DCAB">
            <w:pPr>
              <w:jc w:val="center"/>
              <w:rPr>
                <w:sz w:val="20"/>
                <w:szCs w:val="20"/>
              </w:rPr>
            </w:pPr>
            <w:r>
              <w:rPr>
                <w:sz w:val="20"/>
                <w:szCs w:val="20"/>
              </w:rPr>
              <w:t>Т806АХ  116</w:t>
            </w:r>
          </w:p>
        </w:tc>
      </w:tr>
    </w:tbl>
    <w:p w14:paraId="2634B22E">
      <w:pPr>
        <w:jc w:val="both"/>
        <w:rPr>
          <w:b/>
          <w:color w:val="000000"/>
          <w:sz w:val="18"/>
          <w:szCs w:val="18"/>
        </w:rPr>
      </w:pPr>
    </w:p>
    <w:p w14:paraId="4EA467A6">
      <w:pPr>
        <w:jc w:val="both"/>
        <w:rPr>
          <w:b/>
          <w:color w:val="000000"/>
          <w:sz w:val="18"/>
          <w:szCs w:val="18"/>
        </w:rPr>
      </w:pPr>
    </w:p>
    <w:p w14:paraId="14293C73">
      <w:pPr>
        <w:jc w:val="both"/>
        <w:rPr>
          <w:b/>
          <w:color w:val="000000"/>
          <w:sz w:val="18"/>
          <w:szCs w:val="18"/>
        </w:rPr>
      </w:pPr>
    </w:p>
    <w:p w14:paraId="0D00C5E5">
      <w:pPr>
        <w:jc w:val="both"/>
        <w:rPr>
          <w:b/>
          <w:color w:val="000000"/>
          <w:sz w:val="18"/>
          <w:szCs w:val="18"/>
        </w:rPr>
      </w:pPr>
    </w:p>
    <w:p w14:paraId="71B4ABEB">
      <w:pPr>
        <w:jc w:val="both"/>
        <w:rPr>
          <w:b/>
          <w:color w:val="000000"/>
          <w:sz w:val="18"/>
          <w:szCs w:val="18"/>
        </w:rPr>
      </w:pPr>
    </w:p>
    <w:p w14:paraId="3B344C62">
      <w:pPr>
        <w:jc w:val="both"/>
        <w:rPr>
          <w:b/>
          <w:color w:val="000000"/>
          <w:sz w:val="18"/>
          <w:szCs w:val="18"/>
        </w:rPr>
      </w:pPr>
    </w:p>
    <w:p w14:paraId="606328BC">
      <w:pPr>
        <w:jc w:val="both"/>
        <w:rPr>
          <w:b/>
          <w:color w:val="000000"/>
          <w:sz w:val="18"/>
          <w:szCs w:val="18"/>
        </w:rPr>
      </w:pPr>
    </w:p>
    <w:p w14:paraId="571EAC08">
      <w:pPr>
        <w:jc w:val="both"/>
        <w:rPr>
          <w:b/>
          <w:color w:val="000000"/>
          <w:sz w:val="18"/>
          <w:szCs w:val="18"/>
        </w:rPr>
      </w:pPr>
    </w:p>
    <w:p w14:paraId="4EBA92C9">
      <w:pPr>
        <w:jc w:val="both"/>
        <w:rPr>
          <w:b/>
          <w:color w:val="000000"/>
          <w:sz w:val="18"/>
          <w:szCs w:val="18"/>
        </w:rPr>
      </w:pPr>
    </w:p>
    <w:p w14:paraId="669E07BA">
      <w:pPr>
        <w:jc w:val="both"/>
        <w:rPr>
          <w:b/>
          <w:color w:val="000000"/>
          <w:sz w:val="18"/>
          <w:szCs w:val="18"/>
        </w:rPr>
      </w:pPr>
    </w:p>
    <w:p w14:paraId="579B5B30">
      <w:pPr>
        <w:jc w:val="both"/>
        <w:rPr>
          <w:b/>
          <w:color w:val="000000"/>
          <w:sz w:val="18"/>
          <w:szCs w:val="18"/>
        </w:rPr>
      </w:pPr>
    </w:p>
    <w:p w14:paraId="7E061A7F">
      <w:pPr>
        <w:jc w:val="both"/>
        <w:rPr>
          <w:b/>
          <w:color w:val="000000"/>
          <w:sz w:val="18"/>
          <w:szCs w:val="18"/>
        </w:rPr>
      </w:pPr>
    </w:p>
    <w:p w14:paraId="4B338714">
      <w:pPr>
        <w:jc w:val="both"/>
        <w:rPr>
          <w:b/>
          <w:color w:val="000000"/>
          <w:sz w:val="18"/>
          <w:szCs w:val="18"/>
        </w:rPr>
      </w:pPr>
    </w:p>
    <w:p w14:paraId="12D1D75F">
      <w:pPr>
        <w:jc w:val="both"/>
        <w:rPr>
          <w:b/>
          <w:color w:val="000000"/>
          <w:sz w:val="18"/>
          <w:szCs w:val="18"/>
        </w:rPr>
      </w:pPr>
    </w:p>
    <w:p w14:paraId="17400778">
      <w:pPr>
        <w:jc w:val="both"/>
        <w:rPr>
          <w:b/>
          <w:color w:val="000000"/>
          <w:sz w:val="18"/>
          <w:szCs w:val="18"/>
        </w:rPr>
      </w:pPr>
      <w:r>
        <w:rPr>
          <w:b/>
          <w:color w:val="000000"/>
          <w:sz w:val="18"/>
          <w:szCs w:val="18"/>
        </w:rPr>
        <w:t>От имени «Страховщика»:                                                         От имени «Страхователя»:</w:t>
      </w:r>
    </w:p>
    <w:p w14:paraId="110ED5FC">
      <w:pPr>
        <w:jc w:val="both"/>
        <w:rPr>
          <w:b/>
          <w:color w:val="000000"/>
          <w:sz w:val="18"/>
          <w:szCs w:val="18"/>
        </w:rPr>
      </w:pPr>
    </w:p>
    <w:p w14:paraId="0E6B43AA">
      <w:pPr>
        <w:ind w:left="360"/>
        <w:jc w:val="both"/>
        <w:rPr>
          <w:b/>
          <w:color w:val="000000"/>
          <w:sz w:val="18"/>
          <w:szCs w:val="18"/>
        </w:rPr>
      </w:pPr>
    </w:p>
    <w:p w14:paraId="440F85A8">
      <w:pPr>
        <w:ind w:left="360"/>
        <w:jc w:val="both"/>
        <w:rPr>
          <w:b/>
          <w:color w:val="000000"/>
          <w:sz w:val="18"/>
          <w:szCs w:val="18"/>
        </w:rPr>
      </w:pPr>
    </w:p>
    <w:p w14:paraId="22876103">
      <w:pPr>
        <w:jc w:val="both"/>
        <w:rPr>
          <w:b/>
          <w:color w:val="000000"/>
          <w:sz w:val="18"/>
          <w:szCs w:val="18"/>
        </w:rPr>
      </w:pPr>
      <w:r>
        <w:rPr>
          <w:b/>
          <w:color w:val="000000"/>
          <w:sz w:val="18"/>
          <w:szCs w:val="18"/>
        </w:rPr>
        <w:t>_________________  (______________)</w:t>
      </w:r>
      <w:r>
        <w:rPr>
          <w:b/>
          <w:color w:val="000000"/>
          <w:sz w:val="18"/>
          <w:szCs w:val="18"/>
        </w:rPr>
        <w:tab/>
      </w:r>
      <w:r>
        <w:rPr>
          <w:b/>
          <w:color w:val="000000"/>
          <w:sz w:val="18"/>
          <w:szCs w:val="18"/>
        </w:rPr>
        <w:tab/>
      </w:r>
      <w:r>
        <w:rPr>
          <w:b/>
          <w:color w:val="000000"/>
          <w:sz w:val="18"/>
          <w:szCs w:val="18"/>
        </w:rPr>
        <w:t xml:space="preserve">                _______________  (АА. Имамов)</w:t>
      </w:r>
    </w:p>
    <w:p w14:paraId="3EA187E8">
      <w:pPr>
        <w:jc w:val="both"/>
        <w:rPr>
          <w:b/>
          <w:color w:val="000000"/>
          <w:sz w:val="18"/>
          <w:szCs w:val="18"/>
        </w:rPr>
      </w:pPr>
    </w:p>
    <w:p w14:paraId="55E7A4A0">
      <w:pPr>
        <w:jc w:val="both"/>
        <w:rPr>
          <w:b/>
          <w:color w:val="000000"/>
          <w:sz w:val="18"/>
          <w:szCs w:val="18"/>
        </w:rPr>
      </w:pPr>
    </w:p>
    <w:p w14:paraId="32A363B2">
      <w:pPr>
        <w:rPr>
          <w:sz w:val="18"/>
          <w:szCs w:val="18"/>
        </w:rPr>
      </w:pPr>
    </w:p>
    <w:p w14:paraId="413467C6">
      <w:pPr>
        <w:rPr>
          <w:sz w:val="18"/>
          <w:szCs w:val="18"/>
        </w:rPr>
      </w:pPr>
    </w:p>
    <w:p w14:paraId="127DF50B">
      <w:pPr>
        <w:rPr>
          <w:sz w:val="18"/>
          <w:szCs w:val="18"/>
        </w:rPr>
      </w:pPr>
    </w:p>
    <w:p w14:paraId="052E5FDF">
      <w:pPr>
        <w:rPr>
          <w:sz w:val="18"/>
          <w:szCs w:val="18"/>
        </w:rPr>
      </w:pPr>
    </w:p>
    <w:p w14:paraId="5F209C51">
      <w:pPr>
        <w:rPr>
          <w:sz w:val="18"/>
          <w:szCs w:val="18"/>
        </w:rPr>
      </w:pPr>
    </w:p>
    <w:p w14:paraId="0119B302">
      <w:pPr>
        <w:rPr>
          <w:sz w:val="18"/>
          <w:szCs w:val="18"/>
        </w:rPr>
      </w:pPr>
    </w:p>
    <w:p w14:paraId="51F51690">
      <w:pPr>
        <w:rPr>
          <w:sz w:val="18"/>
          <w:szCs w:val="18"/>
        </w:rPr>
      </w:pPr>
    </w:p>
    <w:p w14:paraId="426F6D0D">
      <w:pPr>
        <w:rPr>
          <w:sz w:val="18"/>
          <w:szCs w:val="18"/>
        </w:rPr>
      </w:pPr>
    </w:p>
    <w:p w14:paraId="47B76FC0">
      <w:pPr>
        <w:rPr>
          <w:sz w:val="18"/>
          <w:szCs w:val="18"/>
        </w:rPr>
      </w:pPr>
    </w:p>
    <w:p w14:paraId="63470565">
      <w:pPr>
        <w:rPr>
          <w:sz w:val="18"/>
          <w:szCs w:val="18"/>
        </w:rPr>
      </w:pPr>
    </w:p>
    <w:p w14:paraId="36A6DC11">
      <w:pPr>
        <w:rPr>
          <w:sz w:val="18"/>
          <w:szCs w:val="18"/>
        </w:rPr>
      </w:pPr>
    </w:p>
    <w:p w14:paraId="3A5552FD">
      <w:pPr>
        <w:rPr>
          <w:sz w:val="18"/>
          <w:szCs w:val="18"/>
        </w:rPr>
      </w:pPr>
    </w:p>
    <w:p w14:paraId="765D9371">
      <w:pPr>
        <w:rPr>
          <w:sz w:val="18"/>
          <w:szCs w:val="18"/>
        </w:rPr>
      </w:pPr>
    </w:p>
    <w:p w14:paraId="197F9C27">
      <w:pPr>
        <w:rPr>
          <w:sz w:val="18"/>
          <w:szCs w:val="18"/>
        </w:rPr>
      </w:pPr>
    </w:p>
    <w:p w14:paraId="525FD56A">
      <w:pPr>
        <w:rPr>
          <w:sz w:val="18"/>
          <w:szCs w:val="18"/>
        </w:rPr>
      </w:pPr>
    </w:p>
    <w:p w14:paraId="0F39E4CB">
      <w:pPr>
        <w:rPr>
          <w:sz w:val="18"/>
          <w:szCs w:val="18"/>
        </w:rPr>
      </w:pPr>
    </w:p>
    <w:p w14:paraId="30916751">
      <w:pPr>
        <w:rPr>
          <w:sz w:val="18"/>
          <w:szCs w:val="18"/>
        </w:rPr>
      </w:pPr>
    </w:p>
    <w:p w14:paraId="7B137FB6">
      <w:pPr>
        <w:rPr>
          <w:sz w:val="18"/>
          <w:szCs w:val="18"/>
        </w:rPr>
      </w:pPr>
    </w:p>
    <w:p w14:paraId="3989B379">
      <w:pPr>
        <w:rPr>
          <w:sz w:val="18"/>
          <w:szCs w:val="18"/>
        </w:rPr>
      </w:pPr>
    </w:p>
    <w:p w14:paraId="70AE4C64">
      <w:pPr>
        <w:rPr>
          <w:sz w:val="18"/>
          <w:szCs w:val="18"/>
        </w:rPr>
      </w:pPr>
    </w:p>
    <w:p w14:paraId="7767229D">
      <w:pPr>
        <w:rPr>
          <w:sz w:val="18"/>
          <w:szCs w:val="18"/>
        </w:rPr>
      </w:pPr>
    </w:p>
    <w:p w14:paraId="25EE8D88">
      <w:pPr>
        <w:rPr>
          <w:sz w:val="18"/>
          <w:szCs w:val="18"/>
        </w:rPr>
      </w:pPr>
    </w:p>
    <w:p w14:paraId="7BEC221A">
      <w:pPr>
        <w:rPr>
          <w:sz w:val="18"/>
          <w:szCs w:val="18"/>
        </w:rPr>
      </w:pPr>
    </w:p>
    <w:p w14:paraId="7106FDA4">
      <w:pPr>
        <w:rPr>
          <w:sz w:val="18"/>
          <w:szCs w:val="18"/>
        </w:rPr>
      </w:pPr>
    </w:p>
    <w:p w14:paraId="313A2C68">
      <w:pPr>
        <w:rPr>
          <w:sz w:val="18"/>
          <w:szCs w:val="18"/>
        </w:rPr>
      </w:pPr>
    </w:p>
    <w:p w14:paraId="1AF31ABD">
      <w:pPr>
        <w:rPr>
          <w:sz w:val="18"/>
          <w:szCs w:val="18"/>
        </w:rPr>
      </w:pPr>
    </w:p>
    <w:p w14:paraId="188A0CEA">
      <w:pPr>
        <w:rPr>
          <w:sz w:val="18"/>
          <w:szCs w:val="18"/>
        </w:rPr>
      </w:pPr>
    </w:p>
    <w:p w14:paraId="3A20D50F">
      <w:pPr>
        <w:rPr>
          <w:sz w:val="18"/>
          <w:szCs w:val="18"/>
        </w:rPr>
      </w:pPr>
    </w:p>
    <w:p w14:paraId="77D122E2">
      <w:pPr>
        <w:rPr>
          <w:sz w:val="18"/>
          <w:szCs w:val="18"/>
        </w:rPr>
      </w:pPr>
    </w:p>
    <w:p w14:paraId="48387075">
      <w:pPr>
        <w:rPr>
          <w:sz w:val="18"/>
          <w:szCs w:val="18"/>
        </w:rPr>
      </w:pPr>
    </w:p>
    <w:p w14:paraId="6861981C">
      <w:pPr>
        <w:rPr>
          <w:sz w:val="18"/>
          <w:szCs w:val="18"/>
        </w:rPr>
      </w:pPr>
    </w:p>
    <w:p w14:paraId="6648A5EF">
      <w:pPr>
        <w:rPr>
          <w:sz w:val="18"/>
          <w:szCs w:val="18"/>
        </w:rPr>
      </w:pPr>
    </w:p>
    <w:p w14:paraId="455A1E59">
      <w:pPr>
        <w:rPr>
          <w:sz w:val="18"/>
          <w:szCs w:val="18"/>
        </w:rPr>
      </w:pPr>
    </w:p>
    <w:p w14:paraId="3675D273">
      <w:pPr>
        <w:rPr>
          <w:sz w:val="18"/>
          <w:szCs w:val="18"/>
        </w:rPr>
      </w:pPr>
    </w:p>
    <w:p w14:paraId="551E6BB6">
      <w:pPr>
        <w:rPr>
          <w:sz w:val="18"/>
          <w:szCs w:val="18"/>
        </w:rPr>
      </w:pPr>
    </w:p>
    <w:p w14:paraId="0F92A866">
      <w:pPr>
        <w:rPr>
          <w:sz w:val="18"/>
          <w:szCs w:val="18"/>
        </w:rPr>
      </w:pPr>
    </w:p>
    <w:p w14:paraId="74FB5A67">
      <w:pPr>
        <w:jc w:val="right"/>
        <w:rPr>
          <w:rFonts w:hint="default"/>
          <w:sz w:val="24"/>
          <w:szCs w:val="24"/>
          <w:lang w:val="ru-RU"/>
        </w:rPr>
      </w:pPr>
      <w:r>
        <w:rPr>
          <w:sz w:val="24"/>
          <w:szCs w:val="24"/>
          <w:lang w:val="ru-RU"/>
        </w:rPr>
        <w:t>Утверждаю</w:t>
      </w:r>
      <w:r>
        <w:rPr>
          <w:rFonts w:hint="default"/>
          <w:sz w:val="24"/>
          <w:szCs w:val="24"/>
          <w:lang w:val="ru-RU"/>
        </w:rPr>
        <w:t>__________</w:t>
      </w:r>
    </w:p>
    <w:p w14:paraId="5E3D93BB">
      <w:pPr>
        <w:wordWrap w:val="0"/>
        <w:jc w:val="right"/>
        <w:rPr>
          <w:rFonts w:hint="default"/>
          <w:sz w:val="24"/>
          <w:szCs w:val="24"/>
          <w:lang w:val="ru-RU"/>
        </w:rPr>
      </w:pPr>
      <w:r>
        <w:rPr>
          <w:rFonts w:hint="default"/>
          <w:sz w:val="24"/>
          <w:szCs w:val="24"/>
          <w:lang w:val="ru-RU"/>
        </w:rPr>
        <w:t>Директор ФГБУ «Национальный парк «Нижняя Кама»</w:t>
      </w:r>
    </w:p>
    <w:p w14:paraId="7EA3F124">
      <w:pPr>
        <w:wordWrap w:val="0"/>
        <w:jc w:val="right"/>
        <w:rPr>
          <w:rFonts w:hint="default"/>
          <w:sz w:val="24"/>
          <w:szCs w:val="24"/>
          <w:lang w:val="ru-RU"/>
        </w:rPr>
      </w:pPr>
      <w:r>
        <w:rPr>
          <w:rFonts w:hint="default"/>
          <w:sz w:val="24"/>
          <w:szCs w:val="24"/>
          <w:lang w:val="ru-RU"/>
        </w:rPr>
        <w:t>Имамов А.А.</w:t>
      </w:r>
    </w:p>
    <w:p w14:paraId="4E08CBCE">
      <w:pPr>
        <w:jc w:val="right"/>
        <w:rPr>
          <w:rFonts w:hint="default"/>
          <w:sz w:val="18"/>
          <w:szCs w:val="18"/>
          <w:lang w:val="ru-RU"/>
        </w:rPr>
      </w:pPr>
    </w:p>
    <w:p w14:paraId="3AA54634">
      <w:pPr>
        <w:rPr>
          <w:sz w:val="18"/>
          <w:szCs w:val="18"/>
        </w:rPr>
      </w:pPr>
    </w:p>
    <w:p w14:paraId="7DA0E38C">
      <w:pPr>
        <w:rPr>
          <w:sz w:val="18"/>
          <w:szCs w:val="18"/>
        </w:rPr>
      </w:pPr>
    </w:p>
    <w:p w14:paraId="49228687">
      <w:pPr>
        <w:rPr>
          <w:sz w:val="18"/>
          <w:szCs w:val="18"/>
        </w:rPr>
      </w:pPr>
    </w:p>
    <w:p w14:paraId="065E5C4B">
      <w:pPr>
        <w:rPr>
          <w:sz w:val="18"/>
          <w:szCs w:val="18"/>
        </w:rPr>
      </w:pPr>
      <w:r>
        <w:rPr>
          <w:b/>
          <w:bCs/>
          <w:sz w:val="18"/>
          <w:szCs w:val="18"/>
        </w:rPr>
        <w:t>ПРИЛОЖЕНИЕ №2 к</w:t>
      </w:r>
      <w:r>
        <w:rPr>
          <w:sz w:val="18"/>
          <w:szCs w:val="18"/>
        </w:rPr>
        <w:t xml:space="preserve"> </w:t>
      </w:r>
      <w:r>
        <w:rPr>
          <w:b/>
          <w:sz w:val="18"/>
          <w:szCs w:val="18"/>
        </w:rPr>
        <w:t xml:space="preserve">К ДОГОВОРУ  №___________ </w:t>
      </w:r>
      <w:r>
        <w:rPr>
          <w:sz w:val="18"/>
          <w:szCs w:val="18"/>
        </w:rPr>
        <w:t>от _____ ______________ г.</w:t>
      </w:r>
    </w:p>
    <w:p w14:paraId="47AB3AF8">
      <w:pPr>
        <w:rPr>
          <w:sz w:val="18"/>
          <w:szCs w:val="18"/>
        </w:rPr>
      </w:pPr>
    </w:p>
    <w:p w14:paraId="5D722A9C">
      <w:pPr>
        <w:rPr>
          <w:sz w:val="18"/>
          <w:szCs w:val="18"/>
        </w:rPr>
      </w:pPr>
    </w:p>
    <w:p w14:paraId="514F8AA4">
      <w:pPr>
        <w:contextualSpacing/>
        <w:jc w:val="center"/>
        <w:rPr>
          <w:b/>
          <w:bCs/>
        </w:rPr>
      </w:pPr>
      <w:r>
        <w:rPr>
          <w:b/>
        </w:rPr>
        <w:t>ТЕХНИЧЕСКОЕ ЗАДАНИЕ</w:t>
      </w:r>
    </w:p>
    <w:p w14:paraId="7386A49E">
      <w:pPr>
        <w:contextualSpacing/>
        <w:jc w:val="center"/>
        <w:rPr>
          <w:b/>
          <w:bCs/>
        </w:rPr>
      </w:pPr>
      <w:r>
        <w:rPr>
          <w:b/>
          <w:bCs/>
        </w:rPr>
        <w:t>на предоставление услуг по обязательному страхованию гражданской ответственности владельцев транспортных средств (автострахование ОСАГО)</w:t>
      </w:r>
    </w:p>
    <w:p w14:paraId="0F6648F2">
      <w:pPr>
        <w:contextualSpacing/>
        <w:jc w:val="both"/>
        <w:rPr>
          <w:b/>
        </w:rPr>
      </w:pPr>
      <w:r>
        <w:rPr>
          <w:b/>
        </w:rPr>
        <w:t>1. Общие сведения:</w:t>
      </w:r>
    </w:p>
    <w:p w14:paraId="3F700C3A">
      <w:pPr>
        <w:contextualSpacing/>
      </w:pPr>
      <w:r>
        <w:t>1.1. Заказчик:</w:t>
      </w:r>
    </w:p>
    <w:p w14:paraId="62093604">
      <w:pPr>
        <w:contextualSpacing/>
        <w:rPr>
          <w:b/>
          <w:bCs/>
        </w:rPr>
      </w:pPr>
      <w:r>
        <w:t xml:space="preserve"> </w:t>
      </w:r>
      <w:r>
        <w:rPr>
          <w:b/>
          <w:sz w:val="22"/>
          <w:szCs w:val="22"/>
        </w:rPr>
        <w:t>Федеральное государственное бюджетное учреждение «Национальный парк «Нижняя Кама»</w:t>
      </w:r>
    </w:p>
    <w:p w14:paraId="166A29F2">
      <w:pPr>
        <w:contextualSpacing/>
        <w:jc w:val="both"/>
      </w:pPr>
      <w:r>
        <w:t>1.2. Наименование  услуги:  обязательное страхование гражданской ответственности владельцев транспортных средств (автострахование ОСАГО) с выдачей полиса ОСАГО согласно Приложению №1 к техническому заданию.</w:t>
      </w:r>
    </w:p>
    <w:p w14:paraId="01D7F160">
      <w:pPr>
        <w:contextualSpacing/>
        <w:jc w:val="both"/>
        <w:rPr>
          <w:rFonts w:hint="default"/>
          <w:lang w:val="ru-RU"/>
        </w:rPr>
      </w:pPr>
      <w:r>
        <w:t>1.3. Количество транспортных ср</w:t>
      </w:r>
      <w:r>
        <w:rPr>
          <w:highlight w:val="none"/>
        </w:rPr>
        <w:t xml:space="preserve">едств: </w:t>
      </w:r>
      <w:r>
        <w:rPr>
          <w:highlight w:val="none"/>
          <w:lang w:val="ru-RU"/>
        </w:rPr>
        <w:t>По</w:t>
      </w:r>
      <w:r>
        <w:rPr>
          <w:rFonts w:hint="default"/>
          <w:highlight w:val="none"/>
          <w:lang w:val="ru-RU"/>
        </w:rPr>
        <w:t xml:space="preserve"> приложению №1 к договору .</w:t>
      </w:r>
    </w:p>
    <w:p w14:paraId="545395CA">
      <w:pPr>
        <w:keepNext/>
        <w:contextualSpacing/>
        <w:jc w:val="both"/>
      </w:pPr>
      <w:r>
        <w:rPr>
          <w:b/>
        </w:rPr>
        <w:t>2. Срок и место доставки страховых полисов ОСАГО:</w:t>
      </w:r>
      <w:r>
        <w:t xml:space="preserve"> в течение </w:t>
      </w:r>
      <w:r>
        <w:rPr>
          <w:rFonts w:hint="default"/>
          <w:lang w:val="ru-RU"/>
        </w:rPr>
        <w:t>1</w:t>
      </w:r>
      <w:r>
        <w:t xml:space="preserve"> (</w:t>
      </w:r>
      <w:r>
        <w:rPr>
          <w:lang w:val="ru-RU"/>
        </w:rPr>
        <w:t>одного</w:t>
      </w:r>
      <w:r>
        <w:t>) рабоч</w:t>
      </w:r>
      <w:r>
        <w:rPr>
          <w:lang w:val="ru-RU"/>
        </w:rPr>
        <w:t>его</w:t>
      </w:r>
      <w:r>
        <w:t xml:space="preserve"> дн</w:t>
      </w:r>
      <w:r>
        <w:rPr>
          <w:lang w:val="ru-RU"/>
        </w:rPr>
        <w:t>я</w:t>
      </w:r>
      <w:r>
        <w:t xml:space="preserve"> со дня заключения  договора в соответствии с Приложением №1 к Техническому заданию по адресу: </w:t>
      </w:r>
    </w:p>
    <w:p w14:paraId="0A14AF72">
      <w:pPr>
        <w:keepNext/>
        <w:contextualSpacing/>
        <w:jc w:val="both"/>
        <w:rPr>
          <w:sz w:val="20"/>
          <w:szCs w:val="20"/>
        </w:rPr>
      </w:pPr>
      <w:r>
        <w:rPr>
          <w:b/>
          <w:sz w:val="20"/>
          <w:szCs w:val="20"/>
        </w:rPr>
        <w:t>423631 РТ Елабужский р-н Танаевский лес квартал 109 а/я 241  тел. 8-5557-5-71-52 (факс) , 2-70-18</w:t>
      </w:r>
    </w:p>
    <w:p w14:paraId="547169C2">
      <w:pPr>
        <w:keepNext/>
        <w:contextualSpacing/>
        <w:jc w:val="both"/>
        <w:rPr>
          <w:sz w:val="20"/>
          <w:szCs w:val="20"/>
        </w:rPr>
      </w:pPr>
      <w:r>
        <w:rPr>
          <w:b/>
          <w:sz w:val="22"/>
          <w:szCs w:val="22"/>
        </w:rPr>
        <w:t>3. Срок и место оказания услуги:</w:t>
      </w:r>
      <w:r>
        <w:rPr>
          <w:sz w:val="22"/>
          <w:szCs w:val="22"/>
        </w:rPr>
        <w:t xml:space="preserve"> страхование гражданской ответственности владельцев автотранспортных средств – 1 (один) год с момента начала действия страхового полиса ОСАГО на  </w:t>
      </w:r>
      <w:r>
        <w:rPr>
          <w:bCs/>
          <w:sz w:val="22"/>
          <w:szCs w:val="22"/>
        </w:rPr>
        <w:t>территории Российской Федерации</w:t>
      </w:r>
      <w:r>
        <w:rPr>
          <w:rFonts w:hint="default"/>
          <w:bCs/>
          <w:sz w:val="22"/>
          <w:szCs w:val="22"/>
          <w:lang w:val="ru-RU"/>
        </w:rPr>
        <w:t>,</w:t>
      </w:r>
      <w:r>
        <w:rPr>
          <w:b/>
          <w:sz w:val="24"/>
          <w:szCs w:val="24"/>
        </w:rPr>
        <w:t>423631 РТ Елабужский р-н Танаевский лес квартал 109 а/я 241  тел. 2-70-18</w:t>
      </w:r>
    </w:p>
    <w:p w14:paraId="14A81894">
      <w:pPr>
        <w:pStyle w:val="20"/>
        <w:tabs>
          <w:tab w:val="left" w:pos="142"/>
          <w:tab w:val="left" w:pos="284"/>
        </w:tabs>
        <w:ind w:left="0"/>
        <w:jc w:val="both"/>
        <w:rPr>
          <w:rFonts w:hint="default"/>
          <w:bCs/>
          <w:sz w:val="22"/>
          <w:szCs w:val="22"/>
          <w:lang w:val="ru-RU"/>
        </w:rPr>
      </w:pPr>
    </w:p>
    <w:p w14:paraId="75767954">
      <w:pPr>
        <w:contextualSpacing/>
        <w:jc w:val="both"/>
      </w:pPr>
      <w:r>
        <w:rPr>
          <w:b/>
        </w:rPr>
        <w:t>4. Форма, срок и условия оплаты:</w:t>
      </w:r>
      <w:bookmarkStart w:id="19" w:name="__DdeLink__820_4014308028"/>
      <w:r>
        <w:rPr>
          <w:b/>
        </w:rPr>
        <w:t xml:space="preserve"> </w:t>
      </w:r>
      <w:r>
        <w:t>Заказчик осуществляет оплату по безналичному расчету после заключения договора на основании предоставленных и оформленных надлежащим образом счета/счета-фактуры, акта оказанных услуг.</w:t>
      </w:r>
      <w:bookmarkEnd w:id="19"/>
    </w:p>
    <w:p w14:paraId="5D197FF4">
      <w:pPr>
        <w:contextualSpacing/>
        <w:jc w:val="both"/>
        <w:rPr>
          <w:b/>
        </w:rPr>
      </w:pPr>
      <w:r>
        <w:rPr>
          <w:b/>
        </w:rPr>
        <w:t>5. Требования к качеству услуг:</w:t>
      </w:r>
    </w:p>
    <w:p w14:paraId="364E97F8">
      <w:pPr>
        <w:contextualSpacing/>
        <w:jc w:val="both"/>
      </w:pPr>
      <w:r>
        <w:t xml:space="preserve">5.1. </w:t>
      </w:r>
      <w:r>
        <w:rPr>
          <w:rFonts w:eastAsia="Lucida Sans Unicode"/>
          <w:kern w:val="2"/>
        </w:rPr>
        <w:t xml:space="preserve">Услуги должны оказываться в соответствии с </w:t>
      </w:r>
      <w:r>
        <w:rPr>
          <w:rStyle w:val="24"/>
          <w:kern w:val="2"/>
        </w:rPr>
        <w:t xml:space="preserve">Федеральным законом </w:t>
      </w:r>
      <w:r>
        <w:rPr>
          <w:kern w:val="2"/>
        </w:rPr>
        <w:t>от 27 ноября 1992 г. № 4015-1 (ред. 08.03.2015 г.) «Об организации страхового дела в Российской Федерации»,</w:t>
      </w:r>
      <w:r>
        <w:rPr>
          <w:rFonts w:eastAsia="Lucida Sans Unicode"/>
          <w:kern w:val="2"/>
        </w:rPr>
        <w:t xml:space="preserve"> Федеральным законом от 25 апреля 2002 №40-ФЗ (ред. От 04.11.2014 г.) «Об обязательном страховании гражданской ответственности владельцев транспортных средств» (далее Федеральный закон от 25 апреля 2002 №40-ФЗ), </w:t>
      </w:r>
      <w:r>
        <w:t>Положением Банка России №431-П от 19 сентября 2014 года «О Правилах обязательного страхования гражданской ответственности владельцев транспортных средств»</w:t>
      </w:r>
      <w:r>
        <w:rPr>
          <w:rFonts w:eastAsia="Lucida Sans Unicode"/>
          <w:kern w:val="2"/>
        </w:rPr>
        <w:t xml:space="preserve"> (далее – Правила), </w:t>
      </w:r>
      <w:r>
        <w:t>Указанием Центрального Банка Российской Федерации от 20 марта 2015 г. №3604-У «О предельных размерах базовых ставок страховых тарифов и коэффициентов страховых тарифов, требованиях к структуре страховых тарифов,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w:t>
      </w:r>
    </w:p>
    <w:p w14:paraId="0028E741">
      <w:pPr>
        <w:tabs>
          <w:tab w:val="left" w:pos="426"/>
        </w:tabs>
        <w:contextualSpacing/>
        <w:jc w:val="both"/>
      </w:pPr>
      <w:r>
        <w:t xml:space="preserve">5.2.  Страховщик должен иметь лицензию, предоставленную органом страхового надзора субъекту страхового дела. </w:t>
      </w:r>
    </w:p>
    <w:p w14:paraId="3C3C5A24">
      <w:pPr>
        <w:contextualSpacing/>
        <w:jc w:val="both"/>
      </w:pPr>
      <w:r>
        <w:t>5.3. Страховщик должен осуществить закрепление за Страхователем персонального менеджера по Контракту, в обязанности которого, в том числе, входит оформление заявлений на страхование, снятие копии документов, прикладываемых к заявлению по месту нахождения Страхователя, оформление полисов, оформление счетов на оплату, консультации Страхователя по вопросам страхования, переоформление страховых полисов обязательного страхования в случае утраты.</w:t>
      </w:r>
    </w:p>
    <w:p w14:paraId="725AF363">
      <w:pPr>
        <w:contextualSpacing/>
        <w:jc w:val="both"/>
      </w:pPr>
      <w:r>
        <w:t>5.4. Перечень транспортных средств, подлежащих обязательному страхованию гражданской ответственности владельцев транспортных средств приведен в Приложении № 1 к Техническому заданию.</w:t>
      </w:r>
    </w:p>
    <w:p w14:paraId="2638232A">
      <w:pPr>
        <w:contextualSpacing/>
        <w:jc w:val="both"/>
      </w:pPr>
      <w:r>
        <w:t>5.5. Страховщик должен соответствовать обязательным требованиям, предъявляемым законодательством Российской Федерации к лицам, осуществляющим оказание услуг в области страхования, являющегося предметом закупки – иметь действующую лицензиюна осуществление страховой деятельности на страхование автотранспортных средств, подлежащих обязательному страхованию гражданской ответственности (ОСАГО).</w:t>
      </w:r>
    </w:p>
    <w:p w14:paraId="52A9C205">
      <w:pPr>
        <w:contextualSpacing/>
        <w:jc w:val="both"/>
        <w:rPr>
          <w:b/>
          <w:bCs/>
        </w:rPr>
      </w:pPr>
      <w:r>
        <w:rPr>
          <w:b/>
        </w:rPr>
        <w:t>5.6. О</w:t>
      </w:r>
      <w:r>
        <w:rPr>
          <w:b/>
          <w:bCs/>
        </w:rPr>
        <w:t>фис страховщика должен находится в  Республике Татарстан, г. Елабуга;</w:t>
      </w:r>
    </w:p>
    <w:p w14:paraId="558529C2">
      <w:pPr>
        <w:contextualSpacing/>
        <w:jc w:val="both"/>
      </w:pPr>
      <w:r>
        <w:t>5.7. При утрате Страхователем полиса обязательного страхования Страховщик обязан оформить Страхователю дубликат бесплатно.</w:t>
      </w:r>
    </w:p>
    <w:p w14:paraId="709FDF8D">
      <w:pPr>
        <w:contextualSpacing/>
        <w:jc w:val="both"/>
        <w:rPr>
          <w:b/>
        </w:rPr>
      </w:pPr>
      <w:r>
        <w:rPr>
          <w:b/>
        </w:rPr>
        <w:t>6. Иные требования:</w:t>
      </w:r>
    </w:p>
    <w:p w14:paraId="40500987">
      <w:pPr>
        <w:contextualSpacing/>
        <w:jc w:val="both"/>
      </w:pPr>
      <w:r>
        <w:t xml:space="preserve">6.1. Территория, на которую распространяются услуги страхования – Российская Федерация. </w:t>
      </w:r>
    </w:p>
    <w:p w14:paraId="598A49B2">
      <w:pPr>
        <w:contextualSpacing/>
        <w:jc w:val="both"/>
      </w:pPr>
      <w:r>
        <w:t>6.2. Условия обязательного страхования не должны предусматривать ограничение количества лиц, допущенных к управлению транспортным средством.</w:t>
      </w:r>
    </w:p>
    <w:p w14:paraId="293A20B6">
      <w:pPr>
        <w:jc w:val="both"/>
        <w:outlineLvl w:val="0"/>
      </w:pPr>
      <w:r>
        <w:rPr>
          <w:bCs/>
        </w:rPr>
        <w:t>6.3. Исполнитель не должен находится в РНП (Реестр недобросовестных поставщиков).</w:t>
      </w:r>
    </w:p>
    <w:p w14:paraId="3605A0F0">
      <w:pPr>
        <w:jc w:val="both"/>
        <w:outlineLvl w:val="0"/>
      </w:pPr>
      <w:r>
        <w:t xml:space="preserve">6.4. Исполнитель должен предоставить необходимую документацию на </w:t>
      </w:r>
      <w:r>
        <w:fldChar w:fldCharType="begin"/>
      </w:r>
      <w:r>
        <w:instrText xml:space="preserve"> HYPERLINK "http://www.pandia.ru/text/category/russkij_yazik/" \t "Русский язык" \h </w:instrText>
      </w:r>
      <w:r>
        <w:fldChar w:fldCharType="separate"/>
      </w:r>
      <w:r>
        <w:rPr>
          <w:rStyle w:val="25"/>
        </w:rPr>
        <w:t>русском языке</w:t>
      </w:r>
      <w:r>
        <w:rPr>
          <w:rStyle w:val="25"/>
        </w:rPr>
        <w:fldChar w:fldCharType="end"/>
      </w:r>
      <w:r>
        <w:t>.</w:t>
      </w:r>
    </w:p>
    <w:p w14:paraId="10FBE138">
      <w:pPr>
        <w:jc w:val="both"/>
        <w:outlineLvl w:val="0"/>
        <w:rPr>
          <w:bCs/>
        </w:rPr>
      </w:pPr>
      <w:r>
        <w:rPr>
          <w:bCs/>
        </w:rPr>
        <w:t>6.5. Договор предоставляет Исполнитель.</w:t>
      </w:r>
    </w:p>
    <w:p w14:paraId="29FBE681">
      <w:pPr>
        <w:jc w:val="both"/>
        <w:outlineLvl w:val="0"/>
      </w:pPr>
      <w:r>
        <w:rPr>
          <w:bCs/>
        </w:rPr>
        <w:t>К управлению служебным автотранспортом учреждения допускаются ответственные лица, без ограничения по возрасту и стажу.</w:t>
      </w:r>
    </w:p>
    <w:p w14:paraId="3FC6AF71">
      <w:pPr>
        <w:contextualSpacing/>
        <w:jc w:val="both"/>
      </w:pPr>
      <w:r>
        <w:rPr>
          <w:b/>
          <w:spacing w:val="-6"/>
          <w:lang w:eastAsia="ar-SA"/>
        </w:rPr>
        <w:t>7. Сведения о включенных в цену расходах:</w:t>
      </w:r>
      <w:r>
        <w:rPr>
          <w:spacing w:val="-6"/>
          <w:lang w:eastAsia="ar-SA"/>
        </w:rPr>
        <w:t xml:space="preserve"> ц</w:t>
      </w:r>
      <w:r>
        <w:rPr>
          <w:spacing w:val="-2"/>
        </w:rPr>
        <w:t xml:space="preserve">ена Контракта включает в себя расходы по исполнению обязательств, в том числе все </w:t>
      </w:r>
      <w:r>
        <w:t xml:space="preserve">затраты, издержки и иные расходы Страховщика. Размер страховой премии </w:t>
      </w:r>
      <w:r>
        <w:rPr>
          <w:spacing w:val="-1"/>
        </w:rPr>
        <w:t xml:space="preserve">устанавливается Страховщиком, исходя из страховой суммы и страхового тарифа. После оплаты страховой премии Страховщик передает Страхователю документы, предусмотренные Правилами, подтверждающие заключение договора обязательного </w:t>
      </w:r>
      <w:r>
        <w:t>страхования в отношении каждого из транспортных средств.</w:t>
      </w:r>
    </w:p>
    <w:p w14:paraId="44454DF4">
      <w:pPr>
        <w:widowControl w:val="0"/>
        <w:contextualSpacing/>
        <w:jc w:val="right"/>
        <w:rPr>
          <w:b/>
        </w:rPr>
      </w:pPr>
    </w:p>
    <w:p w14:paraId="31CC638E">
      <w:pPr>
        <w:widowControl w:val="0"/>
        <w:contextualSpacing/>
        <w:jc w:val="right"/>
        <w:rPr>
          <w:b/>
        </w:rPr>
      </w:pPr>
    </w:p>
    <w:p w14:paraId="0914173B">
      <w:pPr>
        <w:widowControl w:val="0"/>
        <w:contextualSpacing/>
        <w:jc w:val="right"/>
        <w:rPr>
          <w:b/>
        </w:rPr>
      </w:pPr>
    </w:p>
    <w:p w14:paraId="62CBE156">
      <w:pPr>
        <w:widowControl w:val="0"/>
        <w:contextualSpacing/>
        <w:jc w:val="center"/>
        <w:rPr>
          <w:b/>
        </w:rPr>
      </w:pPr>
    </w:p>
    <w:p w14:paraId="42909535">
      <w:pPr>
        <w:widowControl w:val="0"/>
        <w:contextualSpacing/>
        <w:jc w:val="right"/>
        <w:rPr>
          <w:b/>
        </w:rPr>
      </w:pPr>
      <w:r>
        <w:rPr>
          <w:b/>
        </w:rPr>
        <w:t>Приложение №</w:t>
      </w:r>
      <w:r>
        <w:rPr>
          <w:rFonts w:hint="default"/>
          <w:b/>
          <w:lang w:val="ru-RU"/>
        </w:rPr>
        <w:t>1</w:t>
      </w:r>
      <w:r>
        <w:rPr>
          <w:b/>
        </w:rPr>
        <w:t xml:space="preserve"> к Техническому заданию</w:t>
      </w:r>
    </w:p>
    <w:p w14:paraId="3FB8DA7C">
      <w:pPr>
        <w:widowControl w:val="0"/>
        <w:contextualSpacing/>
        <w:jc w:val="right"/>
        <w:rPr>
          <w:b/>
        </w:rPr>
      </w:pPr>
    </w:p>
    <w:p w14:paraId="31A2A4C9">
      <w:pPr>
        <w:widowControl w:val="0"/>
        <w:contextualSpacing/>
        <w:jc w:val="center"/>
        <w:rPr>
          <w:b/>
        </w:rPr>
      </w:pPr>
      <w:r>
        <w:rPr>
          <w:b/>
        </w:rPr>
        <w:t>Перечень транспортных средств Страхователя, подлежащих обязательному страхованию гражданской ответственности (ОСАГО)</w:t>
      </w:r>
    </w:p>
    <w:p w14:paraId="47986F69">
      <w:pPr>
        <w:widowControl w:val="0"/>
        <w:contextualSpacing/>
        <w:jc w:val="center"/>
        <w:rPr>
          <w:b/>
        </w:rPr>
      </w:pPr>
    </w:p>
    <w:tbl>
      <w:tblPr>
        <w:tblStyle w:val="5"/>
        <w:tblW w:w="9836" w:type="dxa"/>
        <w:jc w:val="center"/>
        <w:tblBorders>
          <w:top w:val="single" w:color="000000" w:sz="4" w:space="0"/>
          <w:left w:val="single" w:color="000000" w:sz="4" w:space="0"/>
          <w:bottom w:val="single" w:color="000000" w:sz="6" w:space="0"/>
          <w:right w:val="none" w:color="auto" w:sz="0" w:space="0"/>
          <w:insideH w:val="single" w:color="000000" w:sz="6" w:space="0"/>
          <w:insideV w:val="none" w:color="auto" w:sz="0" w:space="0"/>
        </w:tblBorders>
        <w:tblLayout w:type="fixed"/>
        <w:tblCellMar>
          <w:top w:w="0" w:type="dxa"/>
          <w:left w:w="27" w:type="dxa"/>
          <w:bottom w:w="0" w:type="dxa"/>
          <w:right w:w="0" w:type="dxa"/>
        </w:tblCellMar>
      </w:tblPr>
      <w:tblGrid>
        <w:gridCol w:w="393"/>
        <w:gridCol w:w="1102"/>
        <w:gridCol w:w="2149"/>
        <w:gridCol w:w="1232"/>
        <w:gridCol w:w="1216"/>
        <w:gridCol w:w="1058"/>
        <w:gridCol w:w="1438"/>
        <w:gridCol w:w="1248"/>
      </w:tblGrid>
      <w:tr w14:paraId="4FFA9E21">
        <w:tblPrEx>
          <w:tblBorders>
            <w:top w:val="single" w:color="000000" w:sz="4" w:space="0"/>
            <w:left w:val="single" w:color="000000" w:sz="4" w:space="0"/>
            <w:bottom w:val="single" w:color="000000" w:sz="6" w:space="0"/>
            <w:right w:val="none" w:color="auto" w:sz="0" w:space="0"/>
            <w:insideH w:val="single" w:color="000000" w:sz="6" w:space="0"/>
            <w:insideV w:val="none" w:color="auto" w:sz="0" w:space="0"/>
          </w:tblBorders>
          <w:tblCellMar>
            <w:top w:w="0" w:type="dxa"/>
            <w:left w:w="27" w:type="dxa"/>
            <w:bottom w:w="0" w:type="dxa"/>
            <w:right w:w="0" w:type="dxa"/>
          </w:tblCellMar>
        </w:tblPrEx>
        <w:trPr>
          <w:trHeight w:val="1625" w:hRule="atLeast"/>
          <w:jc w:val="center"/>
        </w:trPr>
        <w:tc>
          <w:tcPr>
            <w:tcW w:w="393" w:type="dxa"/>
            <w:tcBorders>
              <w:top w:val="single" w:color="000000" w:sz="4" w:space="0"/>
              <w:left w:val="single" w:color="000000" w:sz="4" w:space="0"/>
              <w:bottom w:val="single" w:color="000000" w:sz="6" w:space="0"/>
            </w:tcBorders>
            <w:vAlign w:val="center"/>
          </w:tcPr>
          <w:p w14:paraId="3DF6F86B">
            <w:pPr>
              <w:contextualSpacing/>
              <w:jc w:val="both"/>
              <w:rPr>
                <w:b/>
                <w:bCs/>
              </w:rPr>
            </w:pPr>
            <w:r>
              <w:rPr>
                <w:b/>
                <w:bCs/>
              </w:rPr>
              <w:t>№</w:t>
            </w:r>
          </w:p>
        </w:tc>
        <w:tc>
          <w:tcPr>
            <w:tcW w:w="1102" w:type="dxa"/>
            <w:tcBorders>
              <w:top w:val="single" w:color="000000" w:sz="4" w:space="0"/>
              <w:left w:val="single" w:color="000000" w:sz="6" w:space="0"/>
              <w:bottom w:val="single" w:color="000000" w:sz="6" w:space="0"/>
            </w:tcBorders>
            <w:vAlign w:val="center"/>
          </w:tcPr>
          <w:p w14:paraId="46A50294">
            <w:pPr>
              <w:contextualSpacing/>
              <w:jc w:val="center"/>
              <w:rPr>
                <w:b/>
                <w:bCs/>
              </w:rPr>
            </w:pPr>
            <w:r>
              <w:rPr>
                <w:b/>
                <w:bCs/>
              </w:rPr>
              <w:t>Модель ТС</w:t>
            </w:r>
          </w:p>
        </w:tc>
        <w:tc>
          <w:tcPr>
            <w:tcW w:w="2149" w:type="dxa"/>
            <w:tcBorders>
              <w:top w:val="single" w:color="000000" w:sz="4" w:space="0"/>
              <w:left w:val="single" w:color="000000" w:sz="4" w:space="0"/>
              <w:bottom w:val="single" w:color="000000" w:sz="6" w:space="0"/>
              <w:right w:val="single" w:color="000000" w:sz="4" w:space="0"/>
            </w:tcBorders>
          </w:tcPr>
          <w:p w14:paraId="4360BC36">
            <w:pPr>
              <w:contextualSpacing/>
              <w:jc w:val="center"/>
              <w:rPr>
                <w:b/>
                <w:bCs/>
              </w:rPr>
            </w:pPr>
            <w:r>
              <w:rPr>
                <w:b/>
                <w:bCs/>
              </w:rPr>
              <w:t>Номер транспортного ср-ва (</w:t>
            </w:r>
            <w:r>
              <w:rPr>
                <w:b/>
                <w:bCs/>
                <w:lang w:val="en-US"/>
              </w:rPr>
              <w:t>VIN</w:t>
            </w:r>
            <w:r>
              <w:rPr>
                <w:b/>
                <w:bCs/>
              </w:rPr>
              <w:t>)</w:t>
            </w:r>
          </w:p>
        </w:tc>
        <w:tc>
          <w:tcPr>
            <w:tcW w:w="1232" w:type="dxa"/>
            <w:tcBorders>
              <w:top w:val="single" w:color="000000" w:sz="4" w:space="0"/>
              <w:left w:val="single" w:color="000000" w:sz="4" w:space="0"/>
              <w:bottom w:val="single" w:color="000000" w:sz="6" w:space="0"/>
            </w:tcBorders>
            <w:vAlign w:val="center"/>
          </w:tcPr>
          <w:p w14:paraId="7121324A">
            <w:pPr>
              <w:contextualSpacing/>
              <w:jc w:val="center"/>
              <w:rPr>
                <w:b/>
                <w:bCs/>
              </w:rPr>
            </w:pPr>
            <w:r>
              <w:rPr>
                <w:b/>
                <w:bCs/>
              </w:rPr>
              <w:t>Гос.номер</w:t>
            </w:r>
          </w:p>
        </w:tc>
        <w:tc>
          <w:tcPr>
            <w:tcW w:w="1216" w:type="dxa"/>
            <w:tcBorders>
              <w:top w:val="single" w:color="000000" w:sz="4" w:space="0"/>
              <w:left w:val="single" w:color="000000" w:sz="4" w:space="0"/>
              <w:bottom w:val="single" w:color="000000" w:sz="6" w:space="0"/>
            </w:tcBorders>
          </w:tcPr>
          <w:p w14:paraId="21933673">
            <w:pPr>
              <w:ind w:right="-1"/>
              <w:contextualSpacing/>
              <w:jc w:val="center"/>
              <w:rPr>
                <w:b/>
                <w:bCs/>
              </w:rPr>
            </w:pPr>
            <w:r>
              <w:rPr>
                <w:b/>
                <w:bCs/>
              </w:rPr>
              <w:t>Категория ТС по свидетельству о регистрации ТС</w:t>
            </w:r>
          </w:p>
        </w:tc>
        <w:tc>
          <w:tcPr>
            <w:tcW w:w="1058" w:type="dxa"/>
            <w:tcBorders>
              <w:top w:val="single" w:color="000000" w:sz="4" w:space="0"/>
              <w:left w:val="single" w:color="000000" w:sz="4" w:space="0"/>
              <w:bottom w:val="single" w:color="000000" w:sz="6" w:space="0"/>
            </w:tcBorders>
          </w:tcPr>
          <w:p w14:paraId="279C8D1B">
            <w:pPr>
              <w:contextualSpacing/>
              <w:jc w:val="center"/>
              <w:rPr>
                <w:b/>
                <w:bCs/>
              </w:rPr>
            </w:pPr>
            <w:r>
              <w:rPr>
                <w:b/>
                <w:bCs/>
              </w:rPr>
              <w:t>Год выпуска</w:t>
            </w:r>
          </w:p>
        </w:tc>
        <w:tc>
          <w:tcPr>
            <w:tcW w:w="1438" w:type="dxa"/>
            <w:tcBorders>
              <w:top w:val="single" w:color="000000" w:sz="4" w:space="0"/>
              <w:left w:val="single" w:color="000000" w:sz="4" w:space="0"/>
              <w:bottom w:val="single" w:color="000000" w:sz="6" w:space="0"/>
              <w:right w:val="single" w:color="000000" w:sz="4" w:space="0"/>
            </w:tcBorders>
            <w:vAlign w:val="center"/>
          </w:tcPr>
          <w:p w14:paraId="1802276E">
            <w:pPr>
              <w:contextualSpacing/>
              <w:jc w:val="center"/>
              <w:rPr>
                <w:rFonts w:hint="default"/>
                <w:b/>
                <w:bCs/>
                <w:lang w:val="ru-RU"/>
              </w:rPr>
            </w:pPr>
            <w:r>
              <w:rPr>
                <w:rFonts w:hint="default"/>
                <w:b/>
                <w:bCs/>
                <w:lang w:val="ru-RU"/>
              </w:rPr>
              <w:t>Мощность двигателя ТС, кВт/</w:t>
            </w:r>
            <w:bookmarkStart w:id="20" w:name="_GoBack"/>
            <w:bookmarkEnd w:id="20"/>
            <w:r>
              <w:rPr>
                <w:rFonts w:hint="default"/>
                <w:b/>
                <w:bCs/>
                <w:lang w:val="ru-RU"/>
              </w:rPr>
              <w:t xml:space="preserve"> л.с.</w:t>
            </w:r>
          </w:p>
        </w:tc>
        <w:tc>
          <w:tcPr>
            <w:tcW w:w="1248" w:type="dxa"/>
            <w:tcBorders>
              <w:top w:val="single" w:color="000000" w:sz="4" w:space="0"/>
              <w:left w:val="single" w:color="000000" w:sz="4" w:space="0"/>
              <w:bottom w:val="single" w:color="000000" w:sz="6" w:space="0"/>
              <w:right w:val="single" w:color="000000" w:sz="4" w:space="0"/>
            </w:tcBorders>
            <w:vAlign w:val="center"/>
          </w:tcPr>
          <w:p w14:paraId="3BDE088B">
            <w:pPr>
              <w:contextualSpacing/>
              <w:jc w:val="center"/>
              <w:rPr>
                <w:b/>
                <w:bCs/>
              </w:rPr>
            </w:pPr>
            <w:r>
              <w:rPr>
                <w:b/>
                <w:bCs/>
              </w:rPr>
              <w:t>Период страхования</w:t>
            </w:r>
          </w:p>
        </w:tc>
      </w:tr>
      <w:tr w14:paraId="2EB1F594">
        <w:tblPrEx>
          <w:tblBorders>
            <w:top w:val="single" w:color="000000" w:sz="4" w:space="0"/>
            <w:left w:val="single" w:color="000000" w:sz="4" w:space="0"/>
            <w:bottom w:val="single" w:color="000000" w:sz="6" w:space="0"/>
            <w:right w:val="none" w:color="auto" w:sz="0" w:space="0"/>
            <w:insideH w:val="single" w:color="000000" w:sz="6" w:space="0"/>
            <w:insideV w:val="none" w:color="auto" w:sz="0" w:space="0"/>
          </w:tblBorders>
          <w:tblCellMar>
            <w:top w:w="0" w:type="dxa"/>
            <w:left w:w="27" w:type="dxa"/>
            <w:bottom w:w="0" w:type="dxa"/>
            <w:right w:w="0" w:type="dxa"/>
          </w:tblCellMar>
        </w:tblPrEx>
        <w:trPr>
          <w:trHeight w:val="463" w:hRule="atLeast"/>
          <w:jc w:val="center"/>
        </w:trPr>
        <w:tc>
          <w:tcPr>
            <w:tcW w:w="393" w:type="dxa"/>
            <w:tcBorders>
              <w:top w:val="single" w:color="000000" w:sz="6" w:space="0"/>
              <w:left w:val="single" w:color="000000" w:sz="4" w:space="0"/>
              <w:bottom w:val="single" w:color="000000" w:sz="6" w:space="0"/>
            </w:tcBorders>
          </w:tcPr>
          <w:p w14:paraId="5C912576">
            <w:pPr>
              <w:contextualSpacing/>
              <w:rPr>
                <w:bCs/>
              </w:rPr>
            </w:pPr>
            <w:r>
              <w:rPr>
                <w:bCs/>
              </w:rPr>
              <w:t>1</w:t>
            </w:r>
          </w:p>
        </w:tc>
        <w:tc>
          <w:tcPr>
            <w:tcW w:w="1102" w:type="dxa"/>
            <w:tcBorders>
              <w:top w:val="single" w:color="000000" w:sz="6" w:space="0"/>
              <w:left w:val="single" w:color="000000" w:sz="6" w:space="0"/>
              <w:bottom w:val="single" w:color="000000" w:sz="6" w:space="0"/>
            </w:tcBorders>
          </w:tcPr>
          <w:p w14:paraId="47571907">
            <w:pPr>
              <w:rPr>
                <w:sz w:val="20"/>
                <w:szCs w:val="20"/>
                <w:lang w:val="en-US"/>
              </w:rPr>
            </w:pPr>
            <w:r>
              <w:rPr>
                <w:sz w:val="20"/>
                <w:szCs w:val="20"/>
              </w:rPr>
              <w:t>УАЗ 3390995</w:t>
            </w:r>
          </w:p>
        </w:tc>
        <w:tc>
          <w:tcPr>
            <w:tcW w:w="2149" w:type="dxa"/>
            <w:tcBorders>
              <w:top w:val="single" w:color="000000" w:sz="6" w:space="0"/>
              <w:left w:val="single" w:color="000000" w:sz="4" w:space="0"/>
              <w:bottom w:val="single" w:color="000000" w:sz="6" w:space="0"/>
              <w:right w:val="single" w:color="000000" w:sz="4" w:space="0"/>
            </w:tcBorders>
            <w:vAlign w:val="center"/>
          </w:tcPr>
          <w:p w14:paraId="7367F05D">
            <w:pPr>
              <w:jc w:val="center"/>
              <w:rPr>
                <w:sz w:val="20"/>
                <w:szCs w:val="20"/>
              </w:rPr>
            </w:pPr>
            <w:r>
              <w:rPr>
                <w:sz w:val="20"/>
                <w:szCs w:val="20"/>
              </w:rPr>
              <w:t>ХТТ390995</w:t>
            </w:r>
            <w:r>
              <w:rPr>
                <w:sz w:val="20"/>
                <w:szCs w:val="20"/>
                <w:lang w:val="en-US"/>
              </w:rPr>
              <w:t>F12</w:t>
            </w:r>
            <w:r>
              <w:rPr>
                <w:sz w:val="20"/>
                <w:szCs w:val="20"/>
              </w:rPr>
              <w:t>18748</w:t>
            </w:r>
          </w:p>
        </w:tc>
        <w:tc>
          <w:tcPr>
            <w:tcW w:w="1232" w:type="dxa"/>
            <w:tcBorders>
              <w:top w:val="single" w:color="000000" w:sz="6" w:space="0"/>
              <w:left w:val="single" w:color="000000" w:sz="4" w:space="0"/>
              <w:bottom w:val="single" w:color="000000" w:sz="6" w:space="0"/>
            </w:tcBorders>
            <w:vAlign w:val="center"/>
          </w:tcPr>
          <w:p w14:paraId="757D2348">
            <w:pPr>
              <w:jc w:val="center"/>
              <w:rPr>
                <w:sz w:val="20"/>
                <w:szCs w:val="20"/>
              </w:rPr>
            </w:pPr>
            <w:r>
              <w:rPr>
                <w:sz w:val="20"/>
                <w:szCs w:val="20"/>
              </w:rPr>
              <w:t>Х338АА 116</w:t>
            </w:r>
          </w:p>
        </w:tc>
        <w:tc>
          <w:tcPr>
            <w:tcW w:w="1216" w:type="dxa"/>
            <w:tcBorders>
              <w:top w:val="single" w:color="000000" w:sz="6" w:space="0"/>
              <w:left w:val="single" w:color="000000" w:sz="4" w:space="0"/>
              <w:bottom w:val="single" w:color="000000" w:sz="6" w:space="0"/>
            </w:tcBorders>
            <w:vAlign w:val="center"/>
          </w:tcPr>
          <w:p w14:paraId="5CBF78F7">
            <w:pPr>
              <w:jc w:val="center"/>
              <w:rPr>
                <w:sz w:val="20"/>
                <w:szCs w:val="20"/>
              </w:rPr>
            </w:pPr>
            <w:r>
              <w:rPr>
                <w:sz w:val="20"/>
                <w:szCs w:val="20"/>
              </w:rPr>
              <w:t>В</w:t>
            </w:r>
          </w:p>
        </w:tc>
        <w:tc>
          <w:tcPr>
            <w:tcW w:w="1058" w:type="dxa"/>
            <w:tcBorders>
              <w:top w:val="single" w:color="000000" w:sz="6" w:space="0"/>
              <w:left w:val="single" w:color="000000" w:sz="4" w:space="0"/>
              <w:bottom w:val="single" w:color="000000" w:sz="6" w:space="0"/>
            </w:tcBorders>
            <w:vAlign w:val="center"/>
          </w:tcPr>
          <w:p w14:paraId="389086A7">
            <w:pPr>
              <w:jc w:val="center"/>
              <w:rPr>
                <w:sz w:val="20"/>
                <w:szCs w:val="20"/>
              </w:rPr>
            </w:pPr>
            <w:r>
              <w:rPr>
                <w:sz w:val="20"/>
                <w:szCs w:val="20"/>
              </w:rPr>
              <w:t>2014</w:t>
            </w:r>
          </w:p>
        </w:tc>
        <w:tc>
          <w:tcPr>
            <w:tcW w:w="143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6C152EDA">
            <w:pPr>
              <w:jc w:val="center"/>
              <w:rPr>
                <w:rFonts w:hint="default" w:ascii="Times New Roman" w:hAnsi="Times New Roman" w:eastAsia="Times New Roman" w:cs="Times New Roman"/>
                <w:sz w:val="20"/>
                <w:szCs w:val="20"/>
                <w:lang w:val="ru-RU" w:eastAsia="ru-RU" w:bidi="ar-SA"/>
              </w:rPr>
            </w:pPr>
            <w:r>
              <w:rPr>
                <w:rFonts w:hint="default"/>
                <w:sz w:val="20"/>
                <w:szCs w:val="20"/>
                <w:lang w:val="ru-RU"/>
              </w:rPr>
              <w:t>112,2 (82,5)</w:t>
            </w:r>
          </w:p>
        </w:tc>
        <w:tc>
          <w:tcPr>
            <w:tcW w:w="1248" w:type="dxa"/>
            <w:tcBorders>
              <w:top w:val="single" w:color="000000" w:sz="6" w:space="0"/>
              <w:left w:val="single" w:color="000000" w:sz="4" w:space="0"/>
              <w:bottom w:val="single" w:color="000000" w:sz="6" w:space="0"/>
              <w:right w:val="single" w:color="000000" w:sz="4" w:space="0"/>
            </w:tcBorders>
            <w:vAlign w:val="center"/>
          </w:tcPr>
          <w:p w14:paraId="1B8A963A">
            <w:pPr>
              <w:jc w:val="center"/>
              <w:rPr>
                <w:sz w:val="20"/>
                <w:szCs w:val="20"/>
              </w:rPr>
            </w:pPr>
            <w:r>
              <w:rPr>
                <w:sz w:val="20"/>
                <w:szCs w:val="20"/>
              </w:rPr>
              <w:t>Один год</w:t>
            </w:r>
          </w:p>
        </w:tc>
      </w:tr>
      <w:tr w14:paraId="4BF31668">
        <w:tblPrEx>
          <w:tblBorders>
            <w:top w:val="single" w:color="000000" w:sz="4" w:space="0"/>
            <w:left w:val="single" w:color="000000" w:sz="4" w:space="0"/>
            <w:bottom w:val="single" w:color="000000" w:sz="6" w:space="0"/>
            <w:right w:val="none" w:color="auto" w:sz="0" w:space="0"/>
            <w:insideH w:val="single" w:color="000000" w:sz="6" w:space="0"/>
            <w:insideV w:val="none" w:color="auto" w:sz="0" w:space="0"/>
          </w:tblBorders>
          <w:tblCellMar>
            <w:top w:w="0" w:type="dxa"/>
            <w:left w:w="27" w:type="dxa"/>
            <w:bottom w:w="0" w:type="dxa"/>
            <w:right w:w="0" w:type="dxa"/>
          </w:tblCellMar>
        </w:tblPrEx>
        <w:trPr>
          <w:trHeight w:val="463" w:hRule="atLeast"/>
          <w:jc w:val="center"/>
        </w:trPr>
        <w:tc>
          <w:tcPr>
            <w:tcW w:w="393" w:type="dxa"/>
            <w:tcBorders>
              <w:top w:val="single" w:color="000000" w:sz="6" w:space="0"/>
              <w:left w:val="single" w:color="000000" w:sz="4" w:space="0"/>
              <w:bottom w:val="single" w:color="000000" w:sz="6" w:space="0"/>
            </w:tcBorders>
          </w:tcPr>
          <w:p w14:paraId="2434FD8D">
            <w:pPr>
              <w:contextualSpacing/>
              <w:rPr>
                <w:bCs/>
              </w:rPr>
            </w:pPr>
            <w:r>
              <w:rPr>
                <w:bCs/>
              </w:rPr>
              <w:t>2</w:t>
            </w:r>
          </w:p>
        </w:tc>
        <w:tc>
          <w:tcPr>
            <w:tcW w:w="1102" w:type="dxa"/>
            <w:tcBorders>
              <w:top w:val="single" w:color="000000" w:sz="6" w:space="0"/>
              <w:left w:val="single" w:color="000000" w:sz="6" w:space="0"/>
              <w:bottom w:val="single" w:color="000000" w:sz="6" w:space="0"/>
            </w:tcBorders>
          </w:tcPr>
          <w:p w14:paraId="1FEFC951">
            <w:pPr>
              <w:rPr>
                <w:sz w:val="20"/>
                <w:szCs w:val="20"/>
              </w:rPr>
            </w:pPr>
            <w:r>
              <w:rPr>
                <w:sz w:val="20"/>
                <w:szCs w:val="20"/>
              </w:rPr>
              <w:t>ЛАДА 212140</w:t>
            </w:r>
          </w:p>
        </w:tc>
        <w:tc>
          <w:tcPr>
            <w:tcW w:w="2149" w:type="dxa"/>
            <w:tcBorders>
              <w:top w:val="single" w:color="000000" w:sz="6" w:space="0"/>
              <w:left w:val="single" w:color="000000" w:sz="4" w:space="0"/>
              <w:bottom w:val="single" w:color="000000" w:sz="6" w:space="0"/>
              <w:right w:val="single" w:color="000000" w:sz="4" w:space="0"/>
            </w:tcBorders>
            <w:vAlign w:val="center"/>
          </w:tcPr>
          <w:p w14:paraId="4D0AD9A7">
            <w:pPr>
              <w:jc w:val="center"/>
              <w:rPr>
                <w:sz w:val="20"/>
                <w:szCs w:val="20"/>
              </w:rPr>
            </w:pPr>
            <w:r>
              <w:rPr>
                <w:sz w:val="20"/>
                <w:szCs w:val="20"/>
              </w:rPr>
              <w:t>ХТА212140Е2169228</w:t>
            </w:r>
          </w:p>
        </w:tc>
        <w:tc>
          <w:tcPr>
            <w:tcW w:w="1232" w:type="dxa"/>
            <w:tcBorders>
              <w:top w:val="single" w:color="000000" w:sz="6" w:space="0"/>
              <w:left w:val="single" w:color="000000" w:sz="4" w:space="0"/>
              <w:bottom w:val="single" w:color="000000" w:sz="6" w:space="0"/>
            </w:tcBorders>
            <w:vAlign w:val="center"/>
          </w:tcPr>
          <w:p w14:paraId="344CC278">
            <w:pPr>
              <w:rPr>
                <w:sz w:val="20"/>
                <w:szCs w:val="20"/>
              </w:rPr>
            </w:pPr>
            <w:r>
              <w:rPr>
                <w:sz w:val="20"/>
                <w:szCs w:val="20"/>
              </w:rPr>
              <w:t xml:space="preserve">У699ВН 116        </w:t>
            </w:r>
          </w:p>
        </w:tc>
        <w:tc>
          <w:tcPr>
            <w:tcW w:w="1216" w:type="dxa"/>
            <w:tcBorders>
              <w:top w:val="single" w:color="000000" w:sz="6" w:space="0"/>
              <w:left w:val="single" w:color="000000" w:sz="4" w:space="0"/>
              <w:bottom w:val="single" w:color="000000" w:sz="6" w:space="0"/>
            </w:tcBorders>
            <w:vAlign w:val="center"/>
          </w:tcPr>
          <w:p w14:paraId="7FCD5785">
            <w:pPr>
              <w:jc w:val="center"/>
              <w:rPr>
                <w:sz w:val="20"/>
                <w:szCs w:val="20"/>
                <w:lang w:val="en-US"/>
              </w:rPr>
            </w:pPr>
            <w:r>
              <w:rPr>
                <w:sz w:val="20"/>
                <w:szCs w:val="20"/>
                <w:lang w:val="en-US"/>
              </w:rPr>
              <w:t>B</w:t>
            </w:r>
          </w:p>
        </w:tc>
        <w:tc>
          <w:tcPr>
            <w:tcW w:w="1058" w:type="dxa"/>
            <w:tcBorders>
              <w:top w:val="single" w:color="000000" w:sz="6" w:space="0"/>
              <w:left w:val="single" w:color="000000" w:sz="4" w:space="0"/>
              <w:bottom w:val="single" w:color="000000" w:sz="6" w:space="0"/>
            </w:tcBorders>
            <w:vAlign w:val="center"/>
          </w:tcPr>
          <w:p w14:paraId="03A39908">
            <w:pPr>
              <w:jc w:val="center"/>
              <w:rPr>
                <w:sz w:val="20"/>
                <w:szCs w:val="20"/>
              </w:rPr>
            </w:pPr>
            <w:r>
              <w:rPr>
                <w:sz w:val="20"/>
                <w:szCs w:val="20"/>
                <w:lang w:val="en-US"/>
              </w:rPr>
              <w:t>201</w:t>
            </w:r>
            <w:r>
              <w:rPr>
                <w:sz w:val="20"/>
                <w:szCs w:val="20"/>
              </w:rPr>
              <w:t>4</w:t>
            </w:r>
          </w:p>
        </w:tc>
        <w:tc>
          <w:tcPr>
            <w:tcW w:w="143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41D30DC8">
            <w:pPr>
              <w:jc w:val="center"/>
              <w:rPr>
                <w:rFonts w:hint="default" w:ascii="Times New Roman" w:hAnsi="Times New Roman" w:eastAsia="Times New Roman" w:cs="Times New Roman"/>
                <w:sz w:val="20"/>
                <w:szCs w:val="20"/>
                <w:lang w:val="ru-RU" w:eastAsia="ru-RU" w:bidi="ar-SA"/>
              </w:rPr>
            </w:pPr>
            <w:r>
              <w:rPr>
                <w:rFonts w:hint="default"/>
                <w:sz w:val="20"/>
                <w:szCs w:val="20"/>
                <w:lang w:val="ru-RU"/>
              </w:rPr>
              <w:t>82,9(61,0)</w:t>
            </w:r>
          </w:p>
        </w:tc>
        <w:tc>
          <w:tcPr>
            <w:tcW w:w="1248" w:type="dxa"/>
            <w:tcBorders>
              <w:top w:val="single" w:color="000000" w:sz="6" w:space="0"/>
              <w:left w:val="single" w:color="000000" w:sz="4" w:space="0"/>
              <w:bottom w:val="single" w:color="000000" w:sz="6" w:space="0"/>
              <w:right w:val="single" w:color="000000" w:sz="4" w:space="0"/>
            </w:tcBorders>
            <w:vAlign w:val="center"/>
          </w:tcPr>
          <w:p w14:paraId="36328A5E">
            <w:pPr>
              <w:jc w:val="center"/>
              <w:rPr>
                <w:sz w:val="20"/>
                <w:szCs w:val="20"/>
              </w:rPr>
            </w:pPr>
            <w:r>
              <w:rPr>
                <w:sz w:val="20"/>
                <w:szCs w:val="20"/>
              </w:rPr>
              <w:t>Один год</w:t>
            </w:r>
          </w:p>
        </w:tc>
      </w:tr>
      <w:tr w14:paraId="778DE23A">
        <w:tblPrEx>
          <w:tblBorders>
            <w:top w:val="single" w:color="000000" w:sz="4" w:space="0"/>
            <w:left w:val="single" w:color="000000" w:sz="4" w:space="0"/>
            <w:bottom w:val="single" w:color="000000" w:sz="6" w:space="0"/>
            <w:right w:val="none" w:color="auto" w:sz="0" w:space="0"/>
            <w:insideH w:val="single" w:color="000000" w:sz="6" w:space="0"/>
            <w:insideV w:val="none" w:color="auto" w:sz="0" w:space="0"/>
          </w:tblBorders>
          <w:tblCellMar>
            <w:top w:w="0" w:type="dxa"/>
            <w:left w:w="27" w:type="dxa"/>
            <w:bottom w:w="0" w:type="dxa"/>
            <w:right w:w="0" w:type="dxa"/>
          </w:tblCellMar>
        </w:tblPrEx>
        <w:trPr>
          <w:trHeight w:val="478" w:hRule="atLeast"/>
          <w:jc w:val="center"/>
        </w:trPr>
        <w:tc>
          <w:tcPr>
            <w:tcW w:w="393" w:type="dxa"/>
            <w:tcBorders>
              <w:top w:val="single" w:color="000000" w:sz="6" w:space="0"/>
              <w:left w:val="single" w:color="000000" w:sz="4" w:space="0"/>
              <w:bottom w:val="single" w:color="000000" w:sz="6" w:space="0"/>
            </w:tcBorders>
          </w:tcPr>
          <w:p w14:paraId="79EF1032">
            <w:pPr>
              <w:contextualSpacing/>
              <w:rPr>
                <w:bCs/>
              </w:rPr>
            </w:pPr>
            <w:r>
              <w:rPr>
                <w:bCs/>
              </w:rPr>
              <w:t>3</w:t>
            </w:r>
          </w:p>
        </w:tc>
        <w:tc>
          <w:tcPr>
            <w:tcW w:w="1102" w:type="dxa"/>
            <w:tcBorders>
              <w:top w:val="single" w:color="000000" w:sz="6" w:space="0"/>
              <w:left w:val="single" w:color="000000" w:sz="6" w:space="0"/>
              <w:bottom w:val="single" w:color="000000" w:sz="6" w:space="0"/>
            </w:tcBorders>
          </w:tcPr>
          <w:p w14:paraId="634D4AEB">
            <w:pPr>
              <w:rPr>
                <w:sz w:val="20"/>
                <w:szCs w:val="20"/>
              </w:rPr>
            </w:pPr>
            <w:r>
              <w:rPr>
                <w:sz w:val="20"/>
                <w:szCs w:val="20"/>
              </w:rPr>
              <w:t>ТАЙОТА-КАМРИ</w:t>
            </w:r>
          </w:p>
        </w:tc>
        <w:tc>
          <w:tcPr>
            <w:tcW w:w="2149" w:type="dxa"/>
            <w:tcBorders>
              <w:top w:val="single" w:color="000000" w:sz="6" w:space="0"/>
              <w:left w:val="single" w:color="000000" w:sz="4" w:space="0"/>
              <w:bottom w:val="single" w:color="000000" w:sz="6" w:space="0"/>
              <w:right w:val="single" w:color="000000" w:sz="4" w:space="0"/>
            </w:tcBorders>
            <w:vAlign w:val="center"/>
          </w:tcPr>
          <w:p w14:paraId="274003D9">
            <w:pPr>
              <w:jc w:val="center"/>
              <w:rPr>
                <w:sz w:val="20"/>
                <w:szCs w:val="20"/>
              </w:rPr>
            </w:pPr>
            <w:r>
              <w:rPr>
                <w:sz w:val="20"/>
                <w:szCs w:val="20"/>
                <w:lang w:val="en-US"/>
              </w:rPr>
              <w:t>XW7BF4FK20S031710</w:t>
            </w:r>
          </w:p>
        </w:tc>
        <w:tc>
          <w:tcPr>
            <w:tcW w:w="1232" w:type="dxa"/>
            <w:tcBorders>
              <w:top w:val="single" w:color="000000" w:sz="6" w:space="0"/>
              <w:left w:val="single" w:color="000000" w:sz="4" w:space="0"/>
              <w:bottom w:val="single" w:color="000000" w:sz="6" w:space="0"/>
            </w:tcBorders>
            <w:vAlign w:val="center"/>
          </w:tcPr>
          <w:p w14:paraId="5DE05394">
            <w:pPr>
              <w:rPr>
                <w:sz w:val="20"/>
                <w:szCs w:val="20"/>
              </w:rPr>
            </w:pPr>
            <w:r>
              <w:rPr>
                <w:sz w:val="20"/>
                <w:szCs w:val="20"/>
              </w:rPr>
              <w:t>Т806АХ 116</w:t>
            </w:r>
          </w:p>
        </w:tc>
        <w:tc>
          <w:tcPr>
            <w:tcW w:w="1216" w:type="dxa"/>
            <w:tcBorders>
              <w:top w:val="single" w:color="000000" w:sz="6" w:space="0"/>
              <w:left w:val="single" w:color="000000" w:sz="4" w:space="0"/>
              <w:bottom w:val="single" w:color="000000" w:sz="6" w:space="0"/>
            </w:tcBorders>
            <w:vAlign w:val="center"/>
          </w:tcPr>
          <w:p w14:paraId="01F33401">
            <w:pPr>
              <w:jc w:val="center"/>
              <w:rPr>
                <w:sz w:val="20"/>
                <w:szCs w:val="20"/>
              </w:rPr>
            </w:pPr>
            <w:r>
              <w:rPr>
                <w:sz w:val="20"/>
                <w:szCs w:val="20"/>
              </w:rPr>
              <w:t>В</w:t>
            </w:r>
          </w:p>
        </w:tc>
        <w:tc>
          <w:tcPr>
            <w:tcW w:w="1058" w:type="dxa"/>
            <w:tcBorders>
              <w:top w:val="single" w:color="000000" w:sz="6" w:space="0"/>
              <w:left w:val="single" w:color="000000" w:sz="4" w:space="0"/>
              <w:bottom w:val="single" w:color="000000" w:sz="6" w:space="0"/>
            </w:tcBorders>
            <w:vAlign w:val="center"/>
          </w:tcPr>
          <w:p w14:paraId="6A1EB8AB">
            <w:pPr>
              <w:jc w:val="center"/>
              <w:rPr>
                <w:sz w:val="20"/>
                <w:szCs w:val="20"/>
              </w:rPr>
            </w:pPr>
            <w:r>
              <w:rPr>
                <w:sz w:val="20"/>
                <w:szCs w:val="20"/>
              </w:rPr>
              <w:t>2013</w:t>
            </w:r>
          </w:p>
        </w:tc>
        <w:tc>
          <w:tcPr>
            <w:tcW w:w="143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5AB5CFAA">
            <w:pPr>
              <w:jc w:val="center"/>
              <w:rPr>
                <w:rFonts w:hint="default" w:ascii="Times New Roman" w:hAnsi="Times New Roman" w:eastAsia="Times New Roman" w:cs="Times New Roman"/>
                <w:sz w:val="20"/>
                <w:szCs w:val="20"/>
                <w:lang w:val="ru-RU" w:eastAsia="ru-RU" w:bidi="ar-SA"/>
              </w:rPr>
            </w:pPr>
            <w:r>
              <w:rPr>
                <w:rFonts w:hint="default"/>
                <w:sz w:val="20"/>
                <w:szCs w:val="20"/>
                <w:lang w:val="ru-RU"/>
              </w:rPr>
              <w:t>181 (133)</w:t>
            </w:r>
          </w:p>
        </w:tc>
        <w:tc>
          <w:tcPr>
            <w:tcW w:w="1248" w:type="dxa"/>
            <w:tcBorders>
              <w:top w:val="single" w:color="000000" w:sz="6" w:space="0"/>
              <w:left w:val="single" w:color="000000" w:sz="4" w:space="0"/>
              <w:bottom w:val="single" w:color="000000" w:sz="6" w:space="0"/>
              <w:right w:val="single" w:color="000000" w:sz="4" w:space="0"/>
            </w:tcBorders>
            <w:vAlign w:val="center"/>
          </w:tcPr>
          <w:p w14:paraId="379F5BB4">
            <w:pPr>
              <w:jc w:val="center"/>
              <w:rPr>
                <w:sz w:val="20"/>
                <w:szCs w:val="20"/>
              </w:rPr>
            </w:pPr>
            <w:r>
              <w:rPr>
                <w:sz w:val="20"/>
                <w:szCs w:val="20"/>
              </w:rPr>
              <w:t>Один год</w:t>
            </w:r>
          </w:p>
        </w:tc>
      </w:tr>
    </w:tbl>
    <w:p w14:paraId="174BB4EF">
      <w:pPr>
        <w:rPr>
          <w:i/>
        </w:rPr>
      </w:pPr>
    </w:p>
    <w:p w14:paraId="54F2261D">
      <w:pPr>
        <w:rPr>
          <w:sz w:val="18"/>
          <w:szCs w:val="18"/>
        </w:rPr>
      </w:pPr>
    </w:p>
    <w:p w14:paraId="51114A48">
      <w:pPr>
        <w:rPr>
          <w:sz w:val="18"/>
          <w:szCs w:val="18"/>
        </w:rPr>
      </w:pPr>
    </w:p>
    <w:p w14:paraId="1410E63F">
      <w:pPr>
        <w:rPr>
          <w:sz w:val="18"/>
          <w:szCs w:val="18"/>
        </w:rPr>
      </w:pPr>
    </w:p>
    <w:p w14:paraId="0F03BD4F">
      <w:pPr>
        <w:rPr>
          <w:sz w:val="18"/>
          <w:szCs w:val="18"/>
        </w:rPr>
      </w:pPr>
    </w:p>
    <w:p w14:paraId="25DE2370"/>
    <w:p w14:paraId="1B47E4CA">
      <w:pPr>
        <w:tabs>
          <w:tab w:val="left" w:pos="1965"/>
        </w:tabs>
      </w:pPr>
      <w:r>
        <w:t>Техническое задание подготовил:</w:t>
      </w:r>
    </w:p>
    <w:p w14:paraId="782E8542">
      <w:pPr>
        <w:tabs>
          <w:tab w:val="left" w:pos="1965"/>
        </w:tabs>
      </w:pPr>
    </w:p>
    <w:p w14:paraId="4CD558AB">
      <w:pPr>
        <w:tabs>
          <w:tab w:val="left" w:pos="1965"/>
        </w:tabs>
      </w:pPr>
      <w:r>
        <w:t>Главный механик</w:t>
      </w:r>
    </w:p>
    <w:p w14:paraId="2F2C5004">
      <w:pPr>
        <w:tabs>
          <w:tab w:val="left" w:pos="1965"/>
          <w:tab w:val="left" w:pos="6510"/>
        </w:tabs>
      </w:pPr>
      <w:r>
        <w:t xml:space="preserve">ФГБУ «Национальный парк «Нижняя Кама» </w:t>
      </w:r>
      <w:r>
        <w:tab/>
      </w:r>
      <w:r>
        <w:t xml:space="preserve">                       Добродеев С.А.</w:t>
      </w:r>
    </w:p>
    <w:p w14:paraId="3957743B">
      <w:pPr>
        <w:tabs>
          <w:tab w:val="left" w:pos="1965"/>
        </w:tabs>
        <w:rPr>
          <w:sz w:val="18"/>
          <w:szCs w:val="18"/>
        </w:rPr>
      </w:pPr>
      <w:r>
        <w:rPr>
          <w:sz w:val="18"/>
          <w:szCs w:val="18"/>
        </w:rPr>
        <w:t xml:space="preserve">       </w:t>
      </w:r>
      <w:bookmarkEnd w:id="18"/>
    </w:p>
    <w:sectPr>
      <w:pgSz w:w="11906" w:h="16838"/>
      <w:pgMar w:top="426" w:right="737" w:bottom="360" w:left="1077"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CC"/>
    <w:family w:val="roman"/>
    <w:pitch w:val="default"/>
    <w:sig w:usb0="E00006FF" w:usb1="420024FF" w:usb2="02000000" w:usb3="00000000" w:csb0="2000019F" w:csb1="00000000"/>
  </w:font>
  <w:font w:name="Consultant">
    <w:altName w:val="Courier New"/>
    <w:panose1 w:val="00000000000000000000"/>
    <w:charset w:val="00"/>
    <w:family w:val="modern"/>
    <w:pitch w:val="default"/>
    <w:sig w:usb0="00000000" w:usb1="00000000" w:usb2="00000000" w:usb3="00000000" w:csb0="00000001" w:csb1="00000000"/>
  </w:font>
  <w:font w:name="Symbol">
    <w:panose1 w:val="05050102010706020507"/>
    <w:charset w:val="02"/>
    <w:family w:val="roman"/>
    <w:pitch w:val="default"/>
    <w:sig w:usb0="00000000" w:usb1="00000000" w:usb2="00000000" w:usb3="00000000" w:csb0="80000000" w:csb1="00000000"/>
  </w:font>
  <w:font w:name="Lucida Sans Unicode">
    <w:panose1 w:val="020B0602030504020204"/>
    <w:charset w:val="CC"/>
    <w:family w:val="swiss"/>
    <w:pitch w:val="default"/>
    <w:sig w:usb0="80001AFF" w:usb1="0000396B" w:usb2="00000000" w:usb3="00000000" w:csb0="200000BF" w:csb1="D7F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6566E5"/>
    <w:multiLevelType w:val="multilevel"/>
    <w:tmpl w:val="156566E5"/>
    <w:lvl w:ilvl="0" w:tentative="0">
      <w:start w:val="1"/>
      <w:numFmt w:val="decimal"/>
      <w:lvlText w:val="%1."/>
      <w:lvlJc w:val="left"/>
      <w:pPr>
        <w:tabs>
          <w:tab w:val="left" w:pos="720"/>
        </w:tabs>
        <w:ind w:left="720" w:hanging="360"/>
      </w:pPr>
      <w:rPr>
        <w:rFonts w:ascii="Times New Roman" w:hAnsi="Times New Roman" w:eastAsia="Times New Roman" w:cs="Times New Roman"/>
      </w:rPr>
    </w:lvl>
    <w:lvl w:ilvl="1" w:tentative="0">
      <w:start w:val="0"/>
      <w:numFmt w:val="none"/>
      <w:lvlText w:val=""/>
      <w:lvlJc w:val="left"/>
      <w:pPr>
        <w:tabs>
          <w:tab w:val="left" w:pos="360"/>
        </w:tabs>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none"/>
      <w:lvlText w:val=""/>
      <w:lvlJc w:val="left"/>
      <w:pPr>
        <w:tabs>
          <w:tab w:val="left" w:pos="360"/>
        </w:tabs>
      </w:pPr>
      <w:rPr>
        <w:rFonts w:cs="Times New Roman"/>
      </w:rPr>
    </w:lvl>
    <w:lvl w:ilvl="5" w:tentative="0">
      <w:start w:val="0"/>
      <w:numFmt w:val="none"/>
      <w:lvlText w:val=""/>
      <w:lvlJc w:val="left"/>
      <w:pPr>
        <w:tabs>
          <w:tab w:val="left" w:pos="360"/>
        </w:tabs>
      </w:pPr>
      <w:rPr>
        <w:rFonts w:cs="Times New Roman"/>
      </w:rPr>
    </w:lvl>
    <w:lvl w:ilvl="6" w:tentative="0">
      <w:start w:val="0"/>
      <w:numFmt w:val="none"/>
      <w:lvlText w:val=""/>
      <w:lvlJc w:val="left"/>
      <w:pPr>
        <w:tabs>
          <w:tab w:val="left" w:pos="360"/>
        </w:tabs>
      </w:pPr>
      <w:rPr>
        <w:rFonts w:cs="Times New Roman"/>
      </w:rPr>
    </w:lvl>
    <w:lvl w:ilvl="7" w:tentative="0">
      <w:start w:val="0"/>
      <w:numFmt w:val="none"/>
      <w:lvlText w:val=""/>
      <w:lvlJc w:val="left"/>
      <w:pPr>
        <w:tabs>
          <w:tab w:val="left" w:pos="360"/>
        </w:tabs>
      </w:pPr>
      <w:rPr>
        <w:rFonts w:cs="Times New Roman"/>
      </w:rPr>
    </w:lvl>
    <w:lvl w:ilvl="8" w:tentative="0">
      <w:start w:val="0"/>
      <w:numFmt w:val="none"/>
      <w:lvlText w:val=""/>
      <w:lvlJc w:val="left"/>
      <w:pPr>
        <w:tabs>
          <w:tab w:val="left" w:pos="360"/>
        </w:tabs>
      </w:pPr>
      <w:rPr>
        <w:rFonts w:cs="Times New Roman"/>
      </w:rPr>
    </w:lvl>
  </w:abstractNum>
  <w:abstractNum w:abstractNumId="1">
    <w:nsid w:val="2F1C7D32"/>
    <w:multiLevelType w:val="multilevel"/>
    <w:tmpl w:val="2F1C7D32"/>
    <w:lvl w:ilvl="0" w:tentative="0">
      <w:start w:val="1"/>
      <w:numFmt w:val="bullet"/>
      <w:lvlText w:val=""/>
      <w:lvlJc w:val="left"/>
      <w:pPr>
        <w:tabs>
          <w:tab w:val="left" w:pos="397"/>
        </w:tabs>
        <w:ind w:left="567" w:hanging="207"/>
      </w:pPr>
      <w:rPr>
        <w:rFonts w:hint="default" w:ascii="Symbol" w:hAnsi="Symbol"/>
      </w:rPr>
    </w:lvl>
    <w:lvl w:ilvl="1" w:tentative="0">
      <w:start w:val="0"/>
      <w:numFmt w:val="bullet"/>
      <w:lvlText w:val="-"/>
      <w:lvlJc w:val="left"/>
      <w:pPr>
        <w:tabs>
          <w:tab w:val="left" w:pos="2856"/>
        </w:tabs>
        <w:ind w:left="2856" w:hanging="360"/>
      </w:pPr>
      <w:rPr>
        <w:rFonts w:hint="default" w:ascii="Times New Roman" w:hAnsi="Times New Roman" w:eastAsia="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2"/>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D4"/>
    <w:rsid w:val="0000252F"/>
    <w:rsid w:val="00003890"/>
    <w:rsid w:val="00003AE6"/>
    <w:rsid w:val="0000403A"/>
    <w:rsid w:val="00005355"/>
    <w:rsid w:val="00012112"/>
    <w:rsid w:val="000149A0"/>
    <w:rsid w:val="00015D28"/>
    <w:rsid w:val="000176AE"/>
    <w:rsid w:val="00017A12"/>
    <w:rsid w:val="00020840"/>
    <w:rsid w:val="00021372"/>
    <w:rsid w:val="00025B0F"/>
    <w:rsid w:val="00026F8E"/>
    <w:rsid w:val="000275B0"/>
    <w:rsid w:val="000305BF"/>
    <w:rsid w:val="00031FCF"/>
    <w:rsid w:val="00033DD9"/>
    <w:rsid w:val="00035B6F"/>
    <w:rsid w:val="000370AC"/>
    <w:rsid w:val="00043316"/>
    <w:rsid w:val="00044494"/>
    <w:rsid w:val="000515D9"/>
    <w:rsid w:val="00053FE5"/>
    <w:rsid w:val="0006528F"/>
    <w:rsid w:val="00065FCF"/>
    <w:rsid w:val="00070817"/>
    <w:rsid w:val="00070844"/>
    <w:rsid w:val="000727FB"/>
    <w:rsid w:val="000729F5"/>
    <w:rsid w:val="00082A02"/>
    <w:rsid w:val="00083926"/>
    <w:rsid w:val="00084B36"/>
    <w:rsid w:val="000866D0"/>
    <w:rsid w:val="00087B8A"/>
    <w:rsid w:val="00090251"/>
    <w:rsid w:val="000905CE"/>
    <w:rsid w:val="00094A5B"/>
    <w:rsid w:val="00095174"/>
    <w:rsid w:val="000960D8"/>
    <w:rsid w:val="000A0592"/>
    <w:rsid w:val="000A0991"/>
    <w:rsid w:val="000A238B"/>
    <w:rsid w:val="000A5EB0"/>
    <w:rsid w:val="000A64C4"/>
    <w:rsid w:val="000B31EE"/>
    <w:rsid w:val="000B3F2D"/>
    <w:rsid w:val="000B40F0"/>
    <w:rsid w:val="000B6A1D"/>
    <w:rsid w:val="000B76DC"/>
    <w:rsid w:val="000C191D"/>
    <w:rsid w:val="000C387D"/>
    <w:rsid w:val="000D08FF"/>
    <w:rsid w:val="000D0BB7"/>
    <w:rsid w:val="000D3B66"/>
    <w:rsid w:val="000D5230"/>
    <w:rsid w:val="000D6B7F"/>
    <w:rsid w:val="000D7495"/>
    <w:rsid w:val="000E0611"/>
    <w:rsid w:val="000E2519"/>
    <w:rsid w:val="000E5A65"/>
    <w:rsid w:val="000E5C1C"/>
    <w:rsid w:val="000F0A2D"/>
    <w:rsid w:val="000F295E"/>
    <w:rsid w:val="000F62D0"/>
    <w:rsid w:val="00102C4D"/>
    <w:rsid w:val="0010352C"/>
    <w:rsid w:val="001055D8"/>
    <w:rsid w:val="0010673C"/>
    <w:rsid w:val="00107976"/>
    <w:rsid w:val="00107BFD"/>
    <w:rsid w:val="00111E25"/>
    <w:rsid w:val="001167C4"/>
    <w:rsid w:val="0011743F"/>
    <w:rsid w:val="00121E0D"/>
    <w:rsid w:val="0012200B"/>
    <w:rsid w:val="00124389"/>
    <w:rsid w:val="00124E5D"/>
    <w:rsid w:val="0013007F"/>
    <w:rsid w:val="00131135"/>
    <w:rsid w:val="00131468"/>
    <w:rsid w:val="001318CC"/>
    <w:rsid w:val="0014223D"/>
    <w:rsid w:val="00142C08"/>
    <w:rsid w:val="00144BB5"/>
    <w:rsid w:val="00154DAE"/>
    <w:rsid w:val="00157B87"/>
    <w:rsid w:val="0016178E"/>
    <w:rsid w:val="00161B0B"/>
    <w:rsid w:val="001626F7"/>
    <w:rsid w:val="00163433"/>
    <w:rsid w:val="00164795"/>
    <w:rsid w:val="00170C37"/>
    <w:rsid w:val="00173F17"/>
    <w:rsid w:val="0018028B"/>
    <w:rsid w:val="00184CD0"/>
    <w:rsid w:val="00187074"/>
    <w:rsid w:val="001938D7"/>
    <w:rsid w:val="001A37DE"/>
    <w:rsid w:val="001A649B"/>
    <w:rsid w:val="001B3DEF"/>
    <w:rsid w:val="001B705A"/>
    <w:rsid w:val="001B7977"/>
    <w:rsid w:val="001C15AE"/>
    <w:rsid w:val="001C64BC"/>
    <w:rsid w:val="001D22CF"/>
    <w:rsid w:val="001D2DF4"/>
    <w:rsid w:val="001E1BE8"/>
    <w:rsid w:val="001E2564"/>
    <w:rsid w:val="001E2904"/>
    <w:rsid w:val="001E2D5F"/>
    <w:rsid w:val="001E3171"/>
    <w:rsid w:val="001E570A"/>
    <w:rsid w:val="001E6E8F"/>
    <w:rsid w:val="001F3F41"/>
    <w:rsid w:val="001F46BD"/>
    <w:rsid w:val="00203CE3"/>
    <w:rsid w:val="00204B7A"/>
    <w:rsid w:val="00207C69"/>
    <w:rsid w:val="002101AD"/>
    <w:rsid w:val="00212625"/>
    <w:rsid w:val="00220301"/>
    <w:rsid w:val="00227ECA"/>
    <w:rsid w:val="002300E1"/>
    <w:rsid w:val="00230723"/>
    <w:rsid w:val="00230E9A"/>
    <w:rsid w:val="002341B0"/>
    <w:rsid w:val="0023699B"/>
    <w:rsid w:val="002424D1"/>
    <w:rsid w:val="002429A6"/>
    <w:rsid w:val="00244C61"/>
    <w:rsid w:val="002526F5"/>
    <w:rsid w:val="00253BBA"/>
    <w:rsid w:val="00261F4F"/>
    <w:rsid w:val="002627E6"/>
    <w:rsid w:val="00265A68"/>
    <w:rsid w:val="00265CD1"/>
    <w:rsid w:val="00271D7D"/>
    <w:rsid w:val="00280A39"/>
    <w:rsid w:val="00280F58"/>
    <w:rsid w:val="002820A9"/>
    <w:rsid w:val="00287DC7"/>
    <w:rsid w:val="00287E40"/>
    <w:rsid w:val="00292C88"/>
    <w:rsid w:val="00293623"/>
    <w:rsid w:val="00294E0D"/>
    <w:rsid w:val="002954E4"/>
    <w:rsid w:val="00297F45"/>
    <w:rsid w:val="002A00AB"/>
    <w:rsid w:val="002A0BC9"/>
    <w:rsid w:val="002A2C2B"/>
    <w:rsid w:val="002A3BEC"/>
    <w:rsid w:val="002B0EA1"/>
    <w:rsid w:val="002B3F67"/>
    <w:rsid w:val="002C1992"/>
    <w:rsid w:val="002C2227"/>
    <w:rsid w:val="002C5AF0"/>
    <w:rsid w:val="002D00E7"/>
    <w:rsid w:val="002D5116"/>
    <w:rsid w:val="002D615F"/>
    <w:rsid w:val="002D69FB"/>
    <w:rsid w:val="002D6A62"/>
    <w:rsid w:val="002E4577"/>
    <w:rsid w:val="002E6E55"/>
    <w:rsid w:val="002F2458"/>
    <w:rsid w:val="002F508E"/>
    <w:rsid w:val="002F600C"/>
    <w:rsid w:val="002F61DE"/>
    <w:rsid w:val="00300793"/>
    <w:rsid w:val="00302B38"/>
    <w:rsid w:val="00303F12"/>
    <w:rsid w:val="00304ACB"/>
    <w:rsid w:val="00305B04"/>
    <w:rsid w:val="00306982"/>
    <w:rsid w:val="00317521"/>
    <w:rsid w:val="00320444"/>
    <w:rsid w:val="003239DB"/>
    <w:rsid w:val="0033325A"/>
    <w:rsid w:val="003360C9"/>
    <w:rsid w:val="00336F25"/>
    <w:rsid w:val="003378B2"/>
    <w:rsid w:val="003442B2"/>
    <w:rsid w:val="00346E78"/>
    <w:rsid w:val="00352F64"/>
    <w:rsid w:val="003638F7"/>
    <w:rsid w:val="00365C30"/>
    <w:rsid w:val="00367EE5"/>
    <w:rsid w:val="003718F7"/>
    <w:rsid w:val="0037433B"/>
    <w:rsid w:val="00382C13"/>
    <w:rsid w:val="003912FF"/>
    <w:rsid w:val="00393232"/>
    <w:rsid w:val="00397EDA"/>
    <w:rsid w:val="003A265E"/>
    <w:rsid w:val="003A591D"/>
    <w:rsid w:val="003A5E1B"/>
    <w:rsid w:val="003B2D79"/>
    <w:rsid w:val="003B315F"/>
    <w:rsid w:val="003B5029"/>
    <w:rsid w:val="003C4543"/>
    <w:rsid w:val="003C7E91"/>
    <w:rsid w:val="003D00A2"/>
    <w:rsid w:val="003D2632"/>
    <w:rsid w:val="003D7069"/>
    <w:rsid w:val="003E2636"/>
    <w:rsid w:val="003E34E3"/>
    <w:rsid w:val="003E3FBD"/>
    <w:rsid w:val="003E6C5B"/>
    <w:rsid w:val="003E6D05"/>
    <w:rsid w:val="003E7793"/>
    <w:rsid w:val="003F397F"/>
    <w:rsid w:val="003F4456"/>
    <w:rsid w:val="003F657C"/>
    <w:rsid w:val="00403C55"/>
    <w:rsid w:val="00406BA9"/>
    <w:rsid w:val="00407880"/>
    <w:rsid w:val="0041066F"/>
    <w:rsid w:val="0041404E"/>
    <w:rsid w:val="0041676E"/>
    <w:rsid w:val="00416E3D"/>
    <w:rsid w:val="0041707F"/>
    <w:rsid w:val="0041780C"/>
    <w:rsid w:val="00420D9F"/>
    <w:rsid w:val="00421AC0"/>
    <w:rsid w:val="00425464"/>
    <w:rsid w:val="004305B6"/>
    <w:rsid w:val="00431A0A"/>
    <w:rsid w:val="00431EBF"/>
    <w:rsid w:val="0043289E"/>
    <w:rsid w:val="00434045"/>
    <w:rsid w:val="0043638D"/>
    <w:rsid w:val="00437983"/>
    <w:rsid w:val="004400E8"/>
    <w:rsid w:val="004408C4"/>
    <w:rsid w:val="00447253"/>
    <w:rsid w:val="0044754F"/>
    <w:rsid w:val="00451067"/>
    <w:rsid w:val="004514A9"/>
    <w:rsid w:val="00452D9A"/>
    <w:rsid w:val="0045625C"/>
    <w:rsid w:val="00457E2F"/>
    <w:rsid w:val="00462FA9"/>
    <w:rsid w:val="00463858"/>
    <w:rsid w:val="00463A47"/>
    <w:rsid w:val="00464928"/>
    <w:rsid w:val="00474FA3"/>
    <w:rsid w:val="0047719D"/>
    <w:rsid w:val="00482CA4"/>
    <w:rsid w:val="00482D93"/>
    <w:rsid w:val="00486424"/>
    <w:rsid w:val="00486F79"/>
    <w:rsid w:val="004875E6"/>
    <w:rsid w:val="00490E37"/>
    <w:rsid w:val="00491E6D"/>
    <w:rsid w:val="00493C9F"/>
    <w:rsid w:val="00495AEF"/>
    <w:rsid w:val="00496265"/>
    <w:rsid w:val="004972B0"/>
    <w:rsid w:val="004A0A66"/>
    <w:rsid w:val="004A4509"/>
    <w:rsid w:val="004B2188"/>
    <w:rsid w:val="004B2B58"/>
    <w:rsid w:val="004B47B8"/>
    <w:rsid w:val="004B50D8"/>
    <w:rsid w:val="004C3467"/>
    <w:rsid w:val="004C4048"/>
    <w:rsid w:val="004C6833"/>
    <w:rsid w:val="004C6FAD"/>
    <w:rsid w:val="004C708D"/>
    <w:rsid w:val="004C713A"/>
    <w:rsid w:val="004C7E40"/>
    <w:rsid w:val="004C7FC1"/>
    <w:rsid w:val="004D25BA"/>
    <w:rsid w:val="004D5A5E"/>
    <w:rsid w:val="004D5B9F"/>
    <w:rsid w:val="004D62C0"/>
    <w:rsid w:val="004D65C5"/>
    <w:rsid w:val="004E0568"/>
    <w:rsid w:val="004E52DD"/>
    <w:rsid w:val="004E536D"/>
    <w:rsid w:val="004E6B94"/>
    <w:rsid w:val="004F41BC"/>
    <w:rsid w:val="004F7960"/>
    <w:rsid w:val="0050185C"/>
    <w:rsid w:val="005020DA"/>
    <w:rsid w:val="005059FA"/>
    <w:rsid w:val="00507162"/>
    <w:rsid w:val="00507FEA"/>
    <w:rsid w:val="0051116D"/>
    <w:rsid w:val="00511B41"/>
    <w:rsid w:val="00512D18"/>
    <w:rsid w:val="00514CBB"/>
    <w:rsid w:val="005162E0"/>
    <w:rsid w:val="00520AC5"/>
    <w:rsid w:val="005214A6"/>
    <w:rsid w:val="00522E91"/>
    <w:rsid w:val="00531690"/>
    <w:rsid w:val="005355D1"/>
    <w:rsid w:val="005428D9"/>
    <w:rsid w:val="0054302B"/>
    <w:rsid w:val="00543CCE"/>
    <w:rsid w:val="00544AB2"/>
    <w:rsid w:val="00550648"/>
    <w:rsid w:val="00550AAD"/>
    <w:rsid w:val="00553257"/>
    <w:rsid w:val="00553C42"/>
    <w:rsid w:val="00555DD1"/>
    <w:rsid w:val="00563DAF"/>
    <w:rsid w:val="00567DA6"/>
    <w:rsid w:val="005706F9"/>
    <w:rsid w:val="00573182"/>
    <w:rsid w:val="00574570"/>
    <w:rsid w:val="00586736"/>
    <w:rsid w:val="00587114"/>
    <w:rsid w:val="005874B2"/>
    <w:rsid w:val="005877D8"/>
    <w:rsid w:val="00590473"/>
    <w:rsid w:val="00592B6D"/>
    <w:rsid w:val="00597F50"/>
    <w:rsid w:val="005A397A"/>
    <w:rsid w:val="005A6860"/>
    <w:rsid w:val="005B3303"/>
    <w:rsid w:val="005B5E77"/>
    <w:rsid w:val="005B70E7"/>
    <w:rsid w:val="005C6339"/>
    <w:rsid w:val="005D674C"/>
    <w:rsid w:val="005D744B"/>
    <w:rsid w:val="005E65AE"/>
    <w:rsid w:val="005E69C3"/>
    <w:rsid w:val="005E72E9"/>
    <w:rsid w:val="005F15E5"/>
    <w:rsid w:val="005F4192"/>
    <w:rsid w:val="0060020F"/>
    <w:rsid w:val="00600F4D"/>
    <w:rsid w:val="006126BF"/>
    <w:rsid w:val="006128D1"/>
    <w:rsid w:val="006175D0"/>
    <w:rsid w:val="00623650"/>
    <w:rsid w:val="0062370D"/>
    <w:rsid w:val="006277B8"/>
    <w:rsid w:val="00627C9A"/>
    <w:rsid w:val="00631EC0"/>
    <w:rsid w:val="00633940"/>
    <w:rsid w:val="00633EBD"/>
    <w:rsid w:val="0063562A"/>
    <w:rsid w:val="0064369F"/>
    <w:rsid w:val="00643AA9"/>
    <w:rsid w:val="00646C7C"/>
    <w:rsid w:val="0065498D"/>
    <w:rsid w:val="00660E8D"/>
    <w:rsid w:val="00664754"/>
    <w:rsid w:val="00666524"/>
    <w:rsid w:val="006728DB"/>
    <w:rsid w:val="00674E5F"/>
    <w:rsid w:val="006751A8"/>
    <w:rsid w:val="00677CA9"/>
    <w:rsid w:val="00680DBE"/>
    <w:rsid w:val="0068110E"/>
    <w:rsid w:val="006857DC"/>
    <w:rsid w:val="006913B7"/>
    <w:rsid w:val="0069249D"/>
    <w:rsid w:val="0069452A"/>
    <w:rsid w:val="00694668"/>
    <w:rsid w:val="00694C69"/>
    <w:rsid w:val="006A3E23"/>
    <w:rsid w:val="006B5598"/>
    <w:rsid w:val="006B6A08"/>
    <w:rsid w:val="006B74BA"/>
    <w:rsid w:val="006C1879"/>
    <w:rsid w:val="006C2CD4"/>
    <w:rsid w:val="006C592B"/>
    <w:rsid w:val="006D31E7"/>
    <w:rsid w:val="006E0418"/>
    <w:rsid w:val="006E68B9"/>
    <w:rsid w:val="006F0966"/>
    <w:rsid w:val="006F1C64"/>
    <w:rsid w:val="006F2772"/>
    <w:rsid w:val="007003C3"/>
    <w:rsid w:val="00703B1A"/>
    <w:rsid w:val="007050AD"/>
    <w:rsid w:val="00705C79"/>
    <w:rsid w:val="00711608"/>
    <w:rsid w:val="007123DF"/>
    <w:rsid w:val="00713F45"/>
    <w:rsid w:val="0072302E"/>
    <w:rsid w:val="007241B7"/>
    <w:rsid w:val="00726987"/>
    <w:rsid w:val="007276DE"/>
    <w:rsid w:val="0073197C"/>
    <w:rsid w:val="007326B3"/>
    <w:rsid w:val="00735875"/>
    <w:rsid w:val="007444A5"/>
    <w:rsid w:val="00744E69"/>
    <w:rsid w:val="00757242"/>
    <w:rsid w:val="00760B70"/>
    <w:rsid w:val="00764CBE"/>
    <w:rsid w:val="00765110"/>
    <w:rsid w:val="00765537"/>
    <w:rsid w:val="00772F26"/>
    <w:rsid w:val="00781824"/>
    <w:rsid w:val="00781C3C"/>
    <w:rsid w:val="007830B2"/>
    <w:rsid w:val="00784944"/>
    <w:rsid w:val="00784B30"/>
    <w:rsid w:val="00785F99"/>
    <w:rsid w:val="00787F32"/>
    <w:rsid w:val="00793C4D"/>
    <w:rsid w:val="007945DE"/>
    <w:rsid w:val="00797348"/>
    <w:rsid w:val="00797B4B"/>
    <w:rsid w:val="007A1571"/>
    <w:rsid w:val="007A5068"/>
    <w:rsid w:val="007A531A"/>
    <w:rsid w:val="007A6A97"/>
    <w:rsid w:val="007B0D8F"/>
    <w:rsid w:val="007B100B"/>
    <w:rsid w:val="007B5587"/>
    <w:rsid w:val="007B5E89"/>
    <w:rsid w:val="007B6C06"/>
    <w:rsid w:val="007C39A8"/>
    <w:rsid w:val="007D31FD"/>
    <w:rsid w:val="007D6850"/>
    <w:rsid w:val="007E233D"/>
    <w:rsid w:val="007E2E8D"/>
    <w:rsid w:val="007E5628"/>
    <w:rsid w:val="007F02BA"/>
    <w:rsid w:val="007F5315"/>
    <w:rsid w:val="007F5748"/>
    <w:rsid w:val="007F7009"/>
    <w:rsid w:val="00801C5F"/>
    <w:rsid w:val="00803065"/>
    <w:rsid w:val="00803684"/>
    <w:rsid w:val="00804D53"/>
    <w:rsid w:val="00804F67"/>
    <w:rsid w:val="00810559"/>
    <w:rsid w:val="00814539"/>
    <w:rsid w:val="00820A0F"/>
    <w:rsid w:val="00823D12"/>
    <w:rsid w:val="008250A9"/>
    <w:rsid w:val="008311D1"/>
    <w:rsid w:val="008324F7"/>
    <w:rsid w:val="00837875"/>
    <w:rsid w:val="00840592"/>
    <w:rsid w:val="0084120D"/>
    <w:rsid w:val="008474DE"/>
    <w:rsid w:val="00852510"/>
    <w:rsid w:val="008530A5"/>
    <w:rsid w:val="00863312"/>
    <w:rsid w:val="0086786A"/>
    <w:rsid w:val="00867990"/>
    <w:rsid w:val="00867B89"/>
    <w:rsid w:val="00873869"/>
    <w:rsid w:val="00877B62"/>
    <w:rsid w:val="00881C3B"/>
    <w:rsid w:val="00882955"/>
    <w:rsid w:val="008830F2"/>
    <w:rsid w:val="008872E4"/>
    <w:rsid w:val="008904D5"/>
    <w:rsid w:val="008935AF"/>
    <w:rsid w:val="00895C2D"/>
    <w:rsid w:val="00897EF9"/>
    <w:rsid w:val="008A1D79"/>
    <w:rsid w:val="008A2F79"/>
    <w:rsid w:val="008A301E"/>
    <w:rsid w:val="008A5253"/>
    <w:rsid w:val="008A7557"/>
    <w:rsid w:val="008B201C"/>
    <w:rsid w:val="008B3E20"/>
    <w:rsid w:val="008B46AE"/>
    <w:rsid w:val="008B581F"/>
    <w:rsid w:val="008C367D"/>
    <w:rsid w:val="008C51FA"/>
    <w:rsid w:val="008C557D"/>
    <w:rsid w:val="008D2090"/>
    <w:rsid w:val="008D23A0"/>
    <w:rsid w:val="008D3A07"/>
    <w:rsid w:val="008E1830"/>
    <w:rsid w:val="008E407F"/>
    <w:rsid w:val="008E49EF"/>
    <w:rsid w:val="008E5DE0"/>
    <w:rsid w:val="008E70D1"/>
    <w:rsid w:val="008E71A2"/>
    <w:rsid w:val="008F3D61"/>
    <w:rsid w:val="00900FCE"/>
    <w:rsid w:val="009015CD"/>
    <w:rsid w:val="00904EB4"/>
    <w:rsid w:val="00910193"/>
    <w:rsid w:val="00912AA3"/>
    <w:rsid w:val="00922B9B"/>
    <w:rsid w:val="009252E2"/>
    <w:rsid w:val="009324EE"/>
    <w:rsid w:val="00937561"/>
    <w:rsid w:val="00941BB8"/>
    <w:rsid w:val="009442A7"/>
    <w:rsid w:val="00951E8C"/>
    <w:rsid w:val="009521E0"/>
    <w:rsid w:val="00952941"/>
    <w:rsid w:val="00952E3C"/>
    <w:rsid w:val="00955494"/>
    <w:rsid w:val="009600F4"/>
    <w:rsid w:val="00962944"/>
    <w:rsid w:val="0096485F"/>
    <w:rsid w:val="00965355"/>
    <w:rsid w:val="0097305A"/>
    <w:rsid w:val="009820AB"/>
    <w:rsid w:val="00982527"/>
    <w:rsid w:val="00986490"/>
    <w:rsid w:val="009918F1"/>
    <w:rsid w:val="00996A8B"/>
    <w:rsid w:val="00996CD7"/>
    <w:rsid w:val="009A1492"/>
    <w:rsid w:val="009A6C37"/>
    <w:rsid w:val="009A7519"/>
    <w:rsid w:val="009B2764"/>
    <w:rsid w:val="009B4355"/>
    <w:rsid w:val="009B6004"/>
    <w:rsid w:val="009B6B64"/>
    <w:rsid w:val="009C08EE"/>
    <w:rsid w:val="009C42A3"/>
    <w:rsid w:val="009D1BB2"/>
    <w:rsid w:val="009F031F"/>
    <w:rsid w:val="009F18D9"/>
    <w:rsid w:val="009F2A38"/>
    <w:rsid w:val="009F5C23"/>
    <w:rsid w:val="009F66D9"/>
    <w:rsid w:val="00A01384"/>
    <w:rsid w:val="00A01493"/>
    <w:rsid w:val="00A01569"/>
    <w:rsid w:val="00A01657"/>
    <w:rsid w:val="00A01F87"/>
    <w:rsid w:val="00A10917"/>
    <w:rsid w:val="00A12CC5"/>
    <w:rsid w:val="00A15519"/>
    <w:rsid w:val="00A171DF"/>
    <w:rsid w:val="00A177F1"/>
    <w:rsid w:val="00A20B16"/>
    <w:rsid w:val="00A21FFE"/>
    <w:rsid w:val="00A23975"/>
    <w:rsid w:val="00A2713B"/>
    <w:rsid w:val="00A319BC"/>
    <w:rsid w:val="00A3353C"/>
    <w:rsid w:val="00A34054"/>
    <w:rsid w:val="00A37F4E"/>
    <w:rsid w:val="00A40746"/>
    <w:rsid w:val="00A438C9"/>
    <w:rsid w:val="00A444E0"/>
    <w:rsid w:val="00A51A06"/>
    <w:rsid w:val="00A51EDD"/>
    <w:rsid w:val="00A53850"/>
    <w:rsid w:val="00A53A53"/>
    <w:rsid w:val="00A53E28"/>
    <w:rsid w:val="00A542EE"/>
    <w:rsid w:val="00A55A21"/>
    <w:rsid w:val="00A56DF0"/>
    <w:rsid w:val="00A60B7D"/>
    <w:rsid w:val="00A63FD9"/>
    <w:rsid w:val="00A64E59"/>
    <w:rsid w:val="00A742DE"/>
    <w:rsid w:val="00A7484F"/>
    <w:rsid w:val="00A757E2"/>
    <w:rsid w:val="00A75D44"/>
    <w:rsid w:val="00A82134"/>
    <w:rsid w:val="00A82FAF"/>
    <w:rsid w:val="00A84DFE"/>
    <w:rsid w:val="00A86A19"/>
    <w:rsid w:val="00A86F21"/>
    <w:rsid w:val="00A870D1"/>
    <w:rsid w:val="00A92C6C"/>
    <w:rsid w:val="00A96D2F"/>
    <w:rsid w:val="00A96EB6"/>
    <w:rsid w:val="00AA1DEB"/>
    <w:rsid w:val="00AA2EF3"/>
    <w:rsid w:val="00AA2F68"/>
    <w:rsid w:val="00AA2FDF"/>
    <w:rsid w:val="00AA651A"/>
    <w:rsid w:val="00AA6A3E"/>
    <w:rsid w:val="00AA6A57"/>
    <w:rsid w:val="00AB1988"/>
    <w:rsid w:val="00AB251A"/>
    <w:rsid w:val="00AB6FE1"/>
    <w:rsid w:val="00AC0EF6"/>
    <w:rsid w:val="00AC50B0"/>
    <w:rsid w:val="00AC6E77"/>
    <w:rsid w:val="00AD2FCA"/>
    <w:rsid w:val="00AD7419"/>
    <w:rsid w:val="00AF38F0"/>
    <w:rsid w:val="00B0031D"/>
    <w:rsid w:val="00B04E6B"/>
    <w:rsid w:val="00B102B5"/>
    <w:rsid w:val="00B1052B"/>
    <w:rsid w:val="00B1057C"/>
    <w:rsid w:val="00B10F61"/>
    <w:rsid w:val="00B118BD"/>
    <w:rsid w:val="00B12F74"/>
    <w:rsid w:val="00B20E8C"/>
    <w:rsid w:val="00B22857"/>
    <w:rsid w:val="00B31695"/>
    <w:rsid w:val="00B34EAC"/>
    <w:rsid w:val="00B458A0"/>
    <w:rsid w:val="00B52F56"/>
    <w:rsid w:val="00B54393"/>
    <w:rsid w:val="00B55BA3"/>
    <w:rsid w:val="00B6159F"/>
    <w:rsid w:val="00B6481D"/>
    <w:rsid w:val="00B64E8A"/>
    <w:rsid w:val="00B67CD2"/>
    <w:rsid w:val="00B67E7A"/>
    <w:rsid w:val="00B724E8"/>
    <w:rsid w:val="00B752BF"/>
    <w:rsid w:val="00B85F3F"/>
    <w:rsid w:val="00B94C03"/>
    <w:rsid w:val="00B95A0E"/>
    <w:rsid w:val="00B971CC"/>
    <w:rsid w:val="00B97701"/>
    <w:rsid w:val="00BA22F9"/>
    <w:rsid w:val="00BA4B8A"/>
    <w:rsid w:val="00BB2BC0"/>
    <w:rsid w:val="00BB3ADA"/>
    <w:rsid w:val="00BC1425"/>
    <w:rsid w:val="00BC4FC1"/>
    <w:rsid w:val="00BC63DD"/>
    <w:rsid w:val="00BC75BE"/>
    <w:rsid w:val="00BC7D53"/>
    <w:rsid w:val="00BD610E"/>
    <w:rsid w:val="00BD6205"/>
    <w:rsid w:val="00BE04B9"/>
    <w:rsid w:val="00BE2BA3"/>
    <w:rsid w:val="00BE35F2"/>
    <w:rsid w:val="00BE3DF7"/>
    <w:rsid w:val="00BE50E2"/>
    <w:rsid w:val="00BF0B21"/>
    <w:rsid w:val="00BF185B"/>
    <w:rsid w:val="00BF35B1"/>
    <w:rsid w:val="00BF62B2"/>
    <w:rsid w:val="00BF78B7"/>
    <w:rsid w:val="00C00DEF"/>
    <w:rsid w:val="00C0512C"/>
    <w:rsid w:val="00C069B8"/>
    <w:rsid w:val="00C10B47"/>
    <w:rsid w:val="00C143CB"/>
    <w:rsid w:val="00C163F9"/>
    <w:rsid w:val="00C22BE7"/>
    <w:rsid w:val="00C2707D"/>
    <w:rsid w:val="00C314CD"/>
    <w:rsid w:val="00C31F56"/>
    <w:rsid w:val="00C41971"/>
    <w:rsid w:val="00C41CD6"/>
    <w:rsid w:val="00C467C6"/>
    <w:rsid w:val="00C51328"/>
    <w:rsid w:val="00C53757"/>
    <w:rsid w:val="00C54172"/>
    <w:rsid w:val="00C548F0"/>
    <w:rsid w:val="00C62C2A"/>
    <w:rsid w:val="00C62EC6"/>
    <w:rsid w:val="00C65F4D"/>
    <w:rsid w:val="00C70AB1"/>
    <w:rsid w:val="00C7512D"/>
    <w:rsid w:val="00C77BF9"/>
    <w:rsid w:val="00C800AF"/>
    <w:rsid w:val="00C81EB8"/>
    <w:rsid w:val="00C83739"/>
    <w:rsid w:val="00C85FB5"/>
    <w:rsid w:val="00C91990"/>
    <w:rsid w:val="00C93441"/>
    <w:rsid w:val="00C937D4"/>
    <w:rsid w:val="00C94723"/>
    <w:rsid w:val="00CA6698"/>
    <w:rsid w:val="00CA7BE3"/>
    <w:rsid w:val="00CB18EB"/>
    <w:rsid w:val="00CB4AAA"/>
    <w:rsid w:val="00CC054E"/>
    <w:rsid w:val="00CC4295"/>
    <w:rsid w:val="00CC7004"/>
    <w:rsid w:val="00CC7886"/>
    <w:rsid w:val="00CD1FF3"/>
    <w:rsid w:val="00CD5A92"/>
    <w:rsid w:val="00CE10BC"/>
    <w:rsid w:val="00CE1CB6"/>
    <w:rsid w:val="00CE31B0"/>
    <w:rsid w:val="00CE3713"/>
    <w:rsid w:val="00CE3A0E"/>
    <w:rsid w:val="00CE4BE7"/>
    <w:rsid w:val="00CE6479"/>
    <w:rsid w:val="00CE7BBD"/>
    <w:rsid w:val="00CF066C"/>
    <w:rsid w:val="00CF0D36"/>
    <w:rsid w:val="00D01584"/>
    <w:rsid w:val="00D11613"/>
    <w:rsid w:val="00D1478B"/>
    <w:rsid w:val="00D17D02"/>
    <w:rsid w:val="00D22CFE"/>
    <w:rsid w:val="00D24449"/>
    <w:rsid w:val="00D253A6"/>
    <w:rsid w:val="00D314C2"/>
    <w:rsid w:val="00D33ED1"/>
    <w:rsid w:val="00D3479A"/>
    <w:rsid w:val="00D401E3"/>
    <w:rsid w:val="00D51319"/>
    <w:rsid w:val="00D51C2C"/>
    <w:rsid w:val="00D57A63"/>
    <w:rsid w:val="00D63CE4"/>
    <w:rsid w:val="00D65765"/>
    <w:rsid w:val="00D67F22"/>
    <w:rsid w:val="00D7189A"/>
    <w:rsid w:val="00D77431"/>
    <w:rsid w:val="00D77DD9"/>
    <w:rsid w:val="00D8121E"/>
    <w:rsid w:val="00D86566"/>
    <w:rsid w:val="00D91488"/>
    <w:rsid w:val="00D91990"/>
    <w:rsid w:val="00D94FCF"/>
    <w:rsid w:val="00D964F0"/>
    <w:rsid w:val="00D96D96"/>
    <w:rsid w:val="00DA00D0"/>
    <w:rsid w:val="00DA0BCB"/>
    <w:rsid w:val="00DA12C7"/>
    <w:rsid w:val="00DA4971"/>
    <w:rsid w:val="00DA5633"/>
    <w:rsid w:val="00DA6500"/>
    <w:rsid w:val="00DA66F9"/>
    <w:rsid w:val="00DB05C1"/>
    <w:rsid w:val="00DB0883"/>
    <w:rsid w:val="00DB2F7A"/>
    <w:rsid w:val="00DB7301"/>
    <w:rsid w:val="00DD0542"/>
    <w:rsid w:val="00DD1231"/>
    <w:rsid w:val="00DD3668"/>
    <w:rsid w:val="00DD4E86"/>
    <w:rsid w:val="00DD57C1"/>
    <w:rsid w:val="00DE1C7B"/>
    <w:rsid w:val="00DE431D"/>
    <w:rsid w:val="00DE58A3"/>
    <w:rsid w:val="00DF1AE5"/>
    <w:rsid w:val="00DF282B"/>
    <w:rsid w:val="00DF5B5B"/>
    <w:rsid w:val="00DF71CF"/>
    <w:rsid w:val="00E06993"/>
    <w:rsid w:val="00E07C2E"/>
    <w:rsid w:val="00E1797F"/>
    <w:rsid w:val="00E17C14"/>
    <w:rsid w:val="00E276EA"/>
    <w:rsid w:val="00E305CB"/>
    <w:rsid w:val="00E33365"/>
    <w:rsid w:val="00E34BE0"/>
    <w:rsid w:val="00E36E89"/>
    <w:rsid w:val="00E45D40"/>
    <w:rsid w:val="00E460D3"/>
    <w:rsid w:val="00E46D8A"/>
    <w:rsid w:val="00E47972"/>
    <w:rsid w:val="00E47D0E"/>
    <w:rsid w:val="00E52AC1"/>
    <w:rsid w:val="00E537A7"/>
    <w:rsid w:val="00E55348"/>
    <w:rsid w:val="00E570A1"/>
    <w:rsid w:val="00E5725C"/>
    <w:rsid w:val="00E60355"/>
    <w:rsid w:val="00E60B3D"/>
    <w:rsid w:val="00E60B6D"/>
    <w:rsid w:val="00E61FDA"/>
    <w:rsid w:val="00E739FE"/>
    <w:rsid w:val="00E77305"/>
    <w:rsid w:val="00E82E86"/>
    <w:rsid w:val="00E84726"/>
    <w:rsid w:val="00E86519"/>
    <w:rsid w:val="00E91260"/>
    <w:rsid w:val="00E9594F"/>
    <w:rsid w:val="00EA0531"/>
    <w:rsid w:val="00EA39D8"/>
    <w:rsid w:val="00EA4540"/>
    <w:rsid w:val="00EA5F37"/>
    <w:rsid w:val="00EA6915"/>
    <w:rsid w:val="00EB0662"/>
    <w:rsid w:val="00EB5F9E"/>
    <w:rsid w:val="00EB71F6"/>
    <w:rsid w:val="00EB7BBE"/>
    <w:rsid w:val="00ED0955"/>
    <w:rsid w:val="00EE0C0E"/>
    <w:rsid w:val="00EE1ACB"/>
    <w:rsid w:val="00EE509A"/>
    <w:rsid w:val="00EE687E"/>
    <w:rsid w:val="00EF28F4"/>
    <w:rsid w:val="00EF454F"/>
    <w:rsid w:val="00EF6456"/>
    <w:rsid w:val="00EF725F"/>
    <w:rsid w:val="00F00162"/>
    <w:rsid w:val="00F01F1C"/>
    <w:rsid w:val="00F02BFA"/>
    <w:rsid w:val="00F04747"/>
    <w:rsid w:val="00F072D8"/>
    <w:rsid w:val="00F11A4D"/>
    <w:rsid w:val="00F11E73"/>
    <w:rsid w:val="00F123AA"/>
    <w:rsid w:val="00F12F47"/>
    <w:rsid w:val="00F1597A"/>
    <w:rsid w:val="00F211B7"/>
    <w:rsid w:val="00F21BED"/>
    <w:rsid w:val="00F226F2"/>
    <w:rsid w:val="00F23DDA"/>
    <w:rsid w:val="00F31773"/>
    <w:rsid w:val="00F3332B"/>
    <w:rsid w:val="00F33966"/>
    <w:rsid w:val="00F44D69"/>
    <w:rsid w:val="00F50286"/>
    <w:rsid w:val="00F518DC"/>
    <w:rsid w:val="00F54397"/>
    <w:rsid w:val="00F54742"/>
    <w:rsid w:val="00F554B7"/>
    <w:rsid w:val="00F55561"/>
    <w:rsid w:val="00F630FE"/>
    <w:rsid w:val="00F6332D"/>
    <w:rsid w:val="00F639BD"/>
    <w:rsid w:val="00F647E8"/>
    <w:rsid w:val="00F70E29"/>
    <w:rsid w:val="00F7162F"/>
    <w:rsid w:val="00F72685"/>
    <w:rsid w:val="00F75ECD"/>
    <w:rsid w:val="00F77338"/>
    <w:rsid w:val="00F801EE"/>
    <w:rsid w:val="00F81F0F"/>
    <w:rsid w:val="00F82009"/>
    <w:rsid w:val="00F85732"/>
    <w:rsid w:val="00F91F36"/>
    <w:rsid w:val="00F95456"/>
    <w:rsid w:val="00FA0303"/>
    <w:rsid w:val="00FA04D7"/>
    <w:rsid w:val="00FA3F3B"/>
    <w:rsid w:val="00FA6137"/>
    <w:rsid w:val="00FA6447"/>
    <w:rsid w:val="00FA7F88"/>
    <w:rsid w:val="00FB45CE"/>
    <w:rsid w:val="00FC0012"/>
    <w:rsid w:val="00FC1B1D"/>
    <w:rsid w:val="00FC20B6"/>
    <w:rsid w:val="00FC6782"/>
    <w:rsid w:val="00FD10C0"/>
    <w:rsid w:val="00FE08A3"/>
    <w:rsid w:val="00FE0C4C"/>
    <w:rsid w:val="00FE22F6"/>
    <w:rsid w:val="00FE3D6F"/>
    <w:rsid w:val="00FE3FE6"/>
    <w:rsid w:val="00FE7D11"/>
    <w:rsid w:val="00FF0220"/>
    <w:rsid w:val="00FF0D8E"/>
    <w:rsid w:val="00FF5773"/>
    <w:rsid w:val="00FF5E0E"/>
    <w:rsid w:val="0C7E735A"/>
    <w:rsid w:val="17584301"/>
    <w:rsid w:val="1D8A3AD8"/>
    <w:rsid w:val="3FC4689C"/>
    <w:rsid w:val="48ED3752"/>
    <w:rsid w:val="4CDE27FE"/>
    <w:rsid w:val="5B5422E8"/>
    <w:rsid w:val="6CF663D8"/>
    <w:rsid w:val="78956BE1"/>
    <w:rsid w:val="7C8D5272"/>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qFormat="1" w:unhideWhenUsed="0" w:uiPriority="99" w:name="Balloon Text"/>
    <w:lsdException w:unhideWhenUsed="0" w:uiPriority="0" w:semiHidden="0" w:name="Table Grid" w:locked="1"/>
    <w:lsdException w:unhideWhenUsed="0" w:uiPriority="99" w:semiHidden="0" w:name="Table Theme"/>
    <w:lsdException w:qFormat="1"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12"/>
    <w:qFormat/>
    <w:locked/>
    <w:uiPriority w:val="99"/>
    <w:pPr>
      <w:keepNext/>
      <w:spacing w:before="240" w:after="60"/>
      <w:outlineLvl w:val="0"/>
    </w:pPr>
    <w:rPr>
      <w:rFonts w:ascii="Arial" w:hAnsi="Arial" w:cs="Arial"/>
      <w:b/>
      <w:bCs/>
      <w:kern w:val="32"/>
      <w:sz w:val="32"/>
      <w:szCs w:val="32"/>
    </w:rPr>
  </w:style>
  <w:style w:type="paragraph" w:styleId="3">
    <w:name w:val="heading 2"/>
    <w:basedOn w:val="1"/>
    <w:link w:val="13"/>
    <w:qFormat/>
    <w:uiPriority w:val="99"/>
    <w:pPr>
      <w:spacing w:before="300" w:after="300"/>
      <w:outlineLvl w:val="1"/>
    </w:pPr>
    <w:rPr>
      <w:sz w:val="36"/>
      <w:szCs w:val="3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qFormat/>
    <w:uiPriority w:val="99"/>
    <w:rPr>
      <w:rFonts w:cs="Times New Roman"/>
      <w:color w:val="0000FF"/>
      <w:u w:val="single"/>
    </w:rPr>
  </w:style>
  <w:style w:type="paragraph" w:styleId="7">
    <w:name w:val="Balloon Text"/>
    <w:basedOn w:val="1"/>
    <w:link w:val="17"/>
    <w:semiHidden/>
    <w:qFormat/>
    <w:uiPriority w:val="99"/>
    <w:rPr>
      <w:rFonts w:ascii="Tahoma" w:hAnsi="Tahoma" w:cs="Tahoma"/>
      <w:sz w:val="16"/>
      <w:szCs w:val="16"/>
    </w:rPr>
  </w:style>
  <w:style w:type="paragraph" w:styleId="8">
    <w:name w:val="Body Text 2"/>
    <w:basedOn w:val="1"/>
    <w:link w:val="18"/>
    <w:semiHidden/>
    <w:qFormat/>
    <w:uiPriority w:val="99"/>
    <w:pPr>
      <w:spacing w:after="120" w:line="480" w:lineRule="auto"/>
    </w:pPr>
    <w:rPr>
      <w:rFonts w:ascii="Calibri" w:hAnsi="Calibri"/>
      <w:sz w:val="22"/>
      <w:szCs w:val="22"/>
      <w:lang w:eastAsia="en-US"/>
    </w:rPr>
  </w:style>
  <w:style w:type="paragraph" w:styleId="9">
    <w:name w:val="Body Text"/>
    <w:basedOn w:val="1"/>
    <w:link w:val="14"/>
    <w:qFormat/>
    <w:uiPriority w:val="99"/>
    <w:pPr>
      <w:jc w:val="both"/>
    </w:pPr>
    <w:rPr>
      <w:color w:val="000000"/>
    </w:rPr>
  </w:style>
  <w:style w:type="paragraph" w:styleId="10">
    <w:name w:val="Body Text Indent"/>
    <w:basedOn w:val="1"/>
    <w:link w:val="15"/>
    <w:qFormat/>
    <w:uiPriority w:val="99"/>
    <w:pPr>
      <w:ind w:firstLine="540"/>
      <w:jc w:val="both"/>
    </w:pPr>
    <w:rPr>
      <w:color w:val="000000"/>
      <w:sz w:val="20"/>
      <w:szCs w:val="21"/>
    </w:rPr>
  </w:style>
  <w:style w:type="paragraph" w:styleId="11">
    <w:name w:val="Title"/>
    <w:basedOn w:val="1"/>
    <w:link w:val="19"/>
    <w:qFormat/>
    <w:uiPriority w:val="99"/>
    <w:pPr>
      <w:widowControl w:val="0"/>
      <w:jc w:val="center"/>
    </w:pPr>
    <w:rPr>
      <w:szCs w:val="20"/>
    </w:rPr>
  </w:style>
  <w:style w:type="character" w:customStyle="1" w:styleId="12">
    <w:name w:val="Заголовок 1 Знак"/>
    <w:basedOn w:val="4"/>
    <w:link w:val="2"/>
    <w:qFormat/>
    <w:locked/>
    <w:uiPriority w:val="99"/>
    <w:rPr>
      <w:rFonts w:ascii="Cambria" w:hAnsi="Cambria" w:cs="Times New Roman"/>
      <w:b/>
      <w:bCs/>
      <w:kern w:val="32"/>
      <w:sz w:val="32"/>
      <w:szCs w:val="32"/>
    </w:rPr>
  </w:style>
  <w:style w:type="character" w:customStyle="1" w:styleId="13">
    <w:name w:val="Заголовок 2 Знак"/>
    <w:basedOn w:val="4"/>
    <w:link w:val="3"/>
    <w:qFormat/>
    <w:locked/>
    <w:uiPriority w:val="99"/>
    <w:rPr>
      <w:rFonts w:cs="Times New Roman"/>
      <w:sz w:val="36"/>
      <w:szCs w:val="36"/>
    </w:rPr>
  </w:style>
  <w:style w:type="character" w:customStyle="1" w:styleId="14">
    <w:name w:val="Основной текст Знак"/>
    <w:basedOn w:val="4"/>
    <w:link w:val="9"/>
    <w:semiHidden/>
    <w:qFormat/>
    <w:locked/>
    <w:uiPriority w:val="99"/>
    <w:rPr>
      <w:rFonts w:cs="Times New Roman"/>
      <w:sz w:val="24"/>
      <w:szCs w:val="24"/>
    </w:rPr>
  </w:style>
  <w:style w:type="character" w:customStyle="1" w:styleId="15">
    <w:name w:val="Основной текст с отступом Знак"/>
    <w:basedOn w:val="4"/>
    <w:link w:val="10"/>
    <w:semiHidden/>
    <w:qFormat/>
    <w:locked/>
    <w:uiPriority w:val="99"/>
    <w:rPr>
      <w:rFonts w:cs="Times New Roman"/>
      <w:sz w:val="24"/>
      <w:szCs w:val="24"/>
    </w:rPr>
  </w:style>
  <w:style w:type="paragraph" w:customStyle="1" w:styleId="16">
    <w:name w:val="Nonformat"/>
    <w:basedOn w:val="1"/>
    <w:qFormat/>
    <w:uiPriority w:val="99"/>
    <w:rPr>
      <w:rFonts w:ascii="Consultant" w:hAnsi="Consultant"/>
      <w:sz w:val="20"/>
      <w:szCs w:val="20"/>
    </w:rPr>
  </w:style>
  <w:style w:type="character" w:customStyle="1" w:styleId="17">
    <w:name w:val="Текст выноски Знак"/>
    <w:basedOn w:val="4"/>
    <w:link w:val="7"/>
    <w:semiHidden/>
    <w:qFormat/>
    <w:locked/>
    <w:uiPriority w:val="99"/>
    <w:rPr>
      <w:rFonts w:cs="Times New Roman"/>
      <w:sz w:val="2"/>
    </w:rPr>
  </w:style>
  <w:style w:type="character" w:customStyle="1" w:styleId="18">
    <w:name w:val="Основной текст 2 Знак"/>
    <w:basedOn w:val="4"/>
    <w:link w:val="8"/>
    <w:semiHidden/>
    <w:qFormat/>
    <w:locked/>
    <w:uiPriority w:val="99"/>
    <w:rPr>
      <w:rFonts w:ascii="Calibri" w:hAnsi="Calibri" w:cs="Times New Roman"/>
      <w:sz w:val="22"/>
      <w:szCs w:val="22"/>
      <w:lang w:eastAsia="en-US"/>
    </w:rPr>
  </w:style>
  <w:style w:type="character" w:customStyle="1" w:styleId="19">
    <w:name w:val="Заголовок Знак"/>
    <w:basedOn w:val="4"/>
    <w:link w:val="11"/>
    <w:qFormat/>
    <w:locked/>
    <w:uiPriority w:val="99"/>
    <w:rPr>
      <w:rFonts w:cs="Times New Roman"/>
      <w:sz w:val="24"/>
    </w:rPr>
  </w:style>
  <w:style w:type="paragraph" w:styleId="20">
    <w:name w:val="List Paragraph"/>
    <w:basedOn w:val="1"/>
    <w:qFormat/>
    <w:uiPriority w:val="99"/>
    <w:pPr>
      <w:widowControl w:val="0"/>
      <w:ind w:left="708"/>
    </w:pPr>
    <w:rPr>
      <w:sz w:val="26"/>
      <w:szCs w:val="20"/>
    </w:rPr>
  </w:style>
  <w:style w:type="character" w:customStyle="1" w:styleId="21">
    <w:name w:val="blk"/>
    <w:basedOn w:val="4"/>
    <w:qFormat/>
    <w:uiPriority w:val="99"/>
    <w:rPr>
      <w:rFonts w:cs="Times New Roman"/>
    </w:rPr>
  </w:style>
  <w:style w:type="character" w:customStyle="1" w:styleId="22">
    <w:name w:val="apple-converted-space"/>
    <w:basedOn w:val="4"/>
    <w:qFormat/>
    <w:uiPriority w:val="99"/>
    <w:rPr>
      <w:rFonts w:cs="Times New Roman"/>
    </w:rPr>
  </w:style>
  <w:style w:type="character" w:customStyle="1" w:styleId="23">
    <w:name w:val="c-list__text--body text-wrap"/>
    <w:basedOn w:val="4"/>
    <w:qFormat/>
    <w:uiPriority w:val="99"/>
    <w:rPr>
      <w:rFonts w:cs="Times New Roman"/>
    </w:rPr>
  </w:style>
  <w:style w:type="character" w:customStyle="1" w:styleId="24">
    <w:name w:val="iceouttxt4"/>
    <w:basedOn w:val="4"/>
    <w:qFormat/>
    <w:uiPriority w:val="99"/>
    <w:rPr>
      <w:rFonts w:cs="Times New Roman"/>
    </w:rPr>
  </w:style>
  <w:style w:type="character" w:customStyle="1" w:styleId="25">
    <w:name w:val="ListLabel 3"/>
    <w:qFormat/>
    <w:uiPriority w:val="0"/>
    <w:rPr>
      <w:rFonts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nasko</Company>
  <Pages>6</Pages>
  <Words>2777</Words>
  <Characters>20725</Characters>
  <Lines>177</Lines>
  <Paragraphs>47</Paragraphs>
  <TotalTime>27</TotalTime>
  <ScaleCrop>false</ScaleCrop>
  <LinksUpToDate>false</LinksUpToDate>
  <CharactersWithSpaces>23603</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2026-06-25T06:08:00Z</dcterms:created>
  <dc:creator>Гаранина</dc:creator>
  <cp:lastModifiedBy>admin</cp:lastModifiedBy>
  <cp:lastPrinted>2026-07-20T07:22:00Z</cp:lastPrinted>
  <dcterms:modified xsi:type="dcterms:W3CDTF">2026-07-20T12:56:07Z</dcterms:modified>
  <dc:title>ДОГОВОР №03/___</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eyJoZGlkIjoiNjI5YzVlNjg3M2JhNGY2YmUwYTU3ZDYyNDU3MzNlNTcifQ==</vt:lpwstr>
  </property>
  <property fmtid="{D5CDD505-2E9C-101B-9397-08002B2CF9AE}" pid="3" name="KSOProductBuildVer">
    <vt:lpwstr>1049-12.1.0.27458</vt:lpwstr>
  </property>
  <property fmtid="{D5CDD505-2E9C-101B-9397-08002B2CF9AE}" pid="4" name="ICV">
    <vt:lpwstr>9D3799E9FCE0437485A1E409B44B86B5_12</vt:lpwstr>
  </property>
</Properties>
</file>