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60B" w:rsidRDefault="00F62A78">
      <w:pPr>
        <w:jc w:val="right"/>
        <w:rPr>
          <w:rFonts w:ascii="Times New Roman" w:hAnsi="Times New Roman" w:cs="Times New Roman"/>
          <w:bCs/>
          <w:sz w:val="24"/>
        </w:rPr>
      </w:pPr>
      <w:r>
        <w:rPr>
          <w:rFonts w:ascii="Times New Roman" w:hAnsi="Times New Roman" w:cs="Times New Roman"/>
          <w:bCs/>
          <w:sz w:val="24"/>
        </w:rPr>
        <w:t>Приложение №1 к Контракту</w:t>
      </w:r>
    </w:p>
    <w:p w:rsidR="00DA660B" w:rsidRDefault="00F62A78">
      <w:pPr>
        <w:pStyle w:val="a4"/>
        <w:jc w:val="center"/>
        <w:rPr>
          <w:rFonts w:ascii="Times New Roman" w:hAnsi="Times New Roman" w:cs="Times New Roman"/>
          <w:b/>
          <w:bCs/>
          <w:sz w:val="24"/>
        </w:rPr>
      </w:pPr>
      <w:r>
        <w:rPr>
          <w:rFonts w:ascii="Times New Roman" w:hAnsi="Times New Roman" w:cs="Times New Roman"/>
          <w:b/>
          <w:bCs/>
          <w:sz w:val="24"/>
        </w:rPr>
        <w:t>ТЕХНИЧЕСКОЕ ЗАДАНИЕ</w:t>
      </w:r>
    </w:p>
    <w:p w:rsidR="00DA660B" w:rsidRDefault="00DA660B">
      <w:pPr>
        <w:rPr>
          <w:rFonts w:ascii="Times New Roman" w:hAnsi="Times New Roman" w:cs="Times New Roman"/>
          <w:b/>
          <w:bCs/>
          <w:sz w:val="24"/>
          <w:lang w:eastAsia="hi-IN" w:bidi="hi-IN"/>
        </w:rPr>
      </w:pPr>
    </w:p>
    <w:p w:rsidR="00DA660B" w:rsidRDefault="00F62A78">
      <w:pPr>
        <w:jc w:val="both"/>
      </w:pPr>
      <w:r>
        <w:rPr>
          <w:rFonts w:ascii="Times New Roman" w:hAnsi="Times New Roman" w:cs="Times New Roman"/>
          <w:b/>
          <w:bCs/>
          <w:sz w:val="24"/>
          <w:lang w:eastAsia="hi-IN" w:bidi="hi-IN"/>
        </w:rPr>
        <w:t>Заказчик</w:t>
      </w:r>
      <w:r>
        <w:rPr>
          <w:rFonts w:ascii="Times New Roman" w:hAnsi="Times New Roman" w:cs="Times New Roman"/>
          <w:sz w:val="24"/>
          <w:lang w:eastAsia="hi-IN" w:bidi="hi-IN"/>
        </w:rPr>
        <w:t xml:space="preserve"> – Главное Управление МЧС России по Республике Татарстан</w:t>
      </w:r>
    </w:p>
    <w:p w:rsidR="00DA660B" w:rsidRDefault="00F62A78">
      <w:pPr>
        <w:jc w:val="both"/>
      </w:pPr>
      <w:r>
        <w:rPr>
          <w:rFonts w:ascii="Times New Roman" w:hAnsi="Times New Roman" w:cs="Times New Roman"/>
          <w:b/>
          <w:bCs/>
          <w:sz w:val="24"/>
          <w:lang w:eastAsia="hi-IN" w:bidi="hi-IN"/>
        </w:rPr>
        <w:t xml:space="preserve">Наименование </w:t>
      </w:r>
      <w:r>
        <w:rPr>
          <w:rFonts w:ascii="Times New Roman" w:hAnsi="Times New Roman" w:cs="Times New Roman"/>
          <w:b/>
          <w:bCs/>
          <w:sz w:val="24"/>
          <w:lang w:eastAsia="ar-SA"/>
        </w:rPr>
        <w:t>предмета контракта</w:t>
      </w:r>
      <w:r>
        <w:rPr>
          <w:rFonts w:ascii="Times New Roman" w:hAnsi="Times New Roman" w:cs="Times New Roman"/>
          <w:sz w:val="24"/>
          <w:lang w:eastAsia="hi-IN" w:bidi="hi-IN"/>
        </w:rPr>
        <w:t xml:space="preserve"> – Поставка сигнализаторов загазованности</w:t>
      </w:r>
    </w:p>
    <w:p w:rsidR="00DA660B" w:rsidRDefault="00F62A78">
      <w:pPr>
        <w:jc w:val="both"/>
      </w:pPr>
      <w:r>
        <w:rPr>
          <w:rFonts w:ascii="Times New Roman" w:hAnsi="Times New Roman" w:cs="Times New Roman"/>
          <w:b/>
          <w:bCs/>
          <w:sz w:val="24"/>
          <w:lang w:eastAsia="ar-SA"/>
        </w:rPr>
        <w:t>Место поставки товара</w:t>
      </w:r>
      <w:r>
        <w:rPr>
          <w:rFonts w:ascii="Times New Roman" w:hAnsi="Times New Roman" w:cs="Times New Roman"/>
          <w:sz w:val="24"/>
          <w:lang w:eastAsia="ar-SA"/>
        </w:rPr>
        <w:t xml:space="preserve"> - Республика Татарстан, г. Зеленодольск. ул. Чайковского д. 52</w:t>
      </w:r>
    </w:p>
    <w:p w:rsidR="00DA660B" w:rsidRDefault="00F62A78">
      <w:pPr>
        <w:jc w:val="both"/>
        <w:rPr>
          <w:rFonts w:ascii="Times New Roman" w:hAnsi="Times New Roman" w:cs="Times New Roman"/>
          <w:sz w:val="24"/>
          <w:shd w:val="clear" w:color="auto" w:fill="FFFFFF"/>
        </w:rPr>
      </w:pPr>
      <w:r>
        <w:rPr>
          <w:rFonts w:ascii="Times New Roman" w:hAnsi="Times New Roman" w:cs="Times New Roman"/>
          <w:b/>
          <w:bCs/>
          <w:sz w:val="24"/>
        </w:rPr>
        <w:t>Ответственный сотрудник заказчика</w:t>
      </w:r>
      <w:r>
        <w:rPr>
          <w:rFonts w:ascii="Times New Roman" w:hAnsi="Times New Roman" w:cs="Times New Roman"/>
          <w:sz w:val="24"/>
        </w:rPr>
        <w:t xml:space="preserve"> – </w:t>
      </w:r>
      <w:r>
        <w:rPr>
          <w:rFonts w:ascii="Times New Roman" w:hAnsi="Times New Roman" w:cs="Times New Roman"/>
          <w:sz w:val="24"/>
          <w:shd w:val="clear" w:color="auto" w:fill="FFFFFF"/>
        </w:rPr>
        <w:t>Хузин Евгений Ильнурович, тел.- +79393960310</w:t>
      </w:r>
    </w:p>
    <w:p w:rsidR="00DA660B" w:rsidRDefault="00F62A78">
      <w:pPr>
        <w:jc w:val="both"/>
      </w:pPr>
      <w:r>
        <w:rPr>
          <w:rFonts w:ascii="Times New Roman" w:hAnsi="Times New Roman" w:cs="Times New Roman"/>
          <w:b/>
          <w:bCs/>
          <w:sz w:val="24"/>
          <w:lang w:eastAsia="ar-SA"/>
        </w:rPr>
        <w:t xml:space="preserve">Сроки (периоды) поставки: </w:t>
      </w:r>
      <w:r>
        <w:rPr>
          <w:rFonts w:ascii="Times New Roman" w:hAnsi="Times New Roman" w:cs="Times New Roman"/>
          <w:sz w:val="24"/>
          <w:lang w:eastAsia="ar-SA"/>
        </w:rPr>
        <w:t>15 (десять) календарных дней с момента заключения Государственного контракта.</w:t>
      </w:r>
    </w:p>
    <w:p w:rsidR="00DA660B" w:rsidRDefault="00F62A78">
      <w:pPr>
        <w:jc w:val="both"/>
      </w:pPr>
      <w:r>
        <w:rPr>
          <w:rFonts w:ascii="Times New Roman" w:hAnsi="Times New Roman" w:cs="Times New Roman"/>
          <w:b/>
          <w:sz w:val="24"/>
          <w:lang w:eastAsia="hi-IN" w:bidi="hi-IN"/>
        </w:rPr>
        <w:t xml:space="preserve">Условия поставки товара: </w:t>
      </w:r>
      <w:r>
        <w:rPr>
          <w:rFonts w:ascii="Times New Roman" w:hAnsi="Times New Roman" w:cs="Times New Roman"/>
          <w:sz w:val="24"/>
          <w:lang w:eastAsia="hi-IN" w:bidi="hi-IN"/>
        </w:rPr>
        <w:t xml:space="preserve">Доставка товара осуществляется силами и транспортом за счет </w:t>
      </w:r>
      <w:r>
        <w:rPr>
          <w:rFonts w:ascii="Times New Roman" w:hAnsi="Times New Roman" w:cs="Times New Roman"/>
          <w:bCs/>
          <w:sz w:val="24"/>
        </w:rPr>
        <w:t>Поставщика по адресу Заказчика. Товар должен быть упакован. Упаковка должна гарантировать целостность и сохранность товара при перевозке и хранении. Упаковка не должна содержать вскрытий, вмятин, порезов и обеспечивать</w:t>
      </w:r>
      <w:r>
        <w:rPr>
          <w:rFonts w:ascii="Times New Roman" w:hAnsi="Times New Roman" w:cs="Times New Roman"/>
          <w:sz w:val="24"/>
          <w:lang w:eastAsia="hi-IN" w:bidi="hi-IN"/>
        </w:rPr>
        <w:t xml:space="preserve"> сохранность от воздействия внешних условий, таких как вода, пыль и т.п. при транспортировке и хранении.</w:t>
      </w:r>
    </w:p>
    <w:p w:rsidR="00DA660B" w:rsidRDefault="00F62A78">
      <w:pPr>
        <w:jc w:val="both"/>
      </w:pPr>
      <w:r>
        <w:rPr>
          <w:rFonts w:ascii="Times New Roman" w:hAnsi="Times New Roman" w:cs="Times New Roman"/>
          <w:b/>
          <w:sz w:val="24"/>
        </w:rPr>
        <w:t xml:space="preserve">Функциональные, технические и качественные характеристики товара, требования к сроку и (или) объему предоставления гарантии их качества: </w:t>
      </w:r>
      <w:r>
        <w:rPr>
          <w:rFonts w:ascii="Times New Roman" w:hAnsi="Times New Roman" w:cs="Times New Roman"/>
          <w:bCs/>
          <w:sz w:val="24"/>
        </w:rPr>
        <w:t>Качество Товара должно соответствовать требованиям нормативно - правовых актов Российской Федерации, а также подтверждаться документами о качестве поставляемого Товара.</w:t>
      </w:r>
    </w:p>
    <w:p w:rsidR="00DA660B" w:rsidRDefault="00F62A78">
      <w:pPr>
        <w:ind w:firstLine="426"/>
        <w:jc w:val="both"/>
        <w:rPr>
          <w:rFonts w:ascii="Times New Roman" w:hAnsi="Times New Roman" w:cs="Times New Roman"/>
          <w:bCs/>
          <w:sz w:val="24"/>
        </w:rPr>
      </w:pPr>
      <w:r>
        <w:rPr>
          <w:rFonts w:ascii="Times New Roman" w:hAnsi="Times New Roman" w:cs="Times New Roman"/>
          <w:bCs/>
          <w:sz w:val="24"/>
        </w:rPr>
        <w:t>Поставляемый товар должен быть новым товаром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DA660B" w:rsidRDefault="00F62A78">
      <w:pPr>
        <w:ind w:firstLine="426"/>
        <w:jc w:val="both"/>
        <w:rPr>
          <w:rFonts w:ascii="Times New Roman" w:hAnsi="Times New Roman" w:cs="Times New Roman"/>
          <w:bCs/>
          <w:sz w:val="24"/>
        </w:rPr>
      </w:pPr>
      <w:r>
        <w:rPr>
          <w:rFonts w:ascii="Times New Roman" w:hAnsi="Times New Roman" w:cs="Times New Roman"/>
          <w:bCs/>
          <w:sz w:val="24"/>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российским законодательством.</w:t>
      </w:r>
    </w:p>
    <w:p w:rsidR="00DA660B" w:rsidRDefault="00F62A78">
      <w:pPr>
        <w:ind w:firstLine="426"/>
        <w:jc w:val="both"/>
        <w:rPr>
          <w:rFonts w:ascii="Times New Roman" w:hAnsi="Times New Roman" w:cs="Times New Roman"/>
          <w:bCs/>
          <w:sz w:val="24"/>
        </w:rPr>
      </w:pPr>
      <w:r>
        <w:rPr>
          <w:rFonts w:ascii="Times New Roman" w:hAnsi="Times New Roman" w:cs="Times New Roman"/>
          <w:bCs/>
          <w:sz w:val="24"/>
        </w:rPr>
        <w:t xml:space="preserve">В случае несоответствия товара, заявленным показателям в настоящем Техническом задании или некачественного поставляемого товара, все необходимые процедуры и оформление документов для предъявления рекламаций заводу - изготовителю выполняет Поставщик.  </w:t>
      </w:r>
    </w:p>
    <w:p w:rsidR="00DA660B" w:rsidRDefault="00F62A78">
      <w:pPr>
        <w:ind w:firstLine="426"/>
        <w:jc w:val="both"/>
        <w:rPr>
          <w:rFonts w:ascii="Times New Roman" w:hAnsi="Times New Roman" w:cs="Times New Roman"/>
          <w:bCs/>
          <w:sz w:val="24"/>
        </w:rPr>
      </w:pPr>
      <w:r>
        <w:rPr>
          <w:rFonts w:ascii="Times New Roman" w:hAnsi="Times New Roman" w:cs="Times New Roman"/>
          <w:bCs/>
          <w:sz w:val="24"/>
        </w:rPr>
        <w:t>Качество, маркировка, упаковка товара должны соответствовать требованиям нормативно-технической документации, утвержденной для данного вида товара.</w:t>
      </w:r>
    </w:p>
    <w:p w:rsidR="00DA660B" w:rsidRDefault="00F62A78">
      <w:pPr>
        <w:ind w:firstLine="426"/>
        <w:jc w:val="both"/>
        <w:rPr>
          <w:rFonts w:ascii="Times New Roman" w:hAnsi="Times New Roman" w:cs="Times New Roman"/>
          <w:bCs/>
          <w:sz w:val="24"/>
        </w:rPr>
      </w:pPr>
      <w:r>
        <w:rPr>
          <w:rFonts w:ascii="Times New Roman" w:hAnsi="Times New Roman" w:cs="Times New Roman"/>
          <w:bCs/>
          <w:sz w:val="24"/>
        </w:rPr>
        <w:t xml:space="preserve">Оборудование должно соответствовать требованиям стандартов и нормативно-технических документов в соответствии с действующим законодательством Российской Федерации.  </w:t>
      </w:r>
    </w:p>
    <w:p w:rsidR="00DA660B" w:rsidRDefault="00F62A78">
      <w:pPr>
        <w:jc w:val="both"/>
      </w:pPr>
      <w:r>
        <w:rPr>
          <w:rFonts w:ascii="Times New Roman" w:hAnsi="Times New Roman" w:cs="Times New Roman"/>
          <w:b/>
          <w:bCs/>
          <w:sz w:val="24"/>
        </w:rPr>
        <w:t>Гарантийные обязательства:</w:t>
      </w:r>
      <w:r>
        <w:rPr>
          <w:rFonts w:ascii="Times New Roman" w:hAnsi="Times New Roman" w:cs="Times New Roman"/>
          <w:bCs/>
          <w:sz w:val="24"/>
        </w:rPr>
        <w:t xml:space="preserve"> Гарантийный срок на поставляемый товар предоставляется на срок, предусмотренный заводом изготовителем, но не менее 12 месяцев с момента поставки</w:t>
      </w:r>
      <w:r>
        <w:rPr>
          <w:rFonts w:ascii="Times New Roman" w:hAnsi="Times New Roman" w:cs="Times New Roman"/>
          <w:sz w:val="24"/>
        </w:rPr>
        <w:t xml:space="preserve"> Товара.</w:t>
      </w:r>
    </w:p>
    <w:p w:rsidR="00DA660B" w:rsidRDefault="00DA660B">
      <w:pPr>
        <w:jc w:val="both"/>
        <w:rPr>
          <w:rFonts w:ascii="Times New Roman" w:hAnsi="Times New Roman" w:cs="Times New Roman"/>
          <w:sz w:val="24"/>
        </w:rPr>
      </w:pPr>
    </w:p>
    <w:tbl>
      <w:tblPr>
        <w:tblW w:w="10083" w:type="dxa"/>
        <w:tblInd w:w="-147" w:type="dxa"/>
        <w:tblLayout w:type="fixed"/>
        <w:tblLook w:val="0000" w:firstRow="0" w:lastRow="0" w:firstColumn="0" w:lastColumn="0" w:noHBand="0" w:noVBand="0"/>
      </w:tblPr>
      <w:tblGrid>
        <w:gridCol w:w="663"/>
        <w:gridCol w:w="1983"/>
        <w:gridCol w:w="5100"/>
        <w:gridCol w:w="1325"/>
        <w:gridCol w:w="1012"/>
      </w:tblGrid>
      <w:tr w:rsidR="00DA660B">
        <w:trPr>
          <w:trHeight w:val="310"/>
        </w:trPr>
        <w:tc>
          <w:tcPr>
            <w:tcW w:w="663" w:type="dxa"/>
            <w:tcBorders>
              <w:top w:val="single" w:sz="4" w:space="0" w:color="000000"/>
              <w:left w:val="single" w:sz="4" w:space="0" w:color="000000"/>
              <w:bottom w:val="single" w:sz="4" w:space="0" w:color="000000"/>
              <w:right w:val="single" w:sz="4" w:space="0" w:color="000000"/>
            </w:tcBorders>
          </w:tcPr>
          <w:p w:rsidR="00DA660B" w:rsidRDefault="00F62A78">
            <w:pPr>
              <w:rPr>
                <w:rFonts w:ascii="Tinos" w:hAnsi="Tinos" w:cs="Times New Roman"/>
                <w:b/>
                <w:bCs/>
                <w:sz w:val="24"/>
              </w:rPr>
            </w:pPr>
            <w:r>
              <w:rPr>
                <w:rFonts w:ascii="Tinos" w:hAnsi="Tinos" w:cs="Times New Roman"/>
                <w:b/>
                <w:bCs/>
                <w:sz w:val="24"/>
              </w:rPr>
              <w:t>№ п/п</w:t>
            </w:r>
          </w:p>
        </w:tc>
        <w:tc>
          <w:tcPr>
            <w:tcW w:w="1983" w:type="dxa"/>
            <w:tcBorders>
              <w:top w:val="single" w:sz="4" w:space="0" w:color="000000"/>
              <w:bottom w:val="single" w:sz="4" w:space="0" w:color="000000"/>
              <w:right w:val="single" w:sz="4" w:space="0" w:color="000000"/>
            </w:tcBorders>
          </w:tcPr>
          <w:p w:rsidR="00DA660B" w:rsidRDefault="00F62A78">
            <w:pPr>
              <w:rPr>
                <w:rFonts w:ascii="Tinos" w:hAnsi="Tinos" w:cs="Times New Roman"/>
                <w:b/>
                <w:bCs/>
                <w:sz w:val="24"/>
              </w:rPr>
            </w:pPr>
            <w:r>
              <w:rPr>
                <w:rFonts w:ascii="Tinos" w:hAnsi="Tinos" w:cs="Times New Roman"/>
                <w:b/>
                <w:bCs/>
                <w:sz w:val="24"/>
              </w:rPr>
              <w:t>ОКПД 2/КТРУ</w:t>
            </w:r>
          </w:p>
        </w:tc>
        <w:tc>
          <w:tcPr>
            <w:tcW w:w="5100" w:type="dxa"/>
            <w:tcBorders>
              <w:top w:val="single" w:sz="4" w:space="0" w:color="000000"/>
              <w:bottom w:val="single" w:sz="4" w:space="0" w:color="000000"/>
              <w:right w:val="single" w:sz="4" w:space="0" w:color="000000"/>
            </w:tcBorders>
          </w:tcPr>
          <w:p w:rsidR="00DA660B" w:rsidRDefault="00F62A78">
            <w:pPr>
              <w:rPr>
                <w:rFonts w:ascii="Tinos" w:hAnsi="Tinos" w:cs="Times New Roman"/>
                <w:b/>
                <w:bCs/>
                <w:sz w:val="24"/>
              </w:rPr>
            </w:pPr>
            <w:r>
              <w:rPr>
                <w:rFonts w:ascii="Tinos" w:hAnsi="Tinos" w:cs="Times New Roman"/>
                <w:b/>
                <w:bCs/>
                <w:sz w:val="24"/>
              </w:rPr>
              <w:t>Наименование, требования к потребительским свойствам товара и техническим характеристикам</w:t>
            </w:r>
          </w:p>
        </w:tc>
        <w:tc>
          <w:tcPr>
            <w:tcW w:w="1325" w:type="dxa"/>
            <w:tcBorders>
              <w:top w:val="single" w:sz="4" w:space="0" w:color="000000"/>
              <w:bottom w:val="single" w:sz="4" w:space="0" w:color="000000"/>
              <w:right w:val="single" w:sz="4" w:space="0" w:color="000000"/>
            </w:tcBorders>
          </w:tcPr>
          <w:p w:rsidR="00DA660B" w:rsidRDefault="00F62A78">
            <w:pPr>
              <w:rPr>
                <w:rFonts w:ascii="Tinos" w:hAnsi="Tinos" w:cs="Times New Roman"/>
                <w:b/>
                <w:bCs/>
                <w:sz w:val="24"/>
              </w:rPr>
            </w:pPr>
            <w:r>
              <w:rPr>
                <w:rFonts w:ascii="Tinos" w:hAnsi="Tinos" w:cs="Times New Roman"/>
                <w:b/>
                <w:bCs/>
                <w:sz w:val="24"/>
              </w:rPr>
              <w:t>Ед. изм.</w:t>
            </w:r>
          </w:p>
        </w:tc>
        <w:tc>
          <w:tcPr>
            <w:tcW w:w="1012" w:type="dxa"/>
            <w:tcBorders>
              <w:top w:val="single" w:sz="4" w:space="0" w:color="000000"/>
              <w:bottom w:val="single" w:sz="4" w:space="0" w:color="000000"/>
              <w:right w:val="single" w:sz="4" w:space="0" w:color="000000"/>
            </w:tcBorders>
          </w:tcPr>
          <w:p w:rsidR="00DA660B" w:rsidRDefault="00F62A78">
            <w:pPr>
              <w:rPr>
                <w:rFonts w:ascii="Tinos" w:hAnsi="Tinos" w:cs="Times New Roman"/>
                <w:b/>
                <w:bCs/>
                <w:sz w:val="24"/>
              </w:rPr>
            </w:pPr>
            <w:r>
              <w:rPr>
                <w:rFonts w:ascii="Tinos" w:hAnsi="Tinos" w:cs="Times New Roman"/>
                <w:b/>
                <w:bCs/>
                <w:sz w:val="24"/>
              </w:rPr>
              <w:t>Кол-во</w:t>
            </w:r>
          </w:p>
        </w:tc>
      </w:tr>
      <w:tr w:rsidR="00DA660B">
        <w:trPr>
          <w:trHeight w:val="350"/>
        </w:trPr>
        <w:tc>
          <w:tcPr>
            <w:tcW w:w="663" w:type="dxa"/>
            <w:tcBorders>
              <w:top w:val="single" w:sz="4" w:space="0" w:color="000000"/>
              <w:left w:val="single" w:sz="4" w:space="0" w:color="000000"/>
              <w:bottom w:val="single" w:sz="4" w:space="0" w:color="000000"/>
              <w:right w:val="single" w:sz="4" w:space="0" w:color="000000"/>
            </w:tcBorders>
          </w:tcPr>
          <w:p w:rsidR="00DA660B" w:rsidRDefault="00F62A78">
            <w:pPr>
              <w:rPr>
                <w:rFonts w:ascii="Tinos" w:hAnsi="Tinos" w:cs="Times New Roman"/>
                <w:sz w:val="24"/>
              </w:rPr>
            </w:pPr>
            <w:r>
              <w:rPr>
                <w:rFonts w:ascii="Tinos" w:hAnsi="Tinos" w:cs="Times New Roman"/>
                <w:sz w:val="24"/>
              </w:rPr>
              <w:t>1</w:t>
            </w:r>
          </w:p>
        </w:tc>
        <w:tc>
          <w:tcPr>
            <w:tcW w:w="1983" w:type="dxa"/>
            <w:tcBorders>
              <w:top w:val="single" w:sz="4" w:space="0" w:color="000000"/>
              <w:bottom w:val="single" w:sz="4" w:space="0" w:color="000000"/>
              <w:right w:val="single" w:sz="4" w:space="0" w:color="000000"/>
            </w:tcBorders>
          </w:tcPr>
          <w:p w:rsidR="00DA660B" w:rsidRDefault="00F62A78">
            <w:pPr>
              <w:rPr>
                <w:rFonts w:ascii="Tinos" w:hAnsi="Tinos" w:cs="Times New Roman"/>
                <w:sz w:val="24"/>
              </w:rPr>
            </w:pPr>
            <w:r>
              <w:rPr>
                <w:rFonts w:ascii="Tinos" w:hAnsi="Tinos" w:cs="Times New Roman"/>
                <w:sz w:val="24"/>
              </w:rPr>
              <w:t>2</w:t>
            </w:r>
          </w:p>
        </w:tc>
        <w:tc>
          <w:tcPr>
            <w:tcW w:w="5100" w:type="dxa"/>
            <w:tcBorders>
              <w:top w:val="single" w:sz="4" w:space="0" w:color="000000"/>
              <w:bottom w:val="single" w:sz="4" w:space="0" w:color="000000"/>
              <w:right w:val="single" w:sz="4" w:space="0" w:color="000000"/>
            </w:tcBorders>
          </w:tcPr>
          <w:p w:rsidR="00DA660B" w:rsidRDefault="00F62A78">
            <w:pPr>
              <w:rPr>
                <w:rFonts w:ascii="Tinos" w:hAnsi="Tinos" w:cs="Times New Roman"/>
                <w:sz w:val="24"/>
              </w:rPr>
            </w:pPr>
            <w:r>
              <w:rPr>
                <w:rFonts w:ascii="Tinos" w:hAnsi="Tinos" w:cs="Times New Roman"/>
                <w:sz w:val="24"/>
              </w:rPr>
              <w:t>3</w:t>
            </w:r>
          </w:p>
        </w:tc>
        <w:tc>
          <w:tcPr>
            <w:tcW w:w="1325" w:type="dxa"/>
            <w:tcBorders>
              <w:top w:val="single" w:sz="4" w:space="0" w:color="000000"/>
              <w:bottom w:val="single" w:sz="4" w:space="0" w:color="000000"/>
              <w:right w:val="single" w:sz="4" w:space="0" w:color="000000"/>
            </w:tcBorders>
          </w:tcPr>
          <w:p w:rsidR="00DA660B" w:rsidRDefault="00F62A78">
            <w:pPr>
              <w:rPr>
                <w:rFonts w:ascii="Tinos" w:hAnsi="Tinos" w:cs="Times New Roman"/>
                <w:sz w:val="24"/>
              </w:rPr>
            </w:pPr>
            <w:r>
              <w:rPr>
                <w:rFonts w:ascii="Tinos" w:hAnsi="Tinos" w:cs="Times New Roman"/>
                <w:sz w:val="24"/>
              </w:rPr>
              <w:t>4</w:t>
            </w:r>
          </w:p>
        </w:tc>
        <w:tc>
          <w:tcPr>
            <w:tcW w:w="1012" w:type="dxa"/>
            <w:tcBorders>
              <w:top w:val="single" w:sz="4" w:space="0" w:color="000000"/>
              <w:bottom w:val="single" w:sz="4" w:space="0" w:color="000000"/>
              <w:right w:val="single" w:sz="4" w:space="0" w:color="000000"/>
            </w:tcBorders>
          </w:tcPr>
          <w:p w:rsidR="00DA660B" w:rsidRDefault="00F62A78">
            <w:pPr>
              <w:rPr>
                <w:rFonts w:ascii="Tinos" w:hAnsi="Tinos" w:cs="Times New Roman"/>
                <w:sz w:val="24"/>
              </w:rPr>
            </w:pPr>
            <w:r>
              <w:rPr>
                <w:rFonts w:ascii="Tinos" w:hAnsi="Tinos" w:cs="Times New Roman"/>
                <w:sz w:val="24"/>
              </w:rPr>
              <w:t>5</w:t>
            </w:r>
          </w:p>
        </w:tc>
      </w:tr>
      <w:tr w:rsidR="00DA660B">
        <w:trPr>
          <w:trHeight w:val="2950"/>
        </w:trPr>
        <w:tc>
          <w:tcPr>
            <w:tcW w:w="663" w:type="dxa"/>
            <w:tcBorders>
              <w:left w:val="single" w:sz="4" w:space="0" w:color="000000"/>
              <w:bottom w:val="single" w:sz="4" w:space="0" w:color="000000"/>
              <w:right w:val="single" w:sz="4" w:space="0" w:color="000000"/>
            </w:tcBorders>
            <w:vAlign w:val="center"/>
          </w:tcPr>
          <w:p w:rsidR="00DA660B" w:rsidRDefault="00F62A78">
            <w:pPr>
              <w:rPr>
                <w:rFonts w:ascii="Tinos" w:hAnsi="Tinos" w:cs="Times New Roman"/>
                <w:sz w:val="24"/>
              </w:rPr>
            </w:pPr>
            <w:r>
              <w:rPr>
                <w:rFonts w:ascii="Tinos" w:hAnsi="Tinos" w:cs="Times New Roman"/>
                <w:sz w:val="24"/>
              </w:rPr>
              <w:t>1</w:t>
            </w:r>
          </w:p>
        </w:tc>
        <w:tc>
          <w:tcPr>
            <w:tcW w:w="1983" w:type="dxa"/>
            <w:tcBorders>
              <w:bottom w:val="single" w:sz="4" w:space="0" w:color="000000"/>
              <w:right w:val="single" w:sz="4" w:space="0" w:color="000000"/>
            </w:tcBorders>
            <w:vAlign w:val="center"/>
          </w:tcPr>
          <w:p w:rsidR="00DA660B" w:rsidRDefault="00F62A78">
            <w:r>
              <w:rPr>
                <w:rStyle w:val="af"/>
                <w:rFonts w:ascii="Tinos" w:hAnsi="Tinos" w:cs="Times New Roman"/>
                <w:color w:val="000000"/>
                <w:sz w:val="24"/>
                <w:u w:val="none"/>
                <w:shd w:val="clear" w:color="auto" w:fill="FFFFFF"/>
              </w:rPr>
              <w:t xml:space="preserve">КТРУ: </w:t>
            </w:r>
            <w:hyperlink r:id="rId7" w:tgtFrame="_blank">
              <w:r>
                <w:rPr>
                  <w:rStyle w:val="af"/>
                  <w:rFonts w:ascii="Tinos" w:hAnsi="Tinos" w:cs="Times New Roman"/>
                  <w:color w:val="000000"/>
                  <w:sz w:val="24"/>
                  <w:u w:val="none"/>
                  <w:shd w:val="clear" w:color="auto" w:fill="FFFFFF"/>
                </w:rPr>
                <w:t>26.51.50.000-00000003</w:t>
              </w:r>
            </w:hyperlink>
          </w:p>
        </w:tc>
        <w:tc>
          <w:tcPr>
            <w:tcW w:w="5100" w:type="dxa"/>
            <w:tcBorders>
              <w:bottom w:val="single" w:sz="4" w:space="0" w:color="000000"/>
              <w:right w:val="single" w:sz="4" w:space="0" w:color="000000"/>
            </w:tcBorders>
            <w:vAlign w:val="center"/>
          </w:tcPr>
          <w:p w:rsidR="00DA660B" w:rsidRPr="00A70028" w:rsidRDefault="00F62A78">
            <w:pPr>
              <w:jc w:val="left"/>
              <w:rPr>
                <w:rFonts w:ascii="Tinos" w:hAnsi="Tinos"/>
              </w:rPr>
            </w:pPr>
            <w:r w:rsidRPr="00A70028">
              <w:rPr>
                <w:rFonts w:ascii="Tinos" w:hAnsi="Tinos"/>
                <w:b/>
                <w:bCs/>
                <w:color w:val="000000"/>
                <w:sz w:val="24"/>
              </w:rPr>
              <w:t>Газосигнализатор</w:t>
            </w:r>
          </w:p>
          <w:p w:rsidR="00DA660B" w:rsidRPr="00A70028" w:rsidRDefault="00F62A78">
            <w:pPr>
              <w:jc w:val="left"/>
              <w:rPr>
                <w:rFonts w:ascii="Tinos" w:hAnsi="Tinos"/>
                <w:sz w:val="24"/>
              </w:rPr>
            </w:pPr>
            <w:r w:rsidRPr="00A70028">
              <w:rPr>
                <w:rFonts w:ascii="Tinos" w:hAnsi="Tinos"/>
                <w:sz w:val="24"/>
              </w:rPr>
              <w:t>Вид — стационарный</w:t>
            </w:r>
          </w:p>
          <w:p w:rsidR="00DA660B" w:rsidRPr="00A70028" w:rsidRDefault="00F62A78">
            <w:pPr>
              <w:jc w:val="left"/>
              <w:rPr>
                <w:rFonts w:ascii="Tinos" w:hAnsi="Tinos"/>
                <w:sz w:val="24"/>
              </w:rPr>
            </w:pPr>
            <w:r w:rsidRPr="00A70028">
              <w:rPr>
                <w:rFonts w:ascii="Tinos" w:hAnsi="Tinos"/>
                <w:sz w:val="24"/>
              </w:rPr>
              <w:t>Время отклика на наличие измеряемого</w:t>
            </w:r>
          </w:p>
          <w:p w:rsidR="00DA660B" w:rsidRPr="00A70028" w:rsidRDefault="00F62A78">
            <w:pPr>
              <w:jc w:val="left"/>
              <w:rPr>
                <w:rFonts w:ascii="Tinos" w:hAnsi="Tinos"/>
                <w:sz w:val="24"/>
              </w:rPr>
            </w:pPr>
            <w:r w:rsidRPr="00A70028">
              <w:rPr>
                <w:rFonts w:ascii="Tinos" w:hAnsi="Tinos"/>
                <w:sz w:val="24"/>
              </w:rPr>
              <w:t>газа - ≤ 30</w:t>
            </w:r>
          </w:p>
          <w:p w:rsidR="00DA660B" w:rsidRPr="00A70028" w:rsidRDefault="00F62A78">
            <w:pPr>
              <w:jc w:val="left"/>
              <w:rPr>
                <w:rFonts w:ascii="Tinos" w:hAnsi="Tinos"/>
                <w:sz w:val="24"/>
              </w:rPr>
            </w:pPr>
            <w:r w:rsidRPr="00A70028">
              <w:rPr>
                <w:rFonts w:ascii="Tinos" w:hAnsi="Tinos"/>
                <w:sz w:val="24"/>
              </w:rPr>
              <w:t>Контролируемые газы — оксид углерода</w:t>
            </w:r>
          </w:p>
          <w:p w:rsidR="00DA660B" w:rsidRPr="00A70028" w:rsidRDefault="00F62A78">
            <w:pPr>
              <w:jc w:val="left"/>
              <w:rPr>
                <w:rFonts w:ascii="Tinos" w:hAnsi="Tinos"/>
                <w:sz w:val="24"/>
              </w:rPr>
            </w:pPr>
            <w:r w:rsidRPr="00A70028">
              <w:rPr>
                <w:rFonts w:ascii="Tinos" w:hAnsi="Tinos"/>
                <w:sz w:val="24"/>
              </w:rPr>
              <w:t>Назначение - бытовой</w:t>
            </w:r>
          </w:p>
          <w:p w:rsidR="00DA660B" w:rsidRPr="00A70028" w:rsidRDefault="00F62A78">
            <w:pPr>
              <w:jc w:val="left"/>
              <w:rPr>
                <w:rFonts w:ascii="Tinos" w:hAnsi="Tinos"/>
                <w:sz w:val="24"/>
              </w:rPr>
            </w:pPr>
            <w:r w:rsidRPr="00A70028">
              <w:rPr>
                <w:rFonts w:ascii="Tinos" w:hAnsi="Tinos"/>
                <w:sz w:val="24"/>
              </w:rPr>
              <w:t>Наличие клапана в комплекте — нет</w:t>
            </w:r>
          </w:p>
          <w:p w:rsidR="00DA660B" w:rsidRPr="00A70028" w:rsidRDefault="00F62A78">
            <w:pPr>
              <w:jc w:val="left"/>
              <w:rPr>
                <w:rFonts w:ascii="Tinos" w:hAnsi="Tinos"/>
                <w:sz w:val="24"/>
              </w:rPr>
            </w:pPr>
            <w:r w:rsidRPr="00A70028">
              <w:rPr>
                <w:rFonts w:ascii="Tinos" w:hAnsi="Tinos"/>
                <w:sz w:val="24"/>
              </w:rPr>
              <w:t>Напряжение питания (без учета отклонения) - ≥ 220</w:t>
            </w:r>
          </w:p>
          <w:p w:rsidR="00DA660B" w:rsidRPr="00A70028" w:rsidRDefault="00F62A78">
            <w:pPr>
              <w:jc w:val="left"/>
              <w:rPr>
                <w:rFonts w:ascii="Tinos" w:hAnsi="Tinos"/>
                <w:sz w:val="24"/>
              </w:rPr>
            </w:pPr>
            <w:r w:rsidRPr="00A70028">
              <w:rPr>
                <w:rFonts w:ascii="Tinos" w:hAnsi="Tinos"/>
                <w:sz w:val="24"/>
              </w:rPr>
              <w:t xml:space="preserve">Модель — СОУ-1 </w:t>
            </w:r>
            <w:r w:rsidR="00A70028" w:rsidRPr="00A70028">
              <w:rPr>
                <w:rFonts w:ascii="Tinos" w:hAnsi="Tinos"/>
                <w:sz w:val="24"/>
              </w:rPr>
              <w:t xml:space="preserve">или эквивалент </w:t>
            </w:r>
            <w:r w:rsidR="004B3CAE" w:rsidRPr="00A70028">
              <w:rPr>
                <w:rFonts w:ascii="Tinos" w:hAnsi="Tinos"/>
                <w:sz w:val="24"/>
              </w:rPr>
              <w:t xml:space="preserve">(Данная модель необходима в связи с обеспечением прямой совместимостью устройства с газовым клапаном отсекателем. Использования иной </w:t>
            </w:r>
            <w:r w:rsidR="004B3CAE" w:rsidRPr="00A70028">
              <w:rPr>
                <w:rFonts w:ascii="Tinos" w:hAnsi="Tinos"/>
                <w:sz w:val="24"/>
              </w:rPr>
              <w:lastRenderedPageBreak/>
              <w:t>модели, соответствующей общим характеристикам, потребует доработки или замены смежных узлов.)</w:t>
            </w:r>
            <w:bookmarkStart w:id="0" w:name="_GoBack"/>
            <w:bookmarkEnd w:id="0"/>
          </w:p>
        </w:tc>
        <w:tc>
          <w:tcPr>
            <w:tcW w:w="1325" w:type="dxa"/>
            <w:tcBorders>
              <w:bottom w:val="single" w:sz="4" w:space="0" w:color="000000"/>
              <w:right w:val="single" w:sz="4" w:space="0" w:color="000000"/>
            </w:tcBorders>
            <w:vAlign w:val="center"/>
          </w:tcPr>
          <w:p w:rsidR="00DA660B" w:rsidRDefault="00F62A78">
            <w:pPr>
              <w:rPr>
                <w:rFonts w:ascii="Tinos" w:hAnsi="Tinos" w:cs="Times New Roman"/>
                <w:sz w:val="24"/>
              </w:rPr>
            </w:pPr>
            <w:r>
              <w:rPr>
                <w:rFonts w:ascii="Tinos" w:hAnsi="Tinos" w:cs="Times New Roman"/>
                <w:sz w:val="24"/>
              </w:rPr>
              <w:lastRenderedPageBreak/>
              <w:t>Штука</w:t>
            </w:r>
          </w:p>
        </w:tc>
        <w:tc>
          <w:tcPr>
            <w:tcW w:w="1012" w:type="dxa"/>
            <w:tcBorders>
              <w:bottom w:val="single" w:sz="4" w:space="0" w:color="000000"/>
              <w:right w:val="single" w:sz="4" w:space="0" w:color="000000"/>
            </w:tcBorders>
            <w:vAlign w:val="center"/>
          </w:tcPr>
          <w:p w:rsidR="00DA660B" w:rsidRDefault="00F62A78">
            <w:pPr>
              <w:rPr>
                <w:rFonts w:ascii="Tinos" w:hAnsi="Tinos" w:cs="Times New Roman"/>
                <w:sz w:val="24"/>
              </w:rPr>
            </w:pPr>
            <w:r>
              <w:rPr>
                <w:rFonts w:ascii="Tinos" w:hAnsi="Tinos" w:cs="Times New Roman"/>
                <w:sz w:val="24"/>
              </w:rPr>
              <w:t>1</w:t>
            </w:r>
          </w:p>
        </w:tc>
      </w:tr>
      <w:tr w:rsidR="00DA660B">
        <w:trPr>
          <w:trHeight w:val="2950"/>
        </w:trPr>
        <w:tc>
          <w:tcPr>
            <w:tcW w:w="663" w:type="dxa"/>
            <w:tcBorders>
              <w:left w:val="single" w:sz="4" w:space="0" w:color="000000"/>
              <w:bottom w:val="single" w:sz="4" w:space="0" w:color="000000"/>
              <w:right w:val="single" w:sz="4" w:space="0" w:color="000000"/>
            </w:tcBorders>
            <w:vAlign w:val="center"/>
          </w:tcPr>
          <w:p w:rsidR="00DA660B" w:rsidRDefault="00F62A78">
            <w:pPr>
              <w:rPr>
                <w:rFonts w:ascii="Tinos" w:hAnsi="Tinos" w:cs="Times New Roman"/>
                <w:sz w:val="24"/>
              </w:rPr>
            </w:pPr>
            <w:r>
              <w:rPr>
                <w:rFonts w:ascii="Tinos" w:hAnsi="Tinos" w:cs="Times New Roman"/>
                <w:sz w:val="24"/>
              </w:rPr>
              <w:lastRenderedPageBreak/>
              <w:t>2</w:t>
            </w:r>
          </w:p>
        </w:tc>
        <w:tc>
          <w:tcPr>
            <w:tcW w:w="1983" w:type="dxa"/>
            <w:tcBorders>
              <w:bottom w:val="single" w:sz="4" w:space="0" w:color="000000"/>
              <w:right w:val="single" w:sz="4" w:space="0" w:color="000000"/>
            </w:tcBorders>
            <w:vAlign w:val="center"/>
          </w:tcPr>
          <w:p w:rsidR="00DA660B" w:rsidRPr="00A70028" w:rsidRDefault="00F62A78">
            <w:r w:rsidRPr="00A70028">
              <w:rPr>
                <w:rStyle w:val="af"/>
                <w:rFonts w:ascii="Tinos" w:hAnsi="Tinos" w:cs="Times New Roman"/>
                <w:color w:val="000000"/>
                <w:sz w:val="24"/>
                <w:u w:val="none"/>
                <w:shd w:val="clear" w:color="auto" w:fill="FFFFFF"/>
              </w:rPr>
              <w:t xml:space="preserve">КТРУ: </w:t>
            </w:r>
            <w:hyperlink r:id="rId8" w:tgtFrame="_blank">
              <w:r w:rsidRPr="00A70028">
                <w:rPr>
                  <w:rStyle w:val="af"/>
                  <w:rFonts w:ascii="Tinos" w:hAnsi="Tinos" w:cs="Times New Roman"/>
                  <w:color w:val="000000"/>
                  <w:sz w:val="24"/>
                  <w:u w:val="none"/>
                  <w:shd w:val="clear" w:color="auto" w:fill="FFFFFF"/>
                </w:rPr>
                <w:t>26.51.50.000-00000003</w:t>
              </w:r>
            </w:hyperlink>
          </w:p>
        </w:tc>
        <w:tc>
          <w:tcPr>
            <w:tcW w:w="5100" w:type="dxa"/>
            <w:tcBorders>
              <w:bottom w:val="single" w:sz="4" w:space="0" w:color="000000"/>
              <w:right w:val="single" w:sz="4" w:space="0" w:color="000000"/>
            </w:tcBorders>
            <w:vAlign w:val="center"/>
          </w:tcPr>
          <w:p w:rsidR="00DA660B" w:rsidRPr="00A70028" w:rsidRDefault="00F62A78">
            <w:pPr>
              <w:jc w:val="left"/>
              <w:rPr>
                <w:rFonts w:ascii="Tinos" w:hAnsi="Tinos"/>
              </w:rPr>
            </w:pPr>
            <w:r w:rsidRPr="00A70028">
              <w:rPr>
                <w:rFonts w:ascii="Tinos" w:hAnsi="Tinos"/>
                <w:b/>
                <w:bCs/>
                <w:color w:val="000000"/>
                <w:sz w:val="24"/>
              </w:rPr>
              <w:t>Газосигнализатор</w:t>
            </w:r>
          </w:p>
          <w:p w:rsidR="00DA660B" w:rsidRPr="00A70028" w:rsidRDefault="00F62A78">
            <w:pPr>
              <w:jc w:val="left"/>
              <w:rPr>
                <w:rFonts w:ascii="Tinos" w:hAnsi="Tinos"/>
                <w:sz w:val="24"/>
              </w:rPr>
            </w:pPr>
            <w:r w:rsidRPr="00A70028">
              <w:rPr>
                <w:rFonts w:ascii="Tinos" w:hAnsi="Tinos"/>
                <w:sz w:val="24"/>
              </w:rPr>
              <w:t>Вид — стационарный</w:t>
            </w:r>
          </w:p>
          <w:p w:rsidR="00DA660B" w:rsidRPr="00A70028" w:rsidRDefault="00F62A78">
            <w:pPr>
              <w:jc w:val="left"/>
              <w:rPr>
                <w:rFonts w:ascii="Tinos" w:hAnsi="Tinos"/>
                <w:sz w:val="24"/>
              </w:rPr>
            </w:pPr>
            <w:r w:rsidRPr="00A70028">
              <w:rPr>
                <w:rFonts w:ascii="Tinos" w:hAnsi="Tinos"/>
                <w:sz w:val="24"/>
              </w:rPr>
              <w:t xml:space="preserve">Время отклика на наличие измеряемого </w:t>
            </w:r>
          </w:p>
          <w:p w:rsidR="00DA660B" w:rsidRPr="00A70028" w:rsidRDefault="00F62A78">
            <w:pPr>
              <w:jc w:val="left"/>
              <w:rPr>
                <w:rFonts w:ascii="Tinos" w:hAnsi="Tinos"/>
                <w:sz w:val="24"/>
              </w:rPr>
            </w:pPr>
            <w:r w:rsidRPr="00A70028">
              <w:rPr>
                <w:rFonts w:ascii="Tinos" w:hAnsi="Tinos"/>
                <w:sz w:val="24"/>
              </w:rPr>
              <w:t>газа - ≤ 30</w:t>
            </w:r>
          </w:p>
          <w:p w:rsidR="00DA660B" w:rsidRPr="00A70028" w:rsidRDefault="00F62A78">
            <w:pPr>
              <w:jc w:val="left"/>
              <w:rPr>
                <w:rFonts w:ascii="Tinos" w:hAnsi="Tinos"/>
                <w:sz w:val="24"/>
              </w:rPr>
            </w:pPr>
            <w:r w:rsidRPr="00A70028">
              <w:rPr>
                <w:rFonts w:ascii="Tinos" w:hAnsi="Tinos"/>
                <w:sz w:val="24"/>
              </w:rPr>
              <w:t>Контролируемые газы - Метан</w:t>
            </w:r>
          </w:p>
          <w:p w:rsidR="00DA660B" w:rsidRPr="00A70028" w:rsidRDefault="00F62A78">
            <w:pPr>
              <w:jc w:val="left"/>
              <w:rPr>
                <w:rFonts w:ascii="Tinos" w:hAnsi="Tinos"/>
                <w:sz w:val="24"/>
              </w:rPr>
            </w:pPr>
            <w:r w:rsidRPr="00A70028">
              <w:rPr>
                <w:rFonts w:ascii="Tinos" w:hAnsi="Tinos"/>
                <w:sz w:val="24"/>
              </w:rPr>
              <w:t>Назначение - Бытовой</w:t>
            </w:r>
          </w:p>
          <w:p w:rsidR="00DA660B" w:rsidRPr="00A70028" w:rsidRDefault="00F62A78">
            <w:pPr>
              <w:jc w:val="left"/>
              <w:rPr>
                <w:rFonts w:ascii="Tinos" w:hAnsi="Tinos"/>
                <w:sz w:val="24"/>
              </w:rPr>
            </w:pPr>
            <w:r w:rsidRPr="00A70028">
              <w:rPr>
                <w:rFonts w:ascii="Tinos" w:hAnsi="Tinos"/>
                <w:sz w:val="24"/>
              </w:rPr>
              <w:t>Наличие клапана в комплекте - Нет</w:t>
            </w:r>
          </w:p>
          <w:p w:rsidR="00DA660B" w:rsidRPr="00A70028" w:rsidRDefault="00F62A78">
            <w:pPr>
              <w:jc w:val="left"/>
              <w:rPr>
                <w:rFonts w:ascii="Tinos" w:hAnsi="Tinos"/>
                <w:sz w:val="24"/>
              </w:rPr>
            </w:pPr>
            <w:r w:rsidRPr="00A70028">
              <w:rPr>
                <w:rFonts w:ascii="Tinos" w:hAnsi="Tinos"/>
                <w:sz w:val="24"/>
              </w:rPr>
              <w:t>Напряжение питания (без учета отклонения) - ≥ 220 Вольт</w:t>
            </w:r>
          </w:p>
          <w:p w:rsidR="00DA660B" w:rsidRPr="00A70028" w:rsidRDefault="00F62A78">
            <w:pPr>
              <w:jc w:val="left"/>
              <w:rPr>
                <w:rFonts w:ascii="Tinos" w:hAnsi="Tinos"/>
                <w:sz w:val="24"/>
              </w:rPr>
            </w:pPr>
            <w:r w:rsidRPr="00A70028">
              <w:rPr>
                <w:rFonts w:ascii="Tinos" w:hAnsi="Tinos"/>
                <w:sz w:val="24"/>
              </w:rPr>
              <w:t>Модель СЗ-1 «СКГ»</w:t>
            </w:r>
            <w:r w:rsidR="004B3CAE" w:rsidRPr="00A70028">
              <w:rPr>
                <w:rFonts w:ascii="Tinos" w:hAnsi="Tinos"/>
                <w:sz w:val="24"/>
              </w:rPr>
              <w:t xml:space="preserve"> </w:t>
            </w:r>
            <w:r w:rsidR="00E51FA7" w:rsidRPr="00A70028">
              <w:rPr>
                <w:rFonts w:ascii="Tinos" w:hAnsi="Tinos"/>
                <w:sz w:val="24"/>
              </w:rPr>
              <w:t xml:space="preserve">или эквивалент </w:t>
            </w:r>
            <w:r w:rsidR="004B3CAE" w:rsidRPr="00A70028">
              <w:rPr>
                <w:rFonts w:ascii="Tinos" w:hAnsi="Tinos"/>
                <w:sz w:val="24"/>
              </w:rPr>
              <w:t>(Данная модель необходима в связи с обеспечением прямой совместимостью устройства с газовым клапаном отсекателем. Использования иной модели, соответствующей общим характеристикам, потребует доработки или замены смежных узлов.)</w:t>
            </w:r>
          </w:p>
        </w:tc>
        <w:tc>
          <w:tcPr>
            <w:tcW w:w="1325" w:type="dxa"/>
            <w:tcBorders>
              <w:bottom w:val="single" w:sz="4" w:space="0" w:color="000000"/>
              <w:right w:val="single" w:sz="4" w:space="0" w:color="000000"/>
            </w:tcBorders>
            <w:vAlign w:val="center"/>
          </w:tcPr>
          <w:p w:rsidR="00DA660B" w:rsidRDefault="00F62A78">
            <w:pPr>
              <w:rPr>
                <w:rFonts w:ascii="Tinos" w:hAnsi="Tinos" w:cs="Times New Roman"/>
                <w:sz w:val="24"/>
              </w:rPr>
            </w:pPr>
            <w:r>
              <w:rPr>
                <w:rFonts w:ascii="Tinos" w:hAnsi="Tinos" w:cs="Times New Roman"/>
                <w:sz w:val="24"/>
              </w:rPr>
              <w:t>Штука</w:t>
            </w:r>
          </w:p>
        </w:tc>
        <w:tc>
          <w:tcPr>
            <w:tcW w:w="1012" w:type="dxa"/>
            <w:tcBorders>
              <w:bottom w:val="single" w:sz="4" w:space="0" w:color="000000"/>
              <w:right w:val="single" w:sz="4" w:space="0" w:color="000000"/>
            </w:tcBorders>
            <w:vAlign w:val="center"/>
          </w:tcPr>
          <w:p w:rsidR="00DA660B" w:rsidRDefault="00F62A78">
            <w:pPr>
              <w:rPr>
                <w:rFonts w:ascii="Tinos" w:hAnsi="Tinos" w:cs="Times New Roman"/>
                <w:sz w:val="24"/>
              </w:rPr>
            </w:pPr>
            <w:r>
              <w:rPr>
                <w:rFonts w:ascii="Tinos" w:hAnsi="Tinos" w:cs="Times New Roman"/>
                <w:sz w:val="24"/>
              </w:rPr>
              <w:t>1</w:t>
            </w:r>
          </w:p>
        </w:tc>
      </w:tr>
    </w:tbl>
    <w:p w:rsidR="00DA660B" w:rsidRDefault="00DA660B">
      <w:pPr>
        <w:jc w:val="both"/>
        <w:rPr>
          <w:rFonts w:ascii="Times New Roman" w:hAnsi="Times New Roman" w:cs="Times New Roman"/>
          <w:bCs/>
          <w:sz w:val="24"/>
        </w:rPr>
      </w:pPr>
    </w:p>
    <w:p w:rsidR="00DA660B" w:rsidRDefault="00F62A78">
      <w:pPr>
        <w:jc w:val="both"/>
        <w:rPr>
          <w:rFonts w:ascii="Times New Roman" w:hAnsi="Times New Roman" w:cs="Times New Roman"/>
          <w:b/>
          <w:sz w:val="24"/>
          <w:lang w:eastAsia="zh-CN"/>
        </w:rPr>
      </w:pPr>
      <w:r>
        <w:rPr>
          <w:rFonts w:ascii="Times New Roman" w:hAnsi="Times New Roman" w:cs="Times New Roman"/>
          <w:b/>
          <w:sz w:val="24"/>
          <w:lang w:eastAsia="zh-CN"/>
        </w:rPr>
        <w:t>Порядок сдачи и приемки товара:</w:t>
      </w:r>
    </w:p>
    <w:p w:rsidR="00DA660B" w:rsidRDefault="00F62A78">
      <w:pPr>
        <w:jc w:val="both"/>
        <w:rPr>
          <w:rFonts w:ascii="Times New Roman" w:hAnsi="Times New Roman" w:cs="Times New Roman"/>
          <w:sz w:val="24"/>
          <w:lang w:eastAsia="zh-CN"/>
        </w:rPr>
      </w:pPr>
      <w:r>
        <w:rPr>
          <w:rFonts w:ascii="Times New Roman" w:hAnsi="Times New Roman" w:cs="Times New Roman"/>
          <w:sz w:val="24"/>
          <w:lang w:eastAsia="zh-CN"/>
        </w:rPr>
        <w:t>1. По факту приемки по Контракту Заказчик и Поставщик подписывают товарную накладную или универсальный передаточный документ, подтверждающий факт выполнения обязательств. А также Поставщик направляет</w:t>
      </w:r>
      <w:r w:rsidR="00406C77">
        <w:rPr>
          <w:rFonts w:ascii="Times New Roman" w:hAnsi="Times New Roman" w:cs="Times New Roman"/>
          <w:sz w:val="24"/>
          <w:lang w:eastAsia="zh-CN"/>
        </w:rPr>
        <w:t xml:space="preserve"> Заказчику акт по форме 0510452</w:t>
      </w:r>
      <w:r>
        <w:rPr>
          <w:rFonts w:ascii="Times New Roman" w:hAnsi="Times New Roman" w:cs="Times New Roman"/>
          <w:sz w:val="24"/>
          <w:lang w:eastAsia="zh-CN"/>
        </w:rPr>
        <w:t>, подписанный со своей стороны.</w:t>
      </w:r>
    </w:p>
    <w:p w:rsidR="00DA660B" w:rsidRDefault="00F62A78">
      <w:pPr>
        <w:jc w:val="both"/>
        <w:rPr>
          <w:rFonts w:ascii="Times New Roman" w:hAnsi="Times New Roman" w:cs="Times New Roman"/>
          <w:sz w:val="24"/>
          <w:lang w:eastAsia="zh-CN"/>
        </w:rPr>
      </w:pPr>
      <w:r>
        <w:rPr>
          <w:rFonts w:ascii="Times New Roman" w:hAnsi="Times New Roman" w:cs="Times New Roman"/>
          <w:sz w:val="24"/>
          <w:lang w:eastAsia="zh-CN"/>
        </w:rPr>
        <w:t>2. Приемка товара на соответствие его объема и качества требованиям, установленным в Контракте, производится представителями Заказчика в течение 10 рабочих дней со дня получения документа о приемке, подписанного со стороны Поставщика. В случае принятия решения о проведении независимой экспертизы, приемка товара продлевается на время проведения независимой экспертизы.</w:t>
      </w:r>
    </w:p>
    <w:p w:rsidR="00DA660B" w:rsidRDefault="00F62A78">
      <w:pPr>
        <w:jc w:val="both"/>
        <w:rPr>
          <w:rFonts w:ascii="Times New Roman" w:hAnsi="Times New Roman" w:cs="Times New Roman"/>
          <w:sz w:val="24"/>
          <w:lang w:eastAsia="zh-CN"/>
        </w:rPr>
      </w:pPr>
      <w:r>
        <w:rPr>
          <w:rFonts w:ascii="Times New Roman" w:hAnsi="Times New Roman" w:cs="Times New Roman"/>
          <w:sz w:val="24"/>
          <w:lang w:eastAsia="zh-CN"/>
        </w:rPr>
        <w:t>3. В случае обнаружения недостатков в объеме и качестве поставленного товара Заказчик, не позднее 3 (трех) рабочих дней с даты обнаружения указанных нарушений, направляет Поставщику уведомление о невыполнении или ненадлежащем выполнении Поставщиком обязательств по Контракту. Уведомление составляется Заказчиком в письменной форме, содержит все замечания и перечень необходимых доработок, сроков их выполнения, и направляется Поставщику по почте, факсу, электронной почте, нарочным либо иным другим доступным способом. Доработки выполняются без дополнительной оплаты.</w:t>
      </w:r>
    </w:p>
    <w:p w:rsidR="00DA660B" w:rsidRDefault="00F62A78">
      <w:pPr>
        <w:jc w:val="both"/>
        <w:rPr>
          <w:rFonts w:ascii="Times New Roman" w:hAnsi="Times New Roman" w:cs="Times New Roman"/>
          <w:sz w:val="24"/>
          <w:lang w:eastAsia="zh-CN"/>
        </w:rPr>
      </w:pPr>
      <w:r>
        <w:rPr>
          <w:rFonts w:ascii="Times New Roman" w:hAnsi="Times New Roman" w:cs="Times New Roman"/>
          <w:sz w:val="24"/>
          <w:lang w:eastAsia="zh-CN"/>
        </w:rPr>
        <w:t>4. Поставщик в установленный в уведомлении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если такие действия осуществлялись Заказчиком и (или) направить решение об одностороннем отказе от исполнения Контракта.</w:t>
      </w:r>
    </w:p>
    <w:p w:rsidR="00DA660B" w:rsidRDefault="00F62A78">
      <w:pPr>
        <w:jc w:val="both"/>
      </w:pPr>
      <w:r>
        <w:rPr>
          <w:rFonts w:ascii="Times New Roman" w:hAnsi="Times New Roman" w:cs="Times New Roman"/>
          <w:sz w:val="24"/>
          <w:lang w:eastAsia="zh-CN"/>
        </w:rPr>
        <w:t xml:space="preserve">5. В случае, если Поставщик не согласен с доводами, изложенными в уведомлении Заказчика, Поставщик обязан самостоятельно подтвердить качество поставленного товара заключением эксперта, экспертной организации и представить Заказчику оригинал такого заключения. </w:t>
      </w:r>
      <w:r>
        <w:rPr>
          <w:rFonts w:ascii="Times New Roman" w:hAnsi="Times New Roman" w:cs="Times New Roman"/>
          <w:b/>
          <w:color w:val="000000"/>
          <w:sz w:val="24"/>
        </w:rPr>
        <w:t>Ответственность сторон.</w:t>
      </w:r>
    </w:p>
    <w:p w:rsidR="00DA660B" w:rsidRDefault="00F62A78">
      <w:pPr>
        <w:jc w:val="both"/>
        <w:rPr>
          <w:rFonts w:ascii="Times New Roman" w:hAnsi="Times New Roman" w:cs="Times New Roman"/>
          <w:bCs/>
          <w:sz w:val="24"/>
        </w:rPr>
      </w:pPr>
      <w:r>
        <w:rPr>
          <w:rFonts w:ascii="Times New Roman" w:hAnsi="Times New Roman" w:cs="Times New Roman"/>
          <w:bCs/>
          <w:sz w:val="24"/>
        </w:rPr>
        <w:lastRenderedPageBreak/>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а) 10 процентов цены контракта (этапа) в случае, если цена контракта (этапа) не превышает 3 млн. рублей;</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б) 5 процентов цены контракта (этапа) в случае, если цена контракта (этапа) составляет от 3 млн. рублей до 50 млн. рублей (включительно);</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в) 1 процент цены контракта (этапа) в случае, если цена контракта (этапа) составляет от 50 млн. рублей до 100 млн. рублей (включительно);</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г) 0,5 процента цены контракта (этапа) в случае, если цена контракта (этапа) составляет от 100 млн. рублей до 500 млн. рублей (включительно);</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д) 0,4 процента цены контракта (этапа) в случае, если цена контракта (этапа) составляет от 500 млн. рублей до 1 млрд. рублей (включительно);</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е) 0,3 процента цены контракта (этапа) в случае, если цена контракта (этапа) составляет от 1 млрд. рублей до 2 млрд. рублей (включительно);</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ж) 0,25 процента цены контракта (этапа) в случае, если цена контракта (этапа) составляет от 2 млрд. рублей до 5 млрд. рублей (включительно);</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з) 0,2 процента цены контракта (этапа) в случае, если цена контракта (этапа) составляет от 5 млрд. рублей до 10 млрд. рублей (включительно);</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и) 0,1 процента цены контракта (этапа) в случае, если цена контракта (этапа) превышает 10 млрд. рублей.</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а) 1000 рублей, если цена контракта не превышает 3 млн. рублей;</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б) 5000 рублей, если цена контракта составляет от 3 млн. рублей до 50 млн. рублей (включительно);</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в) 10000 рублей, если цена контракта составляет от 50 млн. рублей до 100 млн. рублей (включительно);</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г) 100000 рублей, если цена контракта превышает 100 млн. рублей.</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согласно Правил, установленных Постановлением Правительства РФ от 30.08.2017 №1042, за исключением просрочки исполнения обязательств (в том числе гарантийного обязательства), предусмотренных контрактом, и устанавливается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а) в случае, если цена контракта не превышает начальную (максимальную) цену контракта:</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10 процентов начальной (максимальной) цены контракта, если цена контракта не превышает 3 млн. рублей;</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5 процентов начальной (максимальной) цены контракта, если цена контракта составляет от 3 млн. рублей до 50 млн. рублей (включительно);</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1 процент начальной (максимальной) цены контракта, если цена контракта составляет от 50 млн. рублей до 100 млн. рублей (включительно).</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б) в случае, если цена контракта превышает начальную (максимальную) цену контракта:</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10 процентов цены контракта, если цена контракта не превышает 3 млн. рублей;</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lastRenderedPageBreak/>
        <w:t>5 процентов цены контракта, если цена контракта составляет от 3 млн. рублей до 50 млн. рублей (включительно).</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1 процент цены контракта, если цена контракта составляет от 50 млн. рублей до 100 млн. рублей (включительно).</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За каждый факт неисполнения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а) 1000 рублей, если цена контракта не превышает 3 млн. рублей (включительно);</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б) 5000 рублей, если цена контракта составляет от 3 млн. рублей до 50 млн. рублей (включительно);</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в) 10000 рублей, если цена контракта составляет от 50 млн. рублей до 100 млн. рублей (включительно);</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г) 100000 рублей, если цена контракта превышает 100 млн. рублей.</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Уплата неустойки (пеней, штрафа) не освобождает Стороны от выполнения принятых обязательств.</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DA660B" w:rsidRDefault="00DA660B">
      <w:pPr>
        <w:tabs>
          <w:tab w:val="left" w:pos="567"/>
        </w:tabs>
        <w:jc w:val="both"/>
        <w:rPr>
          <w:rFonts w:ascii="Times New Roman" w:hAnsi="Times New Roman" w:cs="Times New Roman"/>
          <w:b/>
          <w:color w:val="000000"/>
          <w:sz w:val="24"/>
        </w:rPr>
      </w:pPr>
    </w:p>
    <w:p w:rsidR="00DA660B" w:rsidRDefault="00F62A78">
      <w:pPr>
        <w:tabs>
          <w:tab w:val="left" w:pos="567"/>
        </w:tabs>
        <w:jc w:val="both"/>
        <w:rPr>
          <w:rFonts w:ascii="Times New Roman" w:hAnsi="Times New Roman" w:cs="Times New Roman"/>
          <w:b/>
          <w:color w:val="000000"/>
          <w:sz w:val="24"/>
        </w:rPr>
      </w:pPr>
      <w:r>
        <w:rPr>
          <w:rFonts w:ascii="Times New Roman" w:hAnsi="Times New Roman" w:cs="Times New Roman"/>
          <w:b/>
          <w:color w:val="000000"/>
          <w:sz w:val="24"/>
        </w:rPr>
        <w:t>Порядок разрешения споров.</w:t>
      </w:r>
    </w:p>
    <w:p w:rsidR="00DA660B" w:rsidRDefault="00F62A78">
      <w:pPr>
        <w:tabs>
          <w:tab w:val="left" w:pos="567"/>
        </w:tabs>
        <w:jc w:val="both"/>
        <w:rPr>
          <w:rFonts w:ascii="Times New Roman" w:hAnsi="Times New Roman" w:cs="Times New Roman"/>
          <w:bCs/>
          <w:sz w:val="24"/>
        </w:rPr>
      </w:pPr>
      <w:r>
        <w:rPr>
          <w:rFonts w:ascii="Times New Roman" w:hAnsi="Times New Roman" w:cs="Times New Roman"/>
          <w:bCs/>
          <w:sz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w:t>
      </w:r>
    </w:p>
    <w:p w:rsidR="00DA660B" w:rsidRDefault="00F62A78">
      <w:pPr>
        <w:tabs>
          <w:tab w:val="left" w:pos="567"/>
        </w:tabs>
        <w:jc w:val="both"/>
      </w:pPr>
      <w:r>
        <w:rPr>
          <w:rFonts w:ascii="Times New Roman" w:hAnsi="Times New Roman" w:cs="Times New Roman"/>
          <w:sz w:val="24"/>
        </w:rPr>
        <w:t>В случае, если Стороны не придут к соглашению, споры подлежат рассмотрению в Арбитражном суде Республики Татарстан.</w:t>
      </w:r>
    </w:p>
    <w:sectPr w:rsidR="00DA660B">
      <w:headerReference w:type="default" r:id="rId9"/>
      <w:footerReference w:type="default" r:id="rId10"/>
      <w:pgSz w:w="11906" w:h="16838"/>
      <w:pgMar w:top="1134" w:right="567" w:bottom="1134" w:left="1134" w:header="567" w:footer="567" w:gutter="0"/>
      <w:cols w:space="720"/>
      <w:formProt w:val="0"/>
      <w:titlePg/>
      <w:docGrid w:linePitch="600" w:charSpace="2457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3BB" w:rsidRDefault="005953BB">
      <w:r>
        <w:separator/>
      </w:r>
    </w:p>
  </w:endnote>
  <w:endnote w:type="continuationSeparator" w:id="0">
    <w:p w:rsidR="005953BB" w:rsidRDefault="00595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altName w:val="Times New Roman"/>
    <w:charset w:val="01"/>
    <w:family w:val="roman"/>
    <w:pitch w:val="variable"/>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default"/>
  </w:font>
  <w:font w:name="Source Han Sans CN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OpenSymbol">
    <w:altName w:val="Arial Unicode MS"/>
    <w:charset w:val="01"/>
    <w:family w:val="roman"/>
    <w:pitch w:val="default"/>
  </w:font>
  <w:font w:name="Liberation Mono">
    <w:altName w:val="Courier New"/>
    <w:charset w:val="01"/>
    <w:family w:val="roman"/>
    <w:pitch w:val="default"/>
  </w:font>
  <w:font w:name="Tinos">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60B" w:rsidRDefault="00DA660B">
    <w:pPr>
      <w:pStyle w:val="aff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3BB" w:rsidRDefault="005953BB">
      <w:r>
        <w:separator/>
      </w:r>
    </w:p>
  </w:footnote>
  <w:footnote w:type="continuationSeparator" w:id="0">
    <w:p w:rsidR="005953BB" w:rsidRDefault="005953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660B" w:rsidRDefault="00F62A78">
    <w:pPr>
      <w:pStyle w:val="afff4"/>
    </w:pPr>
    <w:r>
      <w:fldChar w:fldCharType="begin"/>
    </w:r>
    <w:r>
      <w:instrText xml:space="preserve"> PAGE </w:instrText>
    </w:r>
    <w:r>
      <w:fldChar w:fldCharType="separate"/>
    </w:r>
    <w:r w:rsidR="00A70028">
      <w:rPr>
        <w:noProof/>
      </w:rPr>
      <w:t>2</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158D7"/>
    <w:multiLevelType w:val="multilevel"/>
    <w:tmpl w:val="E20692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D242C8"/>
    <w:multiLevelType w:val="multilevel"/>
    <w:tmpl w:val="65BECA9A"/>
    <w:lvl w:ilvl="0">
      <w:start w:val="1"/>
      <w:numFmt w:val="decimal"/>
      <w:pStyle w:val="a"/>
      <w:suff w:val="space"/>
      <w:lvlText w:val="%1."/>
      <w:lvlJc w:val="left"/>
      <w:pPr>
        <w:tabs>
          <w:tab w:val="num" w:pos="0"/>
        </w:tabs>
        <w:ind w:left="0" w:firstLine="709"/>
      </w:pPr>
    </w:lvl>
    <w:lvl w:ilvl="1">
      <w:start w:val="1"/>
      <w:numFmt w:val="decimal"/>
      <w:suff w:val="space"/>
      <w:lvlText w:val="%1.%2."/>
      <w:lvlJc w:val="left"/>
      <w:pPr>
        <w:tabs>
          <w:tab w:val="num" w:pos="0"/>
        </w:tabs>
        <w:ind w:left="0" w:firstLine="709"/>
      </w:pPr>
    </w:lvl>
    <w:lvl w:ilvl="2">
      <w:start w:val="1"/>
      <w:numFmt w:val="decimal"/>
      <w:suff w:val="space"/>
      <w:lvlText w:val="%1.%2.%3."/>
      <w:lvlJc w:val="left"/>
      <w:pPr>
        <w:tabs>
          <w:tab w:val="num" w:pos="0"/>
        </w:tabs>
        <w:ind w:left="0" w:firstLine="709"/>
      </w:pPr>
    </w:lvl>
    <w:lvl w:ilvl="3">
      <w:start w:val="1"/>
      <w:numFmt w:val="decimal"/>
      <w:suff w:val="space"/>
      <w:lvlText w:val="%1.%2.%3.%4."/>
      <w:lvlJc w:val="left"/>
      <w:pPr>
        <w:tabs>
          <w:tab w:val="num" w:pos="0"/>
        </w:tabs>
        <w:ind w:left="0" w:firstLine="709"/>
      </w:pPr>
    </w:lvl>
    <w:lvl w:ilvl="4">
      <w:start w:val="1"/>
      <w:numFmt w:val="decimal"/>
      <w:suff w:val="space"/>
      <w:lvlText w:val="%1.%2.%3.%4.%5."/>
      <w:lvlJc w:val="left"/>
      <w:pPr>
        <w:tabs>
          <w:tab w:val="num" w:pos="0"/>
        </w:tabs>
        <w:ind w:left="0" w:firstLine="709"/>
      </w:pPr>
    </w:lvl>
    <w:lvl w:ilvl="5">
      <w:start w:val="1"/>
      <w:numFmt w:val="decimal"/>
      <w:suff w:val="space"/>
      <w:lvlText w:val="%1.%2.%3.%4.%5.%6."/>
      <w:lvlJc w:val="left"/>
      <w:pPr>
        <w:tabs>
          <w:tab w:val="num" w:pos="0"/>
        </w:tabs>
        <w:ind w:left="0" w:firstLine="709"/>
      </w:pPr>
    </w:lvl>
    <w:lvl w:ilvl="6">
      <w:start w:val="1"/>
      <w:numFmt w:val="decimal"/>
      <w:suff w:val="space"/>
      <w:lvlText w:val="%1.%2.%3.%4.%5.%6.%7."/>
      <w:lvlJc w:val="left"/>
      <w:pPr>
        <w:tabs>
          <w:tab w:val="num" w:pos="0"/>
        </w:tabs>
        <w:ind w:left="0" w:firstLine="709"/>
      </w:pPr>
    </w:lvl>
    <w:lvl w:ilvl="7">
      <w:start w:val="1"/>
      <w:numFmt w:val="decimal"/>
      <w:suff w:val="space"/>
      <w:lvlText w:val="%1.%2.%3.%4.%5.%6.%7.%8."/>
      <w:lvlJc w:val="left"/>
      <w:pPr>
        <w:tabs>
          <w:tab w:val="num" w:pos="0"/>
        </w:tabs>
        <w:ind w:left="0" w:firstLine="709"/>
      </w:pPr>
    </w:lvl>
    <w:lvl w:ilvl="8">
      <w:start w:val="1"/>
      <w:numFmt w:val="decimal"/>
      <w:suff w:val="space"/>
      <w:lvlText w:val="%1.%2.%3.%4.%5.%6.%7.%8.%9."/>
      <w:lvlJc w:val="left"/>
      <w:pPr>
        <w:tabs>
          <w:tab w:val="num" w:pos="0"/>
        </w:tabs>
        <w:ind w:left="0" w:firstLine="709"/>
      </w:pPr>
    </w:lvl>
  </w:abstractNum>
  <w:abstractNum w:abstractNumId="2" w15:restartNumberingAfterBreak="0">
    <w:nsid w:val="181E7098"/>
    <w:multiLevelType w:val="multilevel"/>
    <w:tmpl w:val="AC306070"/>
    <w:lvl w:ilvl="0">
      <w:start w:val="1"/>
      <w:numFmt w:val="bullet"/>
      <w:pStyle w:val="a0"/>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DA660B"/>
    <w:rsid w:val="00104426"/>
    <w:rsid w:val="001A41CD"/>
    <w:rsid w:val="00406C77"/>
    <w:rsid w:val="004B3CAE"/>
    <w:rsid w:val="00536C45"/>
    <w:rsid w:val="005953BB"/>
    <w:rsid w:val="0068715B"/>
    <w:rsid w:val="006E7652"/>
    <w:rsid w:val="00794068"/>
    <w:rsid w:val="009D7E02"/>
    <w:rsid w:val="00A70028"/>
    <w:rsid w:val="00AD16EF"/>
    <w:rsid w:val="00D259C7"/>
    <w:rsid w:val="00DA660B"/>
    <w:rsid w:val="00E51FA7"/>
    <w:rsid w:val="00F62A7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30B01"/>
  <w15:docId w15:val="{069C7E2B-3C2A-4134-84E0-A7DE7ACF4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urce Han Sans CN Regular" w:hAnsi="Liberation Serif" w:cs="Lohit Devanagari"/>
        <w:kern w:val="2"/>
        <w:sz w:val="24"/>
        <w:szCs w:val="24"/>
        <w:lang w:val="ru-RU" w:eastAsia="ru-RU" w:bidi="ru-RU"/>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overflowPunct w:val="0"/>
      <w:jc w:val="center"/>
    </w:pPr>
    <w:rPr>
      <w:rFonts w:ascii="PT Astra Serif" w:hAnsi="PT Astra Serif"/>
      <w:sz w:val="28"/>
    </w:rPr>
  </w:style>
  <w:style w:type="paragraph" w:styleId="1">
    <w:name w:val="heading 1"/>
    <w:basedOn w:val="a2"/>
    <w:next w:val="a3"/>
    <w:qFormat/>
    <w:pPr>
      <w:spacing w:after="0"/>
      <w:outlineLvl w:val="0"/>
    </w:pPr>
  </w:style>
  <w:style w:type="paragraph" w:styleId="2">
    <w:name w:val="heading 2"/>
    <w:basedOn w:val="a2"/>
    <w:next w:val="a4"/>
    <w:qFormat/>
    <w:pPr>
      <w:spacing w:after="0"/>
      <w:outlineLvl w:val="1"/>
    </w:pPr>
  </w:style>
  <w:style w:type="paragraph" w:styleId="3">
    <w:name w:val="heading 3"/>
    <w:basedOn w:val="a2"/>
    <w:next w:val="a4"/>
    <w:qFormat/>
    <w:pPr>
      <w:spacing w:after="0"/>
      <w:outlineLvl w:val="2"/>
    </w:pPr>
  </w:style>
  <w:style w:type="paragraph" w:styleId="4">
    <w:name w:val="heading 4"/>
    <w:basedOn w:val="a2"/>
    <w:next w:val="a4"/>
    <w:qFormat/>
    <w:pPr>
      <w:spacing w:after="0"/>
      <w:outlineLvl w:val="3"/>
    </w:pPr>
  </w:style>
  <w:style w:type="paragraph" w:styleId="5">
    <w:name w:val="heading 5"/>
    <w:basedOn w:val="a2"/>
    <w:next w:val="a4"/>
    <w:qFormat/>
    <w:pPr>
      <w:spacing w:after="0"/>
      <w:outlineLvl w:val="4"/>
    </w:pPr>
  </w:style>
  <w:style w:type="paragraph" w:styleId="6">
    <w:name w:val="heading 6"/>
    <w:basedOn w:val="a2"/>
    <w:next w:val="a4"/>
    <w:qFormat/>
    <w:pPr>
      <w:outlineLvl w:val="5"/>
    </w:pPr>
  </w:style>
  <w:style w:type="paragraph" w:styleId="7">
    <w:name w:val="heading 7"/>
    <w:basedOn w:val="a2"/>
    <w:next w:val="a4"/>
    <w:qFormat/>
    <w:pPr>
      <w:spacing w:after="0"/>
      <w:outlineLvl w:val="6"/>
    </w:pPr>
  </w:style>
  <w:style w:type="paragraph" w:styleId="8">
    <w:name w:val="heading 8"/>
    <w:basedOn w:val="a2"/>
    <w:next w:val="a4"/>
    <w:qFormat/>
    <w:pPr>
      <w:spacing w:after="0"/>
      <w:outlineLvl w:val="7"/>
    </w:pPr>
  </w:style>
  <w:style w:type="paragraph" w:styleId="9">
    <w:name w:val="heading 9"/>
    <w:basedOn w:val="a2"/>
    <w:next w:val="a4"/>
    <w:qFormat/>
    <w:pPr>
      <w:spacing w:after="0"/>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a8">
    <w:name w:val="Символ нумерации"/>
    <w:qFormat/>
  </w:style>
  <w:style w:type="character" w:customStyle="1" w:styleId="a9">
    <w:name w:val="Маркеры"/>
    <w:qFormat/>
    <w:rPr>
      <w:rFonts w:ascii="OpenSymbol" w:eastAsia="OpenSymbol" w:hAnsi="OpenSymbol" w:cs="OpenSymbol"/>
    </w:rPr>
  </w:style>
  <w:style w:type="character" w:customStyle="1" w:styleId="aa">
    <w:name w:val="Символ сноски"/>
    <w:qFormat/>
    <w:rPr>
      <w:vertAlign w:val="superscript"/>
    </w:rPr>
  </w:style>
  <w:style w:type="character" w:styleId="ab">
    <w:name w:val="footnote reference"/>
    <w:rPr>
      <w:vertAlign w:val="superscript"/>
    </w:rPr>
  </w:style>
  <w:style w:type="character" w:styleId="ac">
    <w:name w:val="page number"/>
  </w:style>
  <w:style w:type="character" w:customStyle="1" w:styleId="ad">
    <w:name w:val="Символы названия"/>
    <w:qFormat/>
  </w:style>
  <w:style w:type="character" w:customStyle="1" w:styleId="ae">
    <w:name w:val="Буквица"/>
    <w:qFormat/>
  </w:style>
  <w:style w:type="character" w:styleId="af">
    <w:name w:val="Hyperlink"/>
    <w:rPr>
      <w:color w:val="000080"/>
      <w:u w:val="single"/>
    </w:rPr>
  </w:style>
  <w:style w:type="character" w:styleId="af0">
    <w:name w:val="FollowedHyperlink"/>
    <w:rPr>
      <w:color w:val="800000"/>
      <w:u w:val="single"/>
    </w:rPr>
  </w:style>
  <w:style w:type="character" w:customStyle="1" w:styleId="af1">
    <w:name w:val="Заполнитель"/>
    <w:qFormat/>
    <w:rPr>
      <w:smallCaps/>
      <w:color w:val="008080"/>
      <w:u w:val="dotted"/>
    </w:rPr>
  </w:style>
  <w:style w:type="character" w:customStyle="1" w:styleId="af2">
    <w:name w:val="Ссылка указателя"/>
    <w:qFormat/>
  </w:style>
  <w:style w:type="character" w:customStyle="1" w:styleId="af3">
    <w:name w:val="Символ концевой сноски"/>
    <w:qFormat/>
    <w:rPr>
      <w:vertAlign w:val="superscript"/>
    </w:rPr>
  </w:style>
  <w:style w:type="character" w:styleId="af4">
    <w:name w:val="line number"/>
  </w:style>
  <w:style w:type="character" w:customStyle="1" w:styleId="af5">
    <w:name w:val="Основной элемент указателя"/>
    <w:qFormat/>
    <w:rPr>
      <w:b/>
      <w:bCs/>
    </w:rPr>
  </w:style>
  <w:style w:type="character" w:styleId="af6">
    <w:name w:val="endnote reference"/>
    <w:rPr>
      <w:vertAlign w:val="superscript"/>
    </w:rPr>
  </w:style>
  <w:style w:type="character" w:customStyle="1" w:styleId="af7">
    <w:name w:val="Фуригана"/>
    <w:qFormat/>
    <w:rPr>
      <w:sz w:val="12"/>
      <w:szCs w:val="12"/>
      <w:u w:val="none"/>
      <w:em w:val="none"/>
    </w:rPr>
  </w:style>
  <w:style w:type="character" w:customStyle="1" w:styleId="af8">
    <w:name w:val="Вертикальное направление символов"/>
    <w:qFormat/>
    <w:rPr>
      <w:eastAsianLayout w:id="-391899390" w:vert="1"/>
    </w:rPr>
  </w:style>
  <w:style w:type="character" w:styleId="af9">
    <w:name w:val="Emphasis"/>
    <w:qFormat/>
    <w:rPr>
      <w:i/>
      <w:iCs/>
    </w:rPr>
  </w:style>
  <w:style w:type="character" w:customStyle="1" w:styleId="10">
    <w:name w:val="Цитата1"/>
    <w:qFormat/>
    <w:rPr>
      <w:i/>
      <w:iCs/>
    </w:rPr>
  </w:style>
  <w:style w:type="character" w:styleId="afa">
    <w:name w:val="Strong"/>
    <w:qFormat/>
    <w:rPr>
      <w:b/>
      <w:bCs/>
    </w:rPr>
  </w:style>
  <w:style w:type="character" w:customStyle="1" w:styleId="afb">
    <w:name w:val="Исходный текст"/>
    <w:qFormat/>
    <w:rPr>
      <w:rFonts w:ascii="Liberation Mono" w:eastAsia="Liberation Mono" w:hAnsi="Liberation Mono" w:cs="Liberation Mono"/>
    </w:rPr>
  </w:style>
  <w:style w:type="character" w:customStyle="1" w:styleId="afc">
    <w:name w:val="Пример"/>
    <w:qFormat/>
    <w:rPr>
      <w:rFonts w:ascii="Liberation Mono" w:eastAsia="Liberation Mono" w:hAnsi="Liberation Mono" w:cs="Liberation Mono"/>
    </w:rPr>
  </w:style>
  <w:style w:type="character" w:customStyle="1" w:styleId="afd">
    <w:name w:val="Ввод пользователя"/>
    <w:qFormat/>
    <w:rPr>
      <w:rFonts w:ascii="Liberation Mono" w:eastAsia="Liberation Mono" w:hAnsi="Liberation Mono" w:cs="Liberation Mono"/>
    </w:rPr>
  </w:style>
  <w:style w:type="character" w:customStyle="1" w:styleId="afe">
    <w:name w:val="Переменная"/>
    <w:qFormat/>
    <w:rPr>
      <w:i/>
      <w:iCs/>
    </w:rPr>
  </w:style>
  <w:style w:type="character" w:customStyle="1" w:styleId="aff">
    <w:name w:val="Определение"/>
    <w:qFormat/>
  </w:style>
  <w:style w:type="character" w:customStyle="1" w:styleId="aff0">
    <w:name w:val="Непропорциональный текст"/>
    <w:qFormat/>
    <w:rPr>
      <w:rFonts w:ascii="Liberation Mono" w:eastAsia="Liberation Mono" w:hAnsi="Liberation Mono" w:cs="Liberation Mono"/>
    </w:rPr>
  </w:style>
  <w:style w:type="paragraph" w:styleId="a2">
    <w:name w:val="Title"/>
    <w:basedOn w:val="a1"/>
    <w:next w:val="a3"/>
    <w:qFormat/>
    <w:pPr>
      <w:spacing w:after="170"/>
    </w:pPr>
    <w:rPr>
      <w:b/>
    </w:rPr>
  </w:style>
  <w:style w:type="paragraph" w:styleId="a4">
    <w:name w:val="Body Text"/>
    <w:basedOn w:val="a1"/>
    <w:pPr>
      <w:jc w:val="both"/>
    </w:pPr>
  </w:style>
  <w:style w:type="paragraph" w:styleId="aff1">
    <w:name w:val="List"/>
    <w:basedOn w:val="a4"/>
  </w:style>
  <w:style w:type="paragraph" w:styleId="aff2">
    <w:name w:val="caption"/>
    <w:basedOn w:val="a1"/>
    <w:qFormat/>
  </w:style>
  <w:style w:type="paragraph" w:styleId="aff3">
    <w:name w:val="index heading"/>
    <w:basedOn w:val="a2"/>
  </w:style>
  <w:style w:type="paragraph" w:customStyle="1" w:styleId="aff4">
    <w:name w:val="Блочная цитата"/>
    <w:basedOn w:val="a1"/>
    <w:qFormat/>
  </w:style>
  <w:style w:type="paragraph" w:styleId="aff5">
    <w:name w:val="Subtitle"/>
    <w:basedOn w:val="a1"/>
    <w:next w:val="a3"/>
    <w:qFormat/>
    <w:pPr>
      <w:ind w:left="709"/>
      <w:jc w:val="both"/>
    </w:pPr>
    <w:rPr>
      <w:b/>
    </w:rPr>
  </w:style>
  <w:style w:type="paragraph" w:styleId="a3">
    <w:name w:val="Body Text First Indent"/>
    <w:basedOn w:val="a1"/>
    <w:pPr>
      <w:ind w:firstLine="709"/>
      <w:jc w:val="both"/>
    </w:pPr>
  </w:style>
  <w:style w:type="paragraph" w:customStyle="1" w:styleId="aff6">
    <w:name w:val="Обратный отступ"/>
    <w:basedOn w:val="a4"/>
    <w:qFormat/>
    <w:pPr>
      <w:tabs>
        <w:tab w:val="left" w:pos="0"/>
      </w:tabs>
    </w:pPr>
  </w:style>
  <w:style w:type="paragraph" w:styleId="aff7">
    <w:name w:val="Body Text Indent"/>
    <w:basedOn w:val="a4"/>
  </w:style>
  <w:style w:type="paragraph" w:styleId="aff8">
    <w:name w:val="Salutation"/>
    <w:basedOn w:val="a1"/>
  </w:style>
  <w:style w:type="paragraph" w:styleId="aff9">
    <w:name w:val="Signature"/>
    <w:basedOn w:val="a1"/>
    <w:pPr>
      <w:tabs>
        <w:tab w:val="right" w:pos="31680"/>
      </w:tabs>
      <w:jc w:val="left"/>
    </w:pPr>
  </w:style>
  <w:style w:type="paragraph" w:customStyle="1" w:styleId="affa">
    <w:name w:val="Отступы"/>
    <w:basedOn w:val="a4"/>
    <w:qFormat/>
    <w:pPr>
      <w:tabs>
        <w:tab w:val="left" w:pos="0"/>
      </w:tabs>
    </w:pPr>
  </w:style>
  <w:style w:type="paragraph" w:styleId="affb">
    <w:name w:val="annotation text"/>
    <w:basedOn w:val="a4"/>
  </w:style>
  <w:style w:type="paragraph" w:customStyle="1" w:styleId="100">
    <w:name w:val="Заголовок 10"/>
    <w:basedOn w:val="a2"/>
    <w:next w:val="a4"/>
    <w:qFormat/>
    <w:pPr>
      <w:spacing w:after="0"/>
    </w:pPr>
  </w:style>
  <w:style w:type="paragraph" w:customStyle="1" w:styleId="11">
    <w:name w:val="Нумерованный 1 начало"/>
    <w:basedOn w:val="aff1"/>
    <w:next w:val="a"/>
    <w:qFormat/>
  </w:style>
  <w:style w:type="paragraph" w:styleId="a">
    <w:name w:val="List Number"/>
    <w:basedOn w:val="aff1"/>
    <w:pPr>
      <w:numPr>
        <w:numId w:val="1"/>
      </w:numPr>
    </w:pPr>
  </w:style>
  <w:style w:type="paragraph" w:customStyle="1" w:styleId="12">
    <w:name w:val="Нумерованный 1 конец"/>
    <w:basedOn w:val="aff1"/>
    <w:next w:val="a"/>
    <w:qFormat/>
  </w:style>
  <w:style w:type="paragraph" w:customStyle="1" w:styleId="13">
    <w:name w:val="Нумерованный 1 прод."/>
    <w:basedOn w:val="aff1"/>
    <w:qFormat/>
  </w:style>
  <w:style w:type="paragraph" w:customStyle="1" w:styleId="20">
    <w:name w:val="Нумерованный 2 начало"/>
    <w:basedOn w:val="aff1"/>
    <w:next w:val="21"/>
    <w:qFormat/>
  </w:style>
  <w:style w:type="paragraph" w:styleId="21">
    <w:name w:val="List Number 2"/>
    <w:basedOn w:val="aff1"/>
  </w:style>
  <w:style w:type="paragraph" w:customStyle="1" w:styleId="22">
    <w:name w:val="Нумерованный 2 конец"/>
    <w:basedOn w:val="aff1"/>
    <w:next w:val="21"/>
    <w:qFormat/>
  </w:style>
  <w:style w:type="paragraph" w:customStyle="1" w:styleId="23">
    <w:name w:val="Нумерованный 2 прод."/>
    <w:basedOn w:val="aff1"/>
    <w:qFormat/>
  </w:style>
  <w:style w:type="paragraph" w:customStyle="1" w:styleId="30">
    <w:name w:val="Нумерованный 3 начало"/>
    <w:basedOn w:val="aff1"/>
    <w:next w:val="31"/>
    <w:qFormat/>
  </w:style>
  <w:style w:type="paragraph" w:styleId="31">
    <w:name w:val="List Number 3"/>
    <w:basedOn w:val="aff1"/>
  </w:style>
  <w:style w:type="paragraph" w:customStyle="1" w:styleId="32">
    <w:name w:val="Нумерованный 3 конец"/>
    <w:basedOn w:val="aff1"/>
    <w:next w:val="31"/>
    <w:qFormat/>
  </w:style>
  <w:style w:type="paragraph" w:customStyle="1" w:styleId="33">
    <w:name w:val="Нумерованный 3 прод."/>
    <w:basedOn w:val="aff1"/>
    <w:qFormat/>
  </w:style>
  <w:style w:type="paragraph" w:customStyle="1" w:styleId="40">
    <w:name w:val="Нумерованный 4 начало"/>
    <w:basedOn w:val="aff1"/>
    <w:next w:val="41"/>
    <w:qFormat/>
  </w:style>
  <w:style w:type="paragraph" w:styleId="41">
    <w:name w:val="List Number 4"/>
    <w:basedOn w:val="aff1"/>
  </w:style>
  <w:style w:type="paragraph" w:customStyle="1" w:styleId="42">
    <w:name w:val="Нумерованный 4 конец"/>
    <w:basedOn w:val="aff1"/>
    <w:next w:val="41"/>
    <w:qFormat/>
  </w:style>
  <w:style w:type="paragraph" w:customStyle="1" w:styleId="43">
    <w:name w:val="Нумерованный 4 прод."/>
    <w:basedOn w:val="aff1"/>
    <w:qFormat/>
  </w:style>
  <w:style w:type="paragraph" w:customStyle="1" w:styleId="50">
    <w:name w:val="Нумерованный 5 начало"/>
    <w:basedOn w:val="aff1"/>
    <w:next w:val="51"/>
    <w:qFormat/>
  </w:style>
  <w:style w:type="paragraph" w:styleId="51">
    <w:name w:val="List Number 5"/>
    <w:basedOn w:val="aff1"/>
  </w:style>
  <w:style w:type="paragraph" w:customStyle="1" w:styleId="52">
    <w:name w:val="Нумерованный 5 конец"/>
    <w:basedOn w:val="aff1"/>
    <w:next w:val="51"/>
    <w:qFormat/>
  </w:style>
  <w:style w:type="paragraph" w:customStyle="1" w:styleId="53">
    <w:name w:val="Нумерованный 5 прод."/>
    <w:basedOn w:val="aff1"/>
    <w:qFormat/>
  </w:style>
  <w:style w:type="paragraph" w:customStyle="1" w:styleId="14">
    <w:name w:val="Список 1 начало"/>
    <w:basedOn w:val="aff1"/>
    <w:next w:val="a0"/>
    <w:qFormat/>
  </w:style>
  <w:style w:type="paragraph" w:styleId="a0">
    <w:name w:val="List Bullet"/>
    <w:basedOn w:val="aff1"/>
    <w:pPr>
      <w:numPr>
        <w:numId w:val="2"/>
      </w:numPr>
    </w:pPr>
  </w:style>
  <w:style w:type="paragraph" w:customStyle="1" w:styleId="15">
    <w:name w:val="Список 1 конец"/>
    <w:basedOn w:val="aff1"/>
    <w:next w:val="a0"/>
    <w:qFormat/>
  </w:style>
  <w:style w:type="paragraph" w:styleId="affc">
    <w:name w:val="List Continue"/>
    <w:basedOn w:val="aff1"/>
  </w:style>
  <w:style w:type="paragraph" w:customStyle="1" w:styleId="24">
    <w:name w:val="Список 2 начало"/>
    <w:basedOn w:val="aff1"/>
    <w:next w:val="25"/>
    <w:qFormat/>
  </w:style>
  <w:style w:type="paragraph" w:styleId="25">
    <w:name w:val="List Bullet 2"/>
    <w:basedOn w:val="aff1"/>
  </w:style>
  <w:style w:type="paragraph" w:customStyle="1" w:styleId="26">
    <w:name w:val="Список 2 конец"/>
    <w:basedOn w:val="aff1"/>
    <w:next w:val="25"/>
    <w:qFormat/>
  </w:style>
  <w:style w:type="paragraph" w:styleId="27">
    <w:name w:val="List Continue 2"/>
    <w:basedOn w:val="aff1"/>
  </w:style>
  <w:style w:type="paragraph" w:customStyle="1" w:styleId="34">
    <w:name w:val="Список 3 начало"/>
    <w:basedOn w:val="aff1"/>
    <w:next w:val="35"/>
    <w:qFormat/>
  </w:style>
  <w:style w:type="paragraph" w:styleId="35">
    <w:name w:val="List Bullet 3"/>
    <w:basedOn w:val="aff1"/>
  </w:style>
  <w:style w:type="paragraph" w:customStyle="1" w:styleId="36">
    <w:name w:val="Список 3 конец"/>
    <w:basedOn w:val="aff1"/>
    <w:next w:val="35"/>
    <w:qFormat/>
  </w:style>
  <w:style w:type="paragraph" w:styleId="37">
    <w:name w:val="List Continue 3"/>
    <w:basedOn w:val="aff1"/>
  </w:style>
  <w:style w:type="paragraph" w:customStyle="1" w:styleId="44">
    <w:name w:val="Список 4 начало"/>
    <w:basedOn w:val="aff1"/>
    <w:next w:val="45"/>
    <w:qFormat/>
  </w:style>
  <w:style w:type="paragraph" w:styleId="45">
    <w:name w:val="List Bullet 4"/>
    <w:basedOn w:val="aff1"/>
  </w:style>
  <w:style w:type="paragraph" w:customStyle="1" w:styleId="46">
    <w:name w:val="Список 4 конец"/>
    <w:basedOn w:val="aff1"/>
    <w:next w:val="45"/>
    <w:qFormat/>
  </w:style>
  <w:style w:type="paragraph" w:styleId="47">
    <w:name w:val="List Continue 4"/>
    <w:basedOn w:val="aff1"/>
  </w:style>
  <w:style w:type="paragraph" w:customStyle="1" w:styleId="54">
    <w:name w:val="Список 5 начало"/>
    <w:basedOn w:val="aff1"/>
    <w:next w:val="55"/>
    <w:qFormat/>
  </w:style>
  <w:style w:type="paragraph" w:styleId="55">
    <w:name w:val="List Bullet 5"/>
    <w:basedOn w:val="aff1"/>
  </w:style>
  <w:style w:type="paragraph" w:customStyle="1" w:styleId="56">
    <w:name w:val="Список 5 конец"/>
    <w:basedOn w:val="aff1"/>
    <w:next w:val="55"/>
    <w:qFormat/>
  </w:style>
  <w:style w:type="paragraph" w:styleId="57">
    <w:name w:val="List Continue 5"/>
    <w:basedOn w:val="aff1"/>
  </w:style>
  <w:style w:type="paragraph" w:styleId="16">
    <w:name w:val="index 1"/>
    <w:basedOn w:val="aff3"/>
  </w:style>
  <w:style w:type="paragraph" w:styleId="28">
    <w:name w:val="index 2"/>
    <w:basedOn w:val="aff3"/>
  </w:style>
  <w:style w:type="paragraph" w:styleId="38">
    <w:name w:val="index 3"/>
    <w:basedOn w:val="aff3"/>
  </w:style>
  <w:style w:type="paragraph" w:customStyle="1" w:styleId="affd">
    <w:name w:val="Разделитель предметного указателя"/>
    <w:basedOn w:val="aff3"/>
    <w:qFormat/>
  </w:style>
  <w:style w:type="paragraph" w:styleId="affe">
    <w:name w:val="TOC Heading"/>
    <w:basedOn w:val="a2"/>
    <w:next w:val="17"/>
    <w:qFormat/>
  </w:style>
  <w:style w:type="paragraph" w:styleId="17">
    <w:name w:val="toc 1"/>
    <w:basedOn w:val="aff3"/>
    <w:pPr>
      <w:tabs>
        <w:tab w:val="right" w:leader="dot" w:pos="9638"/>
      </w:tabs>
    </w:pPr>
  </w:style>
  <w:style w:type="paragraph" w:styleId="29">
    <w:name w:val="toc 2"/>
    <w:basedOn w:val="aff3"/>
    <w:pPr>
      <w:tabs>
        <w:tab w:val="right" w:leader="dot" w:pos="9355"/>
      </w:tabs>
    </w:pPr>
  </w:style>
  <w:style w:type="paragraph" w:styleId="39">
    <w:name w:val="toc 3"/>
    <w:basedOn w:val="aff3"/>
    <w:pPr>
      <w:tabs>
        <w:tab w:val="right" w:leader="dot" w:pos="9072"/>
      </w:tabs>
    </w:pPr>
  </w:style>
  <w:style w:type="paragraph" w:styleId="48">
    <w:name w:val="toc 4"/>
    <w:basedOn w:val="aff3"/>
    <w:pPr>
      <w:tabs>
        <w:tab w:val="right" w:leader="dot" w:pos="8789"/>
      </w:tabs>
    </w:pPr>
  </w:style>
  <w:style w:type="paragraph" w:styleId="58">
    <w:name w:val="toc 5"/>
    <w:basedOn w:val="aff3"/>
    <w:pPr>
      <w:tabs>
        <w:tab w:val="right" w:leader="dot" w:pos="8506"/>
      </w:tabs>
    </w:pPr>
  </w:style>
  <w:style w:type="paragraph" w:customStyle="1" w:styleId="afff">
    <w:name w:val="Заголовок указателей пользователя"/>
    <w:basedOn w:val="a2"/>
    <w:qFormat/>
  </w:style>
  <w:style w:type="paragraph" w:customStyle="1" w:styleId="18">
    <w:name w:val="Указатель пользователя 1"/>
    <w:basedOn w:val="aff3"/>
    <w:qFormat/>
    <w:pPr>
      <w:tabs>
        <w:tab w:val="right" w:leader="dot" w:pos="9638"/>
      </w:tabs>
    </w:pPr>
  </w:style>
  <w:style w:type="paragraph" w:customStyle="1" w:styleId="2a">
    <w:name w:val="Указатель пользователя 2"/>
    <w:basedOn w:val="aff3"/>
    <w:qFormat/>
    <w:pPr>
      <w:tabs>
        <w:tab w:val="right" w:leader="dot" w:pos="9355"/>
      </w:tabs>
    </w:pPr>
  </w:style>
  <w:style w:type="paragraph" w:customStyle="1" w:styleId="3a">
    <w:name w:val="Указатель пользователя 3"/>
    <w:basedOn w:val="aff3"/>
    <w:qFormat/>
    <w:pPr>
      <w:tabs>
        <w:tab w:val="right" w:leader="dot" w:pos="9072"/>
      </w:tabs>
    </w:pPr>
  </w:style>
  <w:style w:type="paragraph" w:customStyle="1" w:styleId="49">
    <w:name w:val="Указатель пользователя 4"/>
    <w:basedOn w:val="aff3"/>
    <w:qFormat/>
    <w:pPr>
      <w:tabs>
        <w:tab w:val="right" w:leader="dot" w:pos="8789"/>
      </w:tabs>
    </w:pPr>
  </w:style>
  <w:style w:type="paragraph" w:customStyle="1" w:styleId="59">
    <w:name w:val="Указатель пользователя 5"/>
    <w:basedOn w:val="aff3"/>
    <w:qFormat/>
    <w:pPr>
      <w:tabs>
        <w:tab w:val="right" w:leader="dot" w:pos="8506"/>
      </w:tabs>
    </w:pPr>
  </w:style>
  <w:style w:type="paragraph" w:styleId="60">
    <w:name w:val="toc 6"/>
    <w:basedOn w:val="aff3"/>
    <w:pPr>
      <w:tabs>
        <w:tab w:val="right" w:leader="dot" w:pos="8223"/>
      </w:tabs>
    </w:pPr>
  </w:style>
  <w:style w:type="paragraph" w:styleId="70">
    <w:name w:val="toc 7"/>
    <w:basedOn w:val="aff3"/>
    <w:pPr>
      <w:tabs>
        <w:tab w:val="right" w:leader="dot" w:pos="7940"/>
      </w:tabs>
    </w:pPr>
  </w:style>
  <w:style w:type="paragraph" w:styleId="80">
    <w:name w:val="toc 8"/>
    <w:basedOn w:val="aff3"/>
    <w:pPr>
      <w:tabs>
        <w:tab w:val="right" w:leader="dot" w:pos="7657"/>
      </w:tabs>
    </w:pPr>
  </w:style>
  <w:style w:type="paragraph" w:styleId="90">
    <w:name w:val="toc 9"/>
    <w:basedOn w:val="aff3"/>
    <w:pPr>
      <w:tabs>
        <w:tab w:val="right" w:leader="dot" w:pos="7374"/>
      </w:tabs>
    </w:pPr>
  </w:style>
  <w:style w:type="paragraph" w:customStyle="1" w:styleId="101">
    <w:name w:val="Оглавление 10"/>
    <w:basedOn w:val="aff3"/>
    <w:qFormat/>
    <w:pPr>
      <w:tabs>
        <w:tab w:val="right" w:leader="dot" w:pos="7091"/>
      </w:tabs>
    </w:pPr>
  </w:style>
  <w:style w:type="paragraph" w:customStyle="1" w:styleId="IllustrationIndex1">
    <w:name w:val="Illustration Index 1"/>
    <w:basedOn w:val="aff3"/>
    <w:qFormat/>
    <w:pPr>
      <w:tabs>
        <w:tab w:val="right" w:leader="dot" w:pos="9638"/>
      </w:tabs>
    </w:pPr>
  </w:style>
  <w:style w:type="paragraph" w:customStyle="1" w:styleId="afff0">
    <w:name w:val="Заголовок списка объектов"/>
    <w:basedOn w:val="a2"/>
    <w:qFormat/>
  </w:style>
  <w:style w:type="paragraph" w:customStyle="1" w:styleId="19">
    <w:name w:val="Список объектов 1"/>
    <w:basedOn w:val="aff3"/>
    <w:qFormat/>
    <w:pPr>
      <w:tabs>
        <w:tab w:val="right" w:leader="dot" w:pos="9638"/>
      </w:tabs>
    </w:pPr>
  </w:style>
  <w:style w:type="paragraph" w:customStyle="1" w:styleId="afff1">
    <w:name w:val="Заголовок списка таблиц"/>
    <w:basedOn w:val="a2"/>
    <w:qFormat/>
  </w:style>
  <w:style w:type="paragraph" w:customStyle="1" w:styleId="1a">
    <w:name w:val="Список таблиц 1"/>
    <w:basedOn w:val="aff3"/>
    <w:qFormat/>
    <w:pPr>
      <w:tabs>
        <w:tab w:val="right" w:leader="dot" w:pos="9638"/>
      </w:tabs>
    </w:pPr>
  </w:style>
  <w:style w:type="paragraph" w:styleId="afff2">
    <w:name w:val="table of authorities"/>
    <w:basedOn w:val="a2"/>
  </w:style>
  <w:style w:type="paragraph" w:customStyle="1" w:styleId="1b">
    <w:name w:val="Библиография 1"/>
    <w:basedOn w:val="aff3"/>
    <w:qFormat/>
    <w:pPr>
      <w:tabs>
        <w:tab w:val="right" w:leader="dot" w:pos="9638"/>
      </w:tabs>
    </w:pPr>
  </w:style>
  <w:style w:type="paragraph" w:customStyle="1" w:styleId="61">
    <w:name w:val="Указатель пользователя 6"/>
    <w:basedOn w:val="aff3"/>
    <w:qFormat/>
    <w:pPr>
      <w:tabs>
        <w:tab w:val="right" w:leader="dot" w:pos="8223"/>
      </w:tabs>
    </w:pPr>
  </w:style>
  <w:style w:type="paragraph" w:customStyle="1" w:styleId="71">
    <w:name w:val="Указатель пользователя 7"/>
    <w:basedOn w:val="aff3"/>
    <w:qFormat/>
    <w:pPr>
      <w:tabs>
        <w:tab w:val="right" w:leader="dot" w:pos="7940"/>
      </w:tabs>
    </w:pPr>
  </w:style>
  <w:style w:type="paragraph" w:customStyle="1" w:styleId="81">
    <w:name w:val="Указатель пользователя 8"/>
    <w:basedOn w:val="aff3"/>
    <w:qFormat/>
    <w:pPr>
      <w:tabs>
        <w:tab w:val="right" w:leader="dot" w:pos="7657"/>
      </w:tabs>
    </w:pPr>
  </w:style>
  <w:style w:type="paragraph" w:customStyle="1" w:styleId="91">
    <w:name w:val="Указатель пользователя 9"/>
    <w:basedOn w:val="aff3"/>
    <w:qFormat/>
    <w:pPr>
      <w:tabs>
        <w:tab w:val="right" w:leader="dot" w:pos="7374"/>
      </w:tabs>
    </w:pPr>
  </w:style>
  <w:style w:type="paragraph" w:customStyle="1" w:styleId="102">
    <w:name w:val="Указатель пользователя 10"/>
    <w:basedOn w:val="aff3"/>
    <w:qFormat/>
    <w:pPr>
      <w:tabs>
        <w:tab w:val="right" w:leader="dot" w:pos="7091"/>
      </w:tabs>
    </w:pPr>
  </w:style>
  <w:style w:type="paragraph" w:customStyle="1" w:styleId="afff3">
    <w:name w:val="Колонтитул"/>
    <w:basedOn w:val="a1"/>
    <w:qFormat/>
    <w:pPr>
      <w:suppressLineNumbers/>
      <w:tabs>
        <w:tab w:val="center" w:pos="4819"/>
        <w:tab w:val="right" w:pos="9638"/>
      </w:tabs>
    </w:pPr>
  </w:style>
  <w:style w:type="paragraph" w:styleId="afff4">
    <w:name w:val="header"/>
    <w:basedOn w:val="a1"/>
    <w:pPr>
      <w:tabs>
        <w:tab w:val="center" w:pos="4819"/>
        <w:tab w:val="right" w:pos="9638"/>
      </w:tabs>
    </w:pPr>
  </w:style>
  <w:style w:type="paragraph" w:customStyle="1" w:styleId="afff5">
    <w:name w:val="Верхний колонтитул слева"/>
    <w:basedOn w:val="a1"/>
    <w:qFormat/>
    <w:pPr>
      <w:tabs>
        <w:tab w:val="center" w:pos="4819"/>
        <w:tab w:val="right" w:pos="9638"/>
      </w:tabs>
      <w:jc w:val="left"/>
    </w:pPr>
  </w:style>
  <w:style w:type="paragraph" w:customStyle="1" w:styleId="afff6">
    <w:name w:val="Верхний колонтитул справа"/>
    <w:basedOn w:val="a1"/>
    <w:qFormat/>
    <w:pPr>
      <w:tabs>
        <w:tab w:val="center" w:pos="4819"/>
        <w:tab w:val="right" w:pos="9638"/>
      </w:tabs>
      <w:jc w:val="right"/>
    </w:pPr>
  </w:style>
  <w:style w:type="paragraph" w:styleId="afff7">
    <w:name w:val="footer"/>
    <w:basedOn w:val="a1"/>
    <w:pPr>
      <w:tabs>
        <w:tab w:val="center" w:pos="4819"/>
        <w:tab w:val="right" w:pos="9638"/>
      </w:tabs>
    </w:pPr>
  </w:style>
  <w:style w:type="paragraph" w:customStyle="1" w:styleId="afff8">
    <w:name w:val="Нижний колонтитул слева"/>
    <w:basedOn w:val="a1"/>
    <w:qFormat/>
    <w:pPr>
      <w:tabs>
        <w:tab w:val="center" w:pos="4819"/>
        <w:tab w:val="right" w:pos="9638"/>
      </w:tabs>
      <w:jc w:val="left"/>
    </w:pPr>
  </w:style>
  <w:style w:type="paragraph" w:customStyle="1" w:styleId="afff9">
    <w:name w:val="Нижний колонтитул справа"/>
    <w:basedOn w:val="a1"/>
    <w:qFormat/>
    <w:pPr>
      <w:tabs>
        <w:tab w:val="center" w:pos="4819"/>
        <w:tab w:val="right" w:pos="9638"/>
      </w:tabs>
      <w:jc w:val="right"/>
    </w:pPr>
  </w:style>
  <w:style w:type="paragraph" w:customStyle="1" w:styleId="afffa">
    <w:name w:val="Содержимое таблицы"/>
    <w:basedOn w:val="a1"/>
    <w:qFormat/>
  </w:style>
  <w:style w:type="paragraph" w:customStyle="1" w:styleId="afffb">
    <w:name w:val="Заголовок таблицы"/>
    <w:basedOn w:val="afffa"/>
    <w:qFormat/>
    <w:rPr>
      <w:b/>
    </w:rPr>
  </w:style>
  <w:style w:type="paragraph" w:customStyle="1" w:styleId="afffc">
    <w:name w:val="Иллюстрация"/>
    <w:basedOn w:val="aff2"/>
    <w:qFormat/>
  </w:style>
  <w:style w:type="paragraph" w:customStyle="1" w:styleId="afffd">
    <w:name w:val="Таблица"/>
    <w:basedOn w:val="aff2"/>
    <w:qFormat/>
  </w:style>
  <w:style w:type="paragraph" w:styleId="afffe">
    <w:name w:val="Plain Text"/>
    <w:basedOn w:val="aff2"/>
    <w:qFormat/>
  </w:style>
  <w:style w:type="paragraph" w:customStyle="1" w:styleId="affff">
    <w:name w:val="Содержимое врезки"/>
    <w:basedOn w:val="a1"/>
    <w:qFormat/>
  </w:style>
  <w:style w:type="paragraph" w:styleId="affff0">
    <w:name w:val="footnote text"/>
    <w:basedOn w:val="a1"/>
    <w:pPr>
      <w:jc w:val="left"/>
    </w:pPr>
  </w:style>
  <w:style w:type="paragraph" w:styleId="affff1">
    <w:name w:val="envelope address"/>
    <w:basedOn w:val="a1"/>
  </w:style>
  <w:style w:type="paragraph" w:styleId="2b">
    <w:name w:val="envelope return"/>
    <w:basedOn w:val="a1"/>
  </w:style>
  <w:style w:type="paragraph" w:styleId="affff2">
    <w:name w:val="endnote text"/>
    <w:basedOn w:val="a1"/>
  </w:style>
  <w:style w:type="paragraph" w:customStyle="1" w:styleId="affff3">
    <w:name w:val="Рисунок"/>
    <w:basedOn w:val="aff2"/>
    <w:qFormat/>
  </w:style>
  <w:style w:type="paragraph" w:customStyle="1" w:styleId="affff4">
    <w:name w:val="Текст в заданном формате"/>
    <w:basedOn w:val="a1"/>
    <w:qFormat/>
  </w:style>
  <w:style w:type="paragraph" w:customStyle="1" w:styleId="affff5">
    <w:name w:val="Горизонтальная линия"/>
    <w:basedOn w:val="a1"/>
    <w:next w:val="a4"/>
    <w:qFormat/>
    <w:pPr>
      <w:pBdr>
        <w:bottom w:val="single" w:sz="8" w:space="0" w:color="000000"/>
      </w:pBdr>
    </w:pPr>
    <w:rPr>
      <w:sz w:val="4"/>
    </w:rPr>
  </w:style>
  <w:style w:type="paragraph" w:customStyle="1" w:styleId="affff6">
    <w:name w:val="Содержимое списка"/>
    <w:basedOn w:val="a1"/>
    <w:qFormat/>
  </w:style>
  <w:style w:type="paragraph" w:customStyle="1" w:styleId="affff7">
    <w:name w:val="Заголовок списка"/>
    <w:basedOn w:val="a1"/>
    <w:next w:val="affff6"/>
    <w:qFormat/>
  </w:style>
  <w:style w:type="paragraph" w:customStyle="1" w:styleId="affff8">
    <w:name w:val="Гриф_Экземпляр"/>
    <w:basedOn w:val="a1"/>
    <w:qFormat/>
    <w:rPr>
      <w:sz w:val="24"/>
    </w:rPr>
  </w:style>
  <w:style w:type="paragraph" w:customStyle="1" w:styleId="affff9">
    <w:name w:val="Исполнитель документа"/>
    <w:basedOn w:val="a1"/>
    <w:qFormat/>
    <w:pPr>
      <w:jc w:val="left"/>
    </w:pPr>
    <w:rPr>
      <w:sz w:val="24"/>
    </w:rPr>
  </w:style>
  <w:style w:type="paragraph" w:customStyle="1" w:styleId="affffa">
    <w:name w:val="Заголовок списка иллюстраций"/>
    <w:basedOn w:val="a2"/>
    <w:qFormat/>
    <w:pPr>
      <w:suppressLineNumbers/>
    </w:pPr>
  </w:style>
  <w:style w:type="numbering" w:customStyle="1" w:styleId="123">
    <w:name w:val="Нумерованный 123"/>
    <w:qFormat/>
  </w:style>
  <w:style w:type="numbering" w:customStyle="1" w:styleId="ABC">
    <w:name w:val="Нумерованный ABC"/>
    <w:qFormat/>
  </w:style>
  <w:style w:type="numbering" w:customStyle="1" w:styleId="abc1">
    <w:name w:val="Нумерованный abc1"/>
    <w:qFormat/>
  </w:style>
  <w:style w:type="numbering" w:customStyle="1" w:styleId="IVX">
    <w:name w:val="Нумерованный IVX"/>
    <w:qFormat/>
  </w:style>
  <w:style w:type="numbering" w:customStyle="1" w:styleId="ivx1">
    <w:name w:val="Нумерованный ivx1"/>
    <w:qFormat/>
  </w:style>
  <w:style w:type="numbering" w:customStyle="1" w:styleId="affffb">
    <w:name w:val="Маркированный •"/>
    <w:qFormat/>
  </w:style>
  <w:style w:type="numbering" w:customStyle="1" w:styleId="affffc">
    <w:name w:val="Маркированный –"/>
    <w:qFormat/>
  </w:style>
  <w:style w:type="numbering" w:customStyle="1" w:styleId="affffd">
    <w:name w:val="Маркированный ☑"/>
    <w:qFormat/>
  </w:style>
  <w:style w:type="numbering" w:customStyle="1" w:styleId="affffe">
    <w:name w:val="Маркированный ➢"/>
    <w:qFormat/>
  </w:style>
  <w:style w:type="numbering" w:customStyle="1" w:styleId="afffff">
    <w:name w:val="Маркированный ✗"/>
    <w:qFormat/>
  </w:style>
  <w:style w:type="numbering" w:customStyle="1" w:styleId="1c">
    <w:name w:val="Нумерованный 1)"/>
    <w:qFormat/>
  </w:style>
  <w:style w:type="numbering" w:customStyle="1" w:styleId="afffff0">
    <w:name w:val="Нумерованный а)"/>
    <w:qFormat/>
  </w:style>
  <w:style w:type="numbering" w:customStyle="1" w:styleId="afffff1">
    <w:name w:val="Нумерованный для таблиц"/>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6.51.50.000-00000003&amp;backUrl=" TargetMode="External"/><Relationship Id="rId3" Type="http://schemas.openxmlformats.org/officeDocument/2006/relationships/settings" Target="settings.xml"/><Relationship Id="rId7" Type="http://schemas.openxmlformats.org/officeDocument/2006/relationships/hyperlink" Target="https://zakupki.gov.ru/epz/ktru/ktruCard/ktru-description.html?itemId=26.51.50.000-00000003&amp;backUr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342</TotalTime>
  <Pages>4</Pages>
  <Words>1923</Words>
  <Characters>10966</Characters>
  <Application>Microsoft Office Word</Application>
  <DocSecurity>0</DocSecurity>
  <Lines>91</Lines>
  <Paragraphs>25</Paragraphs>
  <ScaleCrop>false</ScaleCrop>
  <Company/>
  <LinksUpToDate>false</LinksUpToDate>
  <CharactersWithSpaces>12864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subject/>
  <dc:creator/>
  <dc:description/>
  <cp:lastModifiedBy>Инспектор контрактной службы2</cp:lastModifiedBy>
  <cp:revision>23</cp:revision>
  <dcterms:created xsi:type="dcterms:W3CDTF">2025-07-29T16:30:00Z</dcterms:created>
  <dcterms:modified xsi:type="dcterms:W3CDTF">2026-08-27T10:47:00Z</dcterms:modified>
  <dc:language>ru-RU</dc:language>
</cp:coreProperties>
</file>