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jc w:val="right"/>
        <w:rPr>
          <w:b/>
          <w:bCs/>
          <w:sz w:val="18"/>
          <w:szCs w:val="18"/>
        </w:rPr>
      </w:pPr>
      <w:r>
        <w:rPr>
          <w:b/>
          <w:bCs/>
          <w:sz w:val="18"/>
          <w:szCs w:val="18"/>
        </w:rPr>
      </w:r>
    </w:p>
    <w:p>
      <w:pPr>
        <w:pStyle w:val="Normal"/>
        <w:shd w:val="clear" w:color="auto" w:fill="FFFFFF"/>
        <w:jc w:val="center"/>
        <w:rPr>
          <w:sz w:val="18"/>
          <w:szCs w:val="18"/>
        </w:rPr>
      </w:pPr>
      <w:r>
        <w:rPr>
          <w:b/>
          <w:bCs/>
          <w:sz w:val="18"/>
          <w:szCs w:val="18"/>
        </w:rPr>
        <w:t>ОБОСНОВАНИЕ НАЧАЛЬНОЙ (МАКСИМАЛЬНОЙ) ЦЕНЫ ГОСУДАРСТВЕННОГО КОНТРАКТА</w:t>
      </w:r>
      <w:r>
        <w:rPr>
          <w:sz w:val="18"/>
          <w:szCs w:val="18"/>
        </w:rPr>
        <w:t xml:space="preserve"> </w:t>
      </w:r>
    </w:p>
    <w:p>
      <w:pPr>
        <w:pStyle w:val="Normal"/>
        <w:widowControl w:val="false"/>
        <w:suppressAutoHyphens w:val="true"/>
        <w:jc w:val="both"/>
        <w:rPr>
          <w:b/>
          <w:sz w:val="18"/>
          <w:szCs w:val="18"/>
        </w:rPr>
      </w:pPr>
      <w:r>
        <w:rPr>
          <w:b/>
          <w:sz w:val="18"/>
          <w:szCs w:val="18"/>
        </w:rPr>
        <w:t xml:space="preserve">                                                                         </w:t>
      </w:r>
      <w:r>
        <w:rPr>
          <w:b/>
          <w:sz w:val="18"/>
          <w:szCs w:val="18"/>
        </w:rPr>
        <w:t>МАКСИМАЛЬНОЕ ЗНАЧЕНИЕ ЦЕНЫ КОНТРАКТА</w:t>
      </w:r>
    </w:p>
    <w:p>
      <w:pPr>
        <w:pStyle w:val="Normal"/>
        <w:widowControl w:val="false"/>
        <w:suppressAutoHyphens w:val="true"/>
        <w:jc w:val="both"/>
        <w:rPr>
          <w:sz w:val="18"/>
          <w:szCs w:val="18"/>
        </w:rPr>
      </w:pPr>
      <w:r>
        <w:rPr>
          <w:sz w:val="18"/>
          <w:szCs w:val="18"/>
        </w:rPr>
      </w:r>
    </w:p>
    <w:p>
      <w:pPr>
        <w:pStyle w:val="Normal"/>
        <w:widowControl w:val="false"/>
        <w:suppressAutoHyphens w:val="true"/>
        <w:ind w:firstLine="709"/>
        <w:jc w:val="both"/>
        <w:rPr>
          <w:bCs/>
          <w:sz w:val="18"/>
          <w:szCs w:val="18"/>
        </w:rPr>
      </w:pPr>
      <w:r>
        <w:rPr>
          <w:bCs/>
          <w:sz w:val="18"/>
          <w:szCs w:val="18"/>
        </w:rPr>
        <w:t>Начальная (максимальная) цена контракта (</w:t>
      </w:r>
      <w:r>
        <w:rPr>
          <w:sz w:val="18"/>
          <w:szCs w:val="18"/>
        </w:rPr>
        <w:t>максимальное значение цены контракта)</w:t>
      </w:r>
      <w:r>
        <w:rPr>
          <w:bCs/>
          <w:sz w:val="18"/>
          <w:szCs w:val="18"/>
        </w:rPr>
        <w:t xml:space="preserve"> (общая страховая премия) </w:t>
      </w:r>
      <w:r>
        <w:rPr>
          <w:sz w:val="18"/>
          <w:szCs w:val="18"/>
        </w:rPr>
        <w:t>определена тарифным методом</w:t>
      </w:r>
      <w:bookmarkStart w:id="0" w:name="_GoBack"/>
      <w:bookmarkEnd w:id="0"/>
      <w:r>
        <w:rPr>
          <w:sz w:val="18"/>
          <w:szCs w:val="18"/>
        </w:rPr>
        <w:t xml:space="preserve"> в соответствии с Указанием Банка России 09.10.2025 N 7204-У (ред. от 09.10.2025) «О страховых тарифах по обязательному страхованию гражданской ответственности владельцев транспортных средств» (вместе с «Требованиями к структуре страховых тарифов по обязательному страхованию гражданской ответственности владельцев транспортных средств», «Порядком применения страховых тарифов по обязательному страхованию гражданской ответственности владельцев транспортных средств страховщиками при определении страховой премии по договору обязательного страхования гражданской ответственности владельцев транспортных средств») (Зарегистрировано в Минюсте России 14.11.2025 N 84176).</w:t>
      </w:r>
    </w:p>
    <w:p>
      <w:pPr>
        <w:pStyle w:val="Normal"/>
        <w:widowControl w:val="false"/>
        <w:numPr>
          <w:ilvl w:val="0"/>
          <w:numId w:val="2"/>
        </w:numPr>
        <w:suppressAutoHyphens w:val="true"/>
        <w:ind w:hanging="360" w:left="0"/>
        <w:jc w:val="center"/>
        <w:rPr>
          <w:sz w:val="18"/>
          <w:szCs w:val="18"/>
        </w:rPr>
      </w:pPr>
      <w:r>
        <w:rPr>
          <w:b/>
          <w:bCs/>
          <w:sz w:val="18"/>
          <w:szCs w:val="18"/>
        </w:rPr>
        <w:t>Формула цены контракта</w:t>
      </w:r>
    </w:p>
    <w:p>
      <w:pPr>
        <w:pStyle w:val="Normal"/>
        <w:widowControl w:val="false"/>
        <w:suppressAutoHyphens w:val="true"/>
        <w:ind w:firstLine="709"/>
        <w:jc w:val="both"/>
        <w:rPr>
          <w:bCs/>
          <w:sz w:val="18"/>
          <w:szCs w:val="18"/>
        </w:rPr>
      </w:pPr>
      <w:r>
        <w:rPr>
          <w:bCs/>
          <w:sz w:val="18"/>
          <w:szCs w:val="18"/>
        </w:rPr>
        <w:t>В соответствии с требованиями постановления Правительства РФ от 13.01.2014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размер суммы страховой премии по каждому транспортному средству определяется согласно   ст. 8 и ст. 9 Федерального закона от 25.04.2002 № 40-ФЗ «Об обязательном страховании гражданской ответственности владельцев транспортных средств» и согласно формулам, установленным в Указание Банка России от 9 октября 2025 г. № 7204-У "О страховых тарифах по обязательному страхованию гражданской ответственности владельцев транспортных средств"</w:t>
      </w:r>
    </w:p>
    <w:p>
      <w:pPr>
        <w:pStyle w:val="Normal"/>
        <w:widowControl w:val="false"/>
        <w:suppressAutoHyphens w:val="true"/>
        <w:ind w:firstLine="709"/>
        <w:jc w:val="both"/>
        <w:rPr>
          <w:bCs/>
          <w:sz w:val="18"/>
          <w:szCs w:val="18"/>
        </w:rPr>
      </w:pPr>
      <w:r>
        <w:rPr>
          <w:bCs/>
          <w:sz w:val="18"/>
          <w:szCs w:val="18"/>
        </w:rPr>
      </w:r>
    </w:p>
    <w:p>
      <w:pPr>
        <w:pStyle w:val="Normal"/>
        <w:widowControl w:val="false"/>
        <w:suppressAutoHyphens w:val="true"/>
        <w:jc w:val="center"/>
        <w:rPr>
          <w:sz w:val="18"/>
          <w:szCs w:val="18"/>
        </w:rPr>
      </w:pPr>
      <w:r>
        <w:rPr>
          <w:bCs/>
          <w:sz w:val="18"/>
          <w:szCs w:val="18"/>
        </w:rPr>
        <w:t>Страховая премия на каждое транспортное средство определяется по формуле:</w:t>
      </w:r>
    </w:p>
    <w:p>
      <w:pPr>
        <w:pStyle w:val="Normal"/>
        <w:widowControl w:val="false"/>
        <w:suppressAutoHyphens w:val="true"/>
        <w:jc w:val="center"/>
        <w:rPr>
          <w:sz w:val="18"/>
          <w:szCs w:val="18"/>
        </w:rPr>
      </w:pPr>
      <w:r>
        <w:rPr>
          <w:bCs/>
          <w:sz w:val="18"/>
          <w:szCs w:val="18"/>
        </w:rPr>
        <w:t>на транспортное средство категории "B"   –     Т = ТБ х КТ х КБМ х КО х КМ х КС,</w:t>
      </w:r>
    </w:p>
    <w:p>
      <w:pPr>
        <w:pStyle w:val="Normal"/>
        <w:widowControl w:val="false"/>
        <w:suppressAutoHyphens w:val="true"/>
        <w:ind w:firstLine="709"/>
        <w:jc w:val="both"/>
        <w:rPr>
          <w:bCs/>
          <w:sz w:val="18"/>
          <w:szCs w:val="18"/>
        </w:rPr>
      </w:pPr>
      <w:r>
        <w:rPr>
          <w:bCs/>
          <w:sz w:val="18"/>
          <w:szCs w:val="18"/>
        </w:rPr>
      </w:r>
    </w:p>
    <w:p>
      <w:pPr>
        <w:pStyle w:val="Normal"/>
        <w:widowControl w:val="false"/>
        <w:suppressAutoHyphens w:val="true"/>
        <w:jc w:val="both"/>
        <w:rPr>
          <w:sz w:val="18"/>
          <w:szCs w:val="18"/>
        </w:rPr>
      </w:pPr>
      <w:r>
        <w:rPr>
          <w:bCs/>
          <w:sz w:val="18"/>
          <w:szCs w:val="18"/>
        </w:rPr>
        <w:t>где:</w:t>
      </w:r>
    </w:p>
    <w:p>
      <w:pPr>
        <w:pStyle w:val="Normal"/>
        <w:widowControl w:val="false"/>
        <w:suppressAutoHyphens w:val="true"/>
        <w:jc w:val="both"/>
        <w:rPr>
          <w:sz w:val="18"/>
          <w:szCs w:val="18"/>
        </w:rPr>
      </w:pPr>
      <w:r>
        <w:rPr>
          <w:bCs/>
          <w:sz w:val="18"/>
          <w:szCs w:val="18"/>
        </w:rPr>
        <w:t>Т – страховая премия;</w:t>
      </w:r>
    </w:p>
    <w:p>
      <w:pPr>
        <w:pStyle w:val="Normal"/>
        <w:widowControl w:val="false"/>
        <w:suppressAutoHyphens w:val="true"/>
        <w:jc w:val="both"/>
        <w:rPr>
          <w:sz w:val="18"/>
          <w:szCs w:val="18"/>
        </w:rPr>
      </w:pPr>
      <w:r>
        <w:rPr>
          <w:bCs/>
          <w:sz w:val="18"/>
          <w:szCs w:val="18"/>
        </w:rPr>
        <w:t>ТБ – базовый страховой тариф;</w:t>
      </w:r>
    </w:p>
    <w:p>
      <w:pPr>
        <w:pStyle w:val="Normal"/>
        <w:widowControl w:val="false"/>
        <w:suppressAutoHyphens w:val="true"/>
        <w:jc w:val="both"/>
        <w:rPr>
          <w:sz w:val="18"/>
          <w:szCs w:val="18"/>
        </w:rPr>
      </w:pPr>
      <w:r>
        <w:rPr>
          <w:bCs/>
          <w:sz w:val="18"/>
          <w:szCs w:val="18"/>
        </w:rPr>
        <w:t>КТ – коэффициент страхового тарифа в зависимости от территории преимущественного использования транспортного средства;</w:t>
      </w:r>
    </w:p>
    <w:p>
      <w:pPr>
        <w:pStyle w:val="Normal"/>
        <w:widowControl w:val="false"/>
        <w:suppressAutoHyphens w:val="true"/>
        <w:jc w:val="both"/>
        <w:rPr>
          <w:sz w:val="18"/>
          <w:szCs w:val="18"/>
        </w:rPr>
      </w:pPr>
      <w:r>
        <w:rPr>
          <w:bCs/>
          <w:sz w:val="18"/>
          <w:szCs w:val="18"/>
        </w:rPr>
        <w:t>КБМ – коэффициент страхового тарифа в зависимости от наличия или отсутствия страховых выплат при наступлении страховых случаев, произошедших в период действия предыдущих договоров обязательного страхования гражданской ответственности владельцев транспортных средств;</w:t>
      </w:r>
    </w:p>
    <w:p>
      <w:pPr>
        <w:pStyle w:val="Normal"/>
        <w:widowControl w:val="false"/>
        <w:suppressAutoHyphens w:val="true"/>
        <w:jc w:val="both"/>
        <w:rPr>
          <w:sz w:val="18"/>
          <w:szCs w:val="18"/>
        </w:rPr>
      </w:pPr>
      <w:r>
        <w:rPr>
          <w:bCs/>
          <w:sz w:val="18"/>
          <w:szCs w:val="18"/>
        </w:rPr>
        <w:t>КО – коэффициент страхового тарифа в зависимости от наличия сведений о количестве лиц, допущенных к управлению транспортным средством;</w:t>
      </w:r>
    </w:p>
    <w:p>
      <w:pPr>
        <w:pStyle w:val="Normal"/>
        <w:widowControl w:val="false"/>
        <w:suppressAutoHyphens w:val="true"/>
        <w:jc w:val="both"/>
        <w:rPr>
          <w:sz w:val="18"/>
          <w:szCs w:val="18"/>
        </w:rPr>
      </w:pPr>
      <w:r>
        <w:rPr>
          <w:bCs/>
          <w:sz w:val="18"/>
          <w:szCs w:val="18"/>
        </w:rPr>
        <w:t>КМ – коэффициент страхового тарифа в зависимости от технических характеристик транспортного средства, в частности мощности двигателя легкового автомобиля (для транспортных средств категории "B");</w:t>
      </w:r>
    </w:p>
    <w:p>
      <w:pPr>
        <w:pStyle w:val="Normal"/>
        <w:widowControl w:val="false"/>
        <w:suppressAutoHyphens w:val="true"/>
        <w:jc w:val="both"/>
        <w:rPr>
          <w:sz w:val="18"/>
          <w:szCs w:val="18"/>
        </w:rPr>
      </w:pPr>
      <w:r>
        <w:rPr>
          <w:bCs/>
          <w:sz w:val="18"/>
          <w:szCs w:val="18"/>
        </w:rPr>
        <w:t>КС –  коэффициент страхового тарифа в зависимости от периода использования транспортного средства.</w:t>
      </w:r>
    </w:p>
    <w:p>
      <w:pPr>
        <w:pStyle w:val="Normal"/>
        <w:widowControl w:val="false"/>
        <w:suppressAutoHyphens w:val="true"/>
        <w:rPr>
          <w:bCs/>
          <w:sz w:val="18"/>
          <w:szCs w:val="18"/>
        </w:rPr>
      </w:pPr>
      <w:r>
        <w:rPr>
          <w:bCs/>
          <w:sz w:val="18"/>
          <w:szCs w:val="18"/>
        </w:rPr>
      </w:r>
    </w:p>
    <w:p>
      <w:pPr>
        <w:pStyle w:val="ListParagraph"/>
        <w:widowControl w:val="false"/>
        <w:numPr>
          <w:ilvl w:val="0"/>
          <w:numId w:val="3"/>
        </w:numPr>
        <w:suppressAutoHyphens w:val="true"/>
        <w:jc w:val="center"/>
        <w:rPr>
          <w:rFonts w:eastAsia="Calibri" w:eastAsiaTheme="minorHAnsi"/>
          <w:sz w:val="18"/>
          <w:szCs w:val="18"/>
          <w:lang w:eastAsia="en-US"/>
        </w:rPr>
      </w:pPr>
      <w:r>
        <w:rPr>
          <w:b/>
          <w:bCs/>
          <w:sz w:val="18"/>
          <w:szCs w:val="18"/>
        </w:rPr>
        <w:t>Расчет стоимости страхования (страховой премии) транспортных средств максимальный</w:t>
      </w:r>
    </w:p>
    <w:tbl>
      <w:tblPr>
        <w:tblW w:w="15266" w:type="dxa"/>
        <w:jc w:val="left"/>
        <w:tblInd w:w="250" w:type="dxa"/>
        <w:tblLayout w:type="fixed"/>
        <w:tblCellMar>
          <w:top w:w="0" w:type="dxa"/>
          <w:left w:w="108" w:type="dxa"/>
          <w:bottom w:w="0" w:type="dxa"/>
          <w:right w:w="108" w:type="dxa"/>
        </w:tblCellMar>
        <w:tblLook w:val="04a0" w:noHBand="0" w:noVBand="1" w:firstColumn="1" w:lastRow="0" w:lastColumn="0" w:firstRow="1"/>
      </w:tblPr>
      <w:tblGrid>
        <w:gridCol w:w="459"/>
        <w:gridCol w:w="1385"/>
        <w:gridCol w:w="1587"/>
        <w:gridCol w:w="1008"/>
        <w:gridCol w:w="1977"/>
        <w:gridCol w:w="856"/>
        <w:gridCol w:w="1032"/>
        <w:gridCol w:w="809"/>
        <w:gridCol w:w="1318"/>
        <w:gridCol w:w="1282"/>
        <w:gridCol w:w="1281"/>
        <w:gridCol w:w="1038"/>
        <w:gridCol w:w="1233"/>
      </w:tblGrid>
      <w:tr>
        <w:trPr>
          <w:trHeight w:val="370" w:hRule="atLeast"/>
        </w:trPr>
        <w:tc>
          <w:tcPr>
            <w:tcW w:w="15265" w:type="dxa"/>
            <w:gridSpan w:val="1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ind w:left="709"/>
              <w:jc w:val="center"/>
              <w:rPr>
                <w:rFonts w:eastAsia="Calibri" w:eastAsiaTheme="minorHAnsi"/>
                <w:sz w:val="18"/>
                <w:szCs w:val="18"/>
                <w:lang w:eastAsia="en-US"/>
              </w:rPr>
            </w:pPr>
            <w:r>
              <w:rPr>
                <w:b/>
                <w:bCs/>
                <w:sz w:val="18"/>
                <w:szCs w:val="18"/>
              </w:rPr>
              <w:t>Сведения о страховании служебного автотранспорта УФССП России по Курской области</w:t>
            </w:r>
          </w:p>
        </w:tc>
      </w:tr>
      <w:tr>
        <w:trPr>
          <w:trHeight w:val="1284" w:hRule="atLeast"/>
        </w:trPr>
        <w:tc>
          <w:tcPr>
            <w:tcW w:w="4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18"/>
                <w:szCs w:val="18"/>
              </w:rPr>
            </w:pPr>
            <w:r>
              <w:rPr>
                <w:sz w:val="18"/>
                <w:szCs w:val="18"/>
              </w:rPr>
              <w:t xml:space="preserve">№ </w:t>
            </w:r>
            <w:r>
              <w:rPr>
                <w:sz w:val="18"/>
                <w:szCs w:val="18"/>
              </w:rPr>
              <w:t>п/п</w:t>
            </w:r>
          </w:p>
        </w:tc>
        <w:tc>
          <w:tcPr>
            <w:tcW w:w="13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18"/>
                <w:szCs w:val="18"/>
              </w:rPr>
            </w:pPr>
            <w:r>
              <w:rPr>
                <w:sz w:val="18"/>
                <w:szCs w:val="18"/>
              </w:rPr>
              <w:t>Наименование, марка, модель ТС</w:t>
            </w:r>
          </w:p>
        </w:tc>
        <w:tc>
          <w:tcPr>
            <w:tcW w:w="15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18"/>
                <w:szCs w:val="18"/>
              </w:rPr>
            </w:pPr>
            <w:r>
              <w:rPr>
                <w:sz w:val="18"/>
                <w:szCs w:val="18"/>
              </w:rPr>
              <w:t>Регистрационный номер</w:t>
            </w:r>
          </w:p>
        </w:tc>
        <w:tc>
          <w:tcPr>
            <w:tcW w:w="10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18"/>
                <w:szCs w:val="18"/>
              </w:rPr>
            </w:pPr>
            <w:r>
              <w:rPr>
                <w:sz w:val="18"/>
                <w:szCs w:val="18"/>
              </w:rPr>
              <w:t>Категория ТС</w:t>
            </w:r>
          </w:p>
        </w:tc>
        <w:tc>
          <w:tcPr>
            <w:tcW w:w="19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18"/>
                <w:szCs w:val="18"/>
              </w:rPr>
            </w:pPr>
            <w:r>
              <w:rPr>
                <w:sz w:val="18"/>
                <w:szCs w:val="18"/>
              </w:rPr>
              <w:t>VIN/зав./№ машины</w:t>
            </w:r>
          </w:p>
        </w:tc>
        <w:tc>
          <w:tcPr>
            <w:tcW w:w="85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18"/>
                <w:szCs w:val="18"/>
              </w:rPr>
            </w:pPr>
            <w:r>
              <w:rPr>
                <w:sz w:val="18"/>
                <w:szCs w:val="18"/>
              </w:rPr>
              <w:t>Год выпуска</w:t>
            </w:r>
          </w:p>
        </w:tc>
        <w:tc>
          <w:tcPr>
            <w:tcW w:w="10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18"/>
                <w:szCs w:val="18"/>
              </w:rPr>
            </w:pPr>
            <w:r>
              <w:rPr>
                <w:sz w:val="18"/>
                <w:szCs w:val="18"/>
              </w:rPr>
              <w:t>Мощность ДВС, л.с./кВт</w:t>
            </w:r>
          </w:p>
        </w:tc>
        <w:tc>
          <w:tcPr>
            <w:tcW w:w="8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18"/>
                <w:szCs w:val="18"/>
              </w:rPr>
            </w:pPr>
            <w:r>
              <w:rPr>
                <w:sz w:val="18"/>
                <w:szCs w:val="18"/>
              </w:rPr>
              <w:t>Базовая ставка</w:t>
            </w:r>
          </w:p>
        </w:tc>
        <w:tc>
          <w:tcPr>
            <w:tcW w:w="13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18"/>
                <w:szCs w:val="18"/>
              </w:rPr>
            </w:pPr>
            <w:r>
              <w:rPr>
                <w:sz w:val="18"/>
                <w:szCs w:val="18"/>
              </w:rPr>
              <w:t>Региональный коэффициент (КТ)</w:t>
            </w:r>
          </w:p>
        </w:tc>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18"/>
                <w:szCs w:val="18"/>
              </w:rPr>
            </w:pPr>
            <w:r>
              <w:rPr>
                <w:sz w:val="18"/>
                <w:szCs w:val="18"/>
              </w:rPr>
              <w:t>Коэффициент мощности (КМ)</w:t>
            </w:r>
          </w:p>
        </w:tc>
        <w:tc>
          <w:tcPr>
            <w:tcW w:w="12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18"/>
                <w:szCs w:val="18"/>
              </w:rPr>
            </w:pPr>
            <w:r>
              <w:rPr>
                <w:sz w:val="18"/>
                <w:szCs w:val="18"/>
              </w:rPr>
              <w:t>Коэффициент допуска лиц (КО)</w:t>
            </w:r>
          </w:p>
        </w:tc>
        <w:tc>
          <w:tcPr>
            <w:tcW w:w="10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18"/>
                <w:szCs w:val="18"/>
              </w:rPr>
            </w:pPr>
            <w:r>
              <w:rPr>
                <w:sz w:val="18"/>
                <w:szCs w:val="18"/>
              </w:rPr>
              <w:t>Кбм (Бонус/малус)</w:t>
            </w:r>
          </w:p>
        </w:tc>
        <w:tc>
          <w:tcPr>
            <w:tcW w:w="12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18"/>
                <w:szCs w:val="18"/>
              </w:rPr>
            </w:pPr>
            <w:r>
              <w:rPr>
                <w:sz w:val="18"/>
                <w:szCs w:val="18"/>
              </w:rPr>
              <w:t>Итоговая страховая премия, руб.</w:t>
            </w:r>
          </w:p>
        </w:tc>
      </w:tr>
      <w:tr>
        <w:trPr>
          <w:trHeight w:val="300" w:hRule="atLeast"/>
        </w:trPr>
        <w:tc>
          <w:tcPr>
            <w:tcW w:w="4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18"/>
                <w:szCs w:val="18"/>
              </w:rPr>
            </w:pPr>
            <w:r>
              <w:rPr>
                <w:sz w:val="18"/>
                <w:szCs w:val="18"/>
              </w:rPr>
              <w:t>1</w:t>
            </w:r>
          </w:p>
        </w:tc>
        <w:tc>
          <w:tcPr>
            <w:tcW w:w="13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jc w:val="center"/>
              <w:rPr>
                <w:color w:val="000000"/>
                <w:sz w:val="18"/>
                <w:szCs w:val="18"/>
                <w:lang w:val="en-US" w:eastAsia="en-US"/>
              </w:rPr>
            </w:pPr>
            <w:r>
              <w:rPr>
                <w:color w:val="000000"/>
                <w:sz w:val="18"/>
                <w:szCs w:val="18"/>
                <w:lang w:val="en-US" w:eastAsia="en-US"/>
              </w:rPr>
              <w:t>ГАЗель NEXT</w:t>
            </w:r>
          </w:p>
        </w:tc>
        <w:tc>
          <w:tcPr>
            <w:tcW w:w="15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18"/>
                <w:szCs w:val="18"/>
              </w:rPr>
            </w:pPr>
            <w:r>
              <w:rPr>
                <w:color w:val="000000"/>
                <w:sz w:val="18"/>
                <w:szCs w:val="18"/>
              </w:rPr>
              <w:t>-</w:t>
            </w:r>
          </w:p>
        </w:tc>
        <w:tc>
          <w:tcPr>
            <w:tcW w:w="10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18"/>
                <w:szCs w:val="18"/>
              </w:rPr>
            </w:pPr>
            <w:r>
              <w:rPr>
                <w:color w:val="000000"/>
                <w:sz w:val="18"/>
                <w:szCs w:val="18"/>
              </w:rPr>
              <w:t>Д</w:t>
            </w:r>
          </w:p>
        </w:tc>
        <w:tc>
          <w:tcPr>
            <w:tcW w:w="19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Web"/>
              <w:spacing w:lineRule="auto" w:line="276" w:before="0" w:after="0"/>
              <w:jc w:val="center"/>
              <w:rPr>
                <w:lang w:eastAsia="en-US"/>
              </w:rPr>
            </w:pPr>
            <w:r>
              <w:rPr>
                <w:color w:val="000000"/>
                <w:sz w:val="15"/>
                <w:szCs w:val="15"/>
                <w:lang w:val="en-US" w:eastAsia="en-US"/>
              </w:rPr>
              <w:t>X96A65R52T1046539</w:t>
            </w:r>
          </w:p>
        </w:tc>
        <w:tc>
          <w:tcPr>
            <w:tcW w:w="85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18"/>
                <w:szCs w:val="18"/>
              </w:rPr>
            </w:pPr>
            <w:r>
              <w:rPr>
                <w:color w:val="000000"/>
                <w:sz w:val="18"/>
                <w:szCs w:val="18"/>
              </w:rPr>
              <w:t>2026</w:t>
            </w:r>
          </w:p>
        </w:tc>
        <w:tc>
          <w:tcPr>
            <w:tcW w:w="10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18"/>
                <w:szCs w:val="18"/>
              </w:rPr>
            </w:pPr>
            <w:r>
              <w:rPr>
                <w:color w:val="000000"/>
                <w:sz w:val="18"/>
                <w:szCs w:val="18"/>
              </w:rPr>
              <w:t>110</w:t>
            </w:r>
          </w:p>
        </w:tc>
        <w:tc>
          <w:tcPr>
            <w:tcW w:w="8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18"/>
                <w:szCs w:val="18"/>
              </w:rPr>
            </w:pPr>
            <w:r>
              <w:rPr>
                <w:sz w:val="18"/>
                <w:szCs w:val="18"/>
              </w:rPr>
              <w:t>2300</w:t>
            </w:r>
          </w:p>
        </w:tc>
        <w:tc>
          <w:tcPr>
            <w:tcW w:w="13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18"/>
                <w:szCs w:val="18"/>
              </w:rPr>
            </w:pPr>
            <w:r>
              <w:rPr>
                <w:color w:val="000000"/>
                <w:sz w:val="18"/>
                <w:szCs w:val="18"/>
              </w:rPr>
              <w:t>1,16</w:t>
            </w:r>
          </w:p>
        </w:tc>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18"/>
                <w:szCs w:val="18"/>
              </w:rPr>
            </w:pPr>
            <w:r>
              <w:rPr>
                <w:color w:val="000000"/>
                <w:sz w:val="18"/>
                <w:szCs w:val="18"/>
              </w:rPr>
              <w:t>1,</w:t>
            </w:r>
            <w:r>
              <w:rPr>
                <w:color w:val="000000"/>
                <w:sz w:val="18"/>
                <w:szCs w:val="18"/>
              </w:rPr>
              <w:t>00</w:t>
            </w:r>
          </w:p>
        </w:tc>
        <w:tc>
          <w:tcPr>
            <w:tcW w:w="12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18"/>
                <w:szCs w:val="18"/>
              </w:rPr>
            </w:pPr>
            <w:r>
              <w:rPr>
                <w:color w:val="000000"/>
                <w:sz w:val="18"/>
                <w:szCs w:val="18"/>
              </w:rPr>
              <w:t>1,97</w:t>
            </w:r>
          </w:p>
        </w:tc>
        <w:tc>
          <w:tcPr>
            <w:tcW w:w="10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18"/>
                <w:szCs w:val="18"/>
              </w:rPr>
            </w:pPr>
            <w:r>
              <w:rPr>
                <w:color w:val="000000"/>
                <w:sz w:val="18"/>
                <w:szCs w:val="18"/>
              </w:rPr>
              <w:t>0,4</w:t>
            </w:r>
            <w:r>
              <w:rPr>
                <w:color w:val="000000"/>
                <w:sz w:val="18"/>
                <w:szCs w:val="18"/>
              </w:rPr>
              <w:t>7</w:t>
            </w:r>
          </w:p>
        </w:tc>
        <w:tc>
          <w:tcPr>
            <w:tcW w:w="12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18"/>
                <w:szCs w:val="18"/>
              </w:rPr>
            </w:pPr>
            <w:r>
              <w:rPr>
                <w:sz w:val="18"/>
                <w:szCs w:val="18"/>
              </w:rPr>
              <w:t>2470,30</w:t>
            </w:r>
          </w:p>
        </w:tc>
      </w:tr>
      <w:tr>
        <w:trPr>
          <w:trHeight w:val="300" w:hRule="atLeast"/>
        </w:trPr>
        <w:tc>
          <w:tcPr>
            <w:tcW w:w="14032" w:type="dxa"/>
            <w:gridSpan w:val="1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18"/>
                <w:szCs w:val="18"/>
              </w:rPr>
            </w:pPr>
            <w:r>
              <w:rPr>
                <w:sz w:val="18"/>
                <w:szCs w:val="18"/>
              </w:rPr>
              <w:t>ИТОГО</w:t>
            </w:r>
          </w:p>
        </w:tc>
        <w:tc>
          <w:tcPr>
            <w:tcW w:w="12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18"/>
                <w:szCs w:val="18"/>
              </w:rPr>
            </w:pPr>
            <w:r>
              <w:rPr>
                <w:sz w:val="18"/>
                <w:szCs w:val="18"/>
              </w:rPr>
              <w:t>2470,30</w:t>
            </w:r>
          </w:p>
        </w:tc>
      </w:tr>
    </w:tbl>
    <w:p>
      <w:pPr>
        <w:pStyle w:val="Normal"/>
        <w:widowControl w:val="false"/>
        <w:suppressAutoHyphens w:val="true"/>
        <w:jc w:val="center"/>
        <w:rPr>
          <w:rFonts w:eastAsia="Calibri" w:eastAsiaTheme="minorHAnsi"/>
          <w:sz w:val="18"/>
          <w:szCs w:val="18"/>
          <w:lang w:eastAsia="en-US"/>
        </w:rPr>
      </w:pPr>
      <w:r>
        <w:fldChar w:fldCharType="begin"/>
      </w:r>
      <w:r>
        <w:rPr>
          <w:sz w:val="18"/>
          <w:szCs w:val="18"/>
        </w:rPr>
        <w:instrText xml:space="preserve">LINK Excel.OpenDocumentSpreadsheet.12 "C:\\Users\\of9\\Desktop\\Контракты 2023г БЕРЕЗКА\\Страховка авто\\17-02-2023_12-53-20\\Расчет со средними тарифами 2023.ods" "2018!R2C2:R38C20" \a \f 4 \h  \* MERGEFORMAT</w:instrText>
      </w:r>
      <w:r>
        <w:rPr>
          <w:sz w:val="18"/>
          <w:szCs w:val="18"/>
        </w:rPr>
      </w:r>
      <w:r>
        <w:rPr>
          <w:sz w:val="18"/>
          <w:szCs w:val="18"/>
        </w:rPr>
        <w:fldChar w:fldCharType="separate"/>
      </w:r>
      <w:r/>
      <w:r>
        <w:rPr>
          <w:sz w:val="18"/>
          <w:szCs w:val="18"/>
        </w:rPr>
      </w:r>
    </w:p>
    <w:p>
      <w:pPr>
        <w:pStyle w:val="Normal"/>
        <w:tabs>
          <w:tab w:val="clear" w:pos="708"/>
          <w:tab w:val="left" w:pos="0" w:leader="none"/>
        </w:tabs>
        <w:spacing w:before="0" w:after="0"/>
        <w:ind w:firstLine="567"/>
        <w:contextualSpacing/>
        <w:rPr>
          <w:rFonts w:eastAsia="Calibri"/>
          <w:highlight w:val="white"/>
        </w:rPr>
      </w:pPr>
      <w:r>
        <w:rPr>
          <w:sz w:val="18"/>
          <w:szCs w:val="18"/>
        </w:rPr>
      </w:r>
      <w:r>
        <w:rPr>
          <w:sz w:val="18"/>
          <w:szCs w:val="18"/>
        </w:rPr>
        <w:fldChar w:fldCharType="end"/>
      </w:r>
      <w:r>
        <w:rPr>
          <w:rFonts w:eastAsia="Calibri"/>
          <w:i/>
          <w:highlight w:val="white"/>
          <w:lang w:eastAsia="ar-SA"/>
        </w:rPr>
        <w:t xml:space="preserve"> </w:t>
      </w:r>
      <w:r>
        <w:rPr>
          <w:rFonts w:eastAsia="Calibri"/>
          <w:highlight w:val="white"/>
          <w:lang w:eastAsia="ar-SA"/>
        </w:rPr>
        <w:t>В целях недопущения ограничения участия в сессии, при расчете максимального значения цены контракта использовалось максимальное значение базового страхового тарифа.</w:t>
      </w:r>
    </w:p>
    <w:p>
      <w:pPr>
        <w:pStyle w:val="Normal"/>
        <w:ind w:firstLine="567"/>
        <w:rPr>
          <w:sz w:val="18"/>
          <w:szCs w:val="18"/>
        </w:rPr>
      </w:pPr>
      <w:r>
        <w:rPr>
          <w:sz w:val="18"/>
          <w:szCs w:val="18"/>
        </w:rPr>
        <w:t xml:space="preserve"> </w:t>
      </w:r>
    </w:p>
    <w:p>
      <w:pPr>
        <w:pStyle w:val="Normal"/>
        <w:shd w:val="clear" w:color="auto" w:fill="FFFFFF"/>
        <w:ind w:firstLine="567"/>
        <w:jc w:val="both"/>
        <w:rPr>
          <w:sz w:val="18"/>
          <w:szCs w:val="18"/>
        </w:rPr>
      </w:pPr>
      <w:r>
        <w:rPr>
          <w:sz w:val="18"/>
          <w:szCs w:val="18"/>
        </w:rPr>
      </w:r>
    </w:p>
    <w:sectPr>
      <w:type w:val="nextPage"/>
      <w:pgSz w:orient="landscape" w:w="16838" w:h="11906"/>
      <w:pgMar w:left="720" w:right="720" w:gutter="0" w:header="0" w:top="720"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Open Sans">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1069"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0"/>
        </w:tabs>
        <w:ind w:left="1069" w:hanging="360"/>
      </w:pPr>
      <w:rPr>
        <w:sz w:val="24"/>
        <w:b/>
        <w:rFonts w:ascii="Times New Roman" w:hAnsi="Times New Roman" w:eastAsia="Times New Roman" w:cs="Times New Roman"/>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318c1"/>
    <w:pPr>
      <w:widowControl/>
      <w:bidi w:val="0"/>
      <w:spacing w:lineRule="auto" w:line="240" w:before="0" w:after="0"/>
      <w:jc w:val="left"/>
    </w:pPr>
    <w:rPr>
      <w:rFonts w:ascii="Times New Roman" w:hAnsi="Times New Roman" w:eastAsia="Times New Roman" w:cs="Times New Roman"/>
      <w:color w:val="auto"/>
      <w:kern w:val="0"/>
      <w:sz w:val="24"/>
      <w:szCs w:val="24"/>
      <w:lang w:eastAsia="ru-RU" w:val="ru-RU"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uiPriority w:val="99"/>
    <w:qFormat/>
    <w:rsid w:val="001e4369"/>
    <w:rPr>
      <w:rFonts w:ascii="Times New Roman" w:hAnsi="Times New Roman" w:eastAsia="Times New Roman" w:cs="Times New Roman"/>
      <w:sz w:val="24"/>
      <w:szCs w:val="24"/>
      <w:lang w:eastAsia="ru-RU"/>
    </w:rPr>
  </w:style>
  <w:style w:type="paragraph" w:styleId="Style15">
    <w:name w:val="Заголовок"/>
    <w:basedOn w:val="Normal"/>
    <w:next w:val="BodyText"/>
    <w:qFormat/>
    <w:pPr>
      <w:keepNext w:val="true"/>
      <w:spacing w:before="240" w:after="120"/>
    </w:pPr>
    <w:rPr>
      <w:rFonts w:ascii="Open Sans" w:hAnsi="Open Sans" w:eastAsia="Droid Sans Fallback"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6">
    <w:name w:val="Указатель"/>
    <w:basedOn w:val="Normal"/>
    <w:qFormat/>
    <w:pPr>
      <w:suppressLineNumbers/>
    </w:pPr>
    <w:rPr>
      <w:rFonts w:cs="Lohit Devanagari"/>
    </w:rPr>
  </w:style>
  <w:style w:type="paragraph" w:styleId="ListParagraph">
    <w:name w:val="List Paragraph"/>
    <w:basedOn w:val="Normal"/>
    <w:uiPriority w:val="34"/>
    <w:qFormat/>
    <w:rsid w:val="007452f4"/>
    <w:pPr>
      <w:spacing w:before="0" w:after="0"/>
      <w:ind w:left="720"/>
      <w:contextualSpacing/>
    </w:pPr>
    <w:rPr/>
  </w:style>
  <w:style w:type="paragraph" w:styleId="NormalWeb">
    <w:name w:val="Normal (Web)"/>
    <w:basedOn w:val="Normal"/>
    <w:uiPriority w:val="99"/>
    <w:unhideWhenUsed/>
    <w:qFormat/>
    <w:rsid w:val="001e4369"/>
    <w:pPr>
      <w:spacing w:beforeAutospacing="1" w:afterAutospacing="1"/>
    </w:pPr>
    <w:rPr/>
  </w:style>
  <w:style w:type="paragraph" w:styleId="Style17">
    <w:name w:val="Колонтитул"/>
    <w:basedOn w:val="Normal"/>
    <w:qFormat/>
    <w:pPr/>
    <w:rPr/>
  </w:style>
  <w:style w:type="paragraph" w:styleId="Header">
    <w:name w:val="Header"/>
    <w:basedOn w:val="Normal"/>
    <w:link w:val="Style14"/>
    <w:uiPriority w:val="99"/>
    <w:unhideWhenUsed/>
    <w:rsid w:val="001e4369"/>
    <w:pPr>
      <w:tabs>
        <w:tab w:val="clear" w:pos="708"/>
        <w:tab w:val="center" w:pos="4677" w:leader="none"/>
        <w:tab w:val="right" w:pos="9355" w:leader="none"/>
      </w:tab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229</TotalTime>
  <Application>LibreOffice/7.6.7.2$Linux_X86_64 LibreOffice_project/60$Build-2</Application>
  <AppVersion>15.0000</AppVersion>
  <Pages>1</Pages>
  <Words>400</Words>
  <Characters>2906</Characters>
  <CharactersWithSpaces>3353</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2025-07-21T09:10:00Z</dcterms:created>
  <dc:creator>of9</dc:creator>
  <dc:description/>
  <dc:language>ru-RU</dc:language>
  <cp:lastModifiedBy/>
  <dcterms:modified xsi:type="dcterms:W3CDTF">2026-07-27T11:07:30Z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file>