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footer5.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480"/>
        <w:jc w:val="center"/>
        <w:rPr>
          <w:b/>
        </w:rPr>
      </w:pPr>
      <w:r>
        <w:rPr>
          <w:b/>
        </w:rPr>
        <w:t xml:space="preserve">                                                                                                       </w:t>
      </w:r>
      <w:r>
        <w:rPr>
          <w:b/>
        </w:rPr>
        <w:t>ПРОЕКТ</w:t>
      </w:r>
    </w:p>
    <w:p>
      <w:pPr>
        <w:pStyle w:val="Normal"/>
        <w:ind w:firstLine="480"/>
        <w:jc w:val="center"/>
        <w:rPr>
          <w:b/>
        </w:rPr>
      </w:pPr>
      <w:r>
        <w:rPr>
          <w:b/>
        </w:rPr>
      </w:r>
    </w:p>
    <w:p>
      <w:pPr>
        <w:pStyle w:val="Normal"/>
        <w:ind w:firstLine="480"/>
        <w:jc w:val="center"/>
        <w:rPr>
          <w:b/>
        </w:rPr>
      </w:pPr>
      <w:r>
        <w:rPr>
          <w:b/>
        </w:rPr>
        <w:t>КОНТРАКТ № ____</w:t>
      </w:r>
    </w:p>
    <w:p>
      <w:pPr>
        <w:pStyle w:val="Normal"/>
        <w:ind w:firstLine="480"/>
        <w:jc w:val="center"/>
        <w:rPr>
          <w:b/>
        </w:rPr>
      </w:pPr>
      <w:r>
        <w:rPr>
          <w:b/>
        </w:rPr>
      </w:r>
    </w:p>
    <w:p>
      <w:pPr>
        <w:pStyle w:val="Normal"/>
        <w:ind w:firstLine="480"/>
        <w:jc w:val="center"/>
        <w:rPr>
          <w:b/>
        </w:rPr>
      </w:pPr>
      <w:r>
        <w:rPr>
          <w:b/>
        </w:rPr>
      </w:r>
    </w:p>
    <w:p>
      <w:pPr>
        <w:pStyle w:val="Normal"/>
        <w:ind w:firstLine="480"/>
        <w:jc w:val="right"/>
        <w:rPr/>
      </w:pPr>
      <w:r>
        <w:rPr/>
        <w:t>г. Курск</w:t>
        <w:tab/>
        <w:tab/>
        <w:tab/>
        <w:tab/>
        <w:tab/>
        <w:tab/>
        <w:tab/>
        <w:tab/>
        <w:t xml:space="preserve">   «___» ________ 2026 года</w:t>
      </w:r>
    </w:p>
    <w:p>
      <w:pPr>
        <w:pStyle w:val="Normal"/>
        <w:tabs>
          <w:tab w:val="clear" w:pos="708"/>
          <w:tab w:val="left" w:pos="8625" w:leader="none"/>
        </w:tabs>
        <w:jc w:val="both"/>
        <w:rPr/>
      </w:pPr>
      <w:r>
        <w:rPr/>
      </w:r>
    </w:p>
    <w:p>
      <w:pPr>
        <w:pStyle w:val="Normal"/>
        <w:tabs>
          <w:tab w:val="clear" w:pos="708"/>
          <w:tab w:val="left" w:pos="8625" w:leader="none"/>
        </w:tabs>
        <w:jc w:val="both"/>
        <w:rPr/>
      </w:pPr>
      <w:r>
        <w:rPr/>
      </w:r>
    </w:p>
    <w:p>
      <w:pPr>
        <w:pStyle w:val="Normal"/>
        <w:ind w:firstLine="567"/>
        <w:jc w:val="both"/>
        <w:rPr>
          <w:rFonts w:eastAsia="Calibri"/>
        </w:rPr>
      </w:pPr>
      <w:r>
        <w:rPr>
          <w:rFonts w:eastAsia="Calibri"/>
          <w:b/>
        </w:rPr>
        <w:t>Управление Федеральной службы судебных приставов по Курской области (УФССП России по Курской области)</w:t>
      </w:r>
      <w:r>
        <w:rPr>
          <w:rFonts w:eastAsia="Calibri"/>
        </w:rPr>
        <w:t>, именуемое в дальнейшем «</w:t>
      </w:r>
      <w:r>
        <w:rPr>
          <w:rFonts w:eastAsia="Calibri"/>
          <w:b/>
        </w:rPr>
        <w:t>Страхователь»</w:t>
      </w:r>
      <w:r>
        <w:rPr>
          <w:rFonts w:eastAsia="Calibri"/>
        </w:rPr>
        <w:t>, в лице ___________________________________________, действующего на основании _________________________________________________, и __________________________________________, именуемое в дальнейшем «</w:t>
      </w:r>
      <w:r>
        <w:rPr>
          <w:rFonts w:eastAsia="Calibri"/>
          <w:b/>
        </w:rPr>
        <w:t>Страховщик»</w:t>
      </w:r>
      <w:r>
        <w:rPr>
          <w:rFonts w:eastAsia="Calibri"/>
        </w:rPr>
        <w:t>, в лице _________________________________________, действующего на основании ___________________________, с другой стороны, именуемые в дальнейшем «</w:t>
      </w:r>
      <w:r>
        <w:rPr>
          <w:rFonts w:eastAsia="Calibri"/>
          <w:b/>
        </w:rPr>
        <w:t>Стороны»</w:t>
      </w:r>
      <w:r>
        <w:rPr>
          <w:rFonts w:eastAsia="Calibri"/>
        </w:rPr>
        <w:t>, в соответствии с пунктом 4 частью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Normal"/>
        <w:jc w:val="both"/>
        <w:rPr>
          <w:b/>
          <w:color w:val="000000"/>
        </w:rPr>
      </w:pPr>
      <w:r>
        <w:rPr>
          <w:b/>
          <w:color w:val="000000"/>
        </w:rPr>
      </w:r>
    </w:p>
    <w:p>
      <w:pPr>
        <w:pStyle w:val="Normal"/>
        <w:jc w:val="center"/>
        <w:rPr>
          <w:b/>
          <w:color w:val="000000"/>
        </w:rPr>
      </w:pPr>
      <w:r>
        <w:rPr>
          <w:b/>
          <w:color w:val="000000"/>
        </w:rPr>
        <w:t>1. ПРЕДМЕТ КОНТРАКТА</w:t>
      </w:r>
    </w:p>
    <w:p>
      <w:pPr>
        <w:pStyle w:val="Normal"/>
        <w:jc w:val="center"/>
        <w:rPr>
          <w:b/>
          <w:color w:val="000000"/>
        </w:rPr>
      </w:pPr>
      <w:r>
        <w:rPr>
          <w:b/>
          <w:color w:val="000000"/>
        </w:rPr>
      </w:r>
    </w:p>
    <w:p>
      <w:pPr>
        <w:pStyle w:val="ConsPlusNormal1"/>
        <w:ind w:firstLine="540"/>
        <w:jc w:val="both"/>
        <w:rPr>
          <w:rFonts w:ascii="Times New Roman" w:hAnsi="Times New Roman"/>
          <w:sz w:val="24"/>
          <w:szCs w:val="24"/>
        </w:rPr>
      </w:pPr>
      <w:r>
        <w:rPr>
          <w:rFonts w:ascii="Times New Roman" w:hAnsi="Times New Roman"/>
          <w:sz w:val="24"/>
          <w:szCs w:val="24"/>
        </w:rPr>
        <w:t xml:space="preserve">1.1. Предметом настоящего контракта является оказание услуг обязательного страхования гражданской ответственности владельцев транспортных средств (далее – услуга) </w:t>
      </w:r>
      <w:r>
        <w:rPr>
          <w:rFonts w:eastAsia="Times New Roman" w:ascii="Times New Roman" w:hAnsi="Times New Roman"/>
          <w:sz w:val="24"/>
          <w:szCs w:val="24"/>
        </w:rPr>
        <w:t xml:space="preserve">в соответствии с Техническим заданием (Приложение № 1 к Контракту) </w:t>
      </w:r>
      <w:r>
        <w:rPr>
          <w:rFonts w:ascii="Times New Roman" w:hAnsi="Times New Roman"/>
          <w:sz w:val="24"/>
          <w:szCs w:val="24"/>
        </w:rPr>
        <w:t>в порядке и на условиях, установленных законодательством Российской Федерации.</w:t>
      </w:r>
    </w:p>
    <w:p>
      <w:pPr>
        <w:pStyle w:val="ConsPlusNormal1"/>
        <w:ind w:firstLine="540"/>
        <w:jc w:val="both"/>
        <w:rPr>
          <w:rFonts w:ascii="Times New Roman" w:hAnsi="Times New Roman"/>
          <w:sz w:val="24"/>
          <w:szCs w:val="24"/>
        </w:rPr>
      </w:pPr>
      <w:r>
        <w:rPr>
          <w:rFonts w:ascii="Times New Roman" w:hAnsi="Times New Roman"/>
          <w:sz w:val="24"/>
          <w:szCs w:val="24"/>
        </w:rPr>
        <w:t>1.2. Страхованию подлежат имущественные интересы, связанные с риском гражданской ответственности по обязательствам, возникающим вследствие причинения вреда жизни, здоровью или имуществу потерпевших при использовании транспортных средств  на территории Российской Федерации.</w:t>
      </w:r>
    </w:p>
    <w:p>
      <w:pPr>
        <w:pStyle w:val="ConsPlusNormal1"/>
        <w:ind w:firstLine="540"/>
        <w:jc w:val="both"/>
        <w:rPr>
          <w:rFonts w:ascii="Times New Roman" w:hAnsi="Times New Roman"/>
          <w:sz w:val="24"/>
          <w:szCs w:val="24"/>
        </w:rPr>
      </w:pPr>
      <w:r>
        <w:rPr>
          <w:rFonts w:ascii="Times New Roman" w:hAnsi="Times New Roman"/>
          <w:sz w:val="24"/>
          <w:szCs w:val="24"/>
        </w:rPr>
        <w:t xml:space="preserve">1.3. Предоставляемые Страховщиком услуги должны соответствовать требованиям Закона РФ от 27.11.1992 № 4015-1  «Об организации страхового дела в Российской Федерации», Федерального закона от 25.04.2002 № 40-ФЗ «Об обязательном страховании гражданской ответственности владельцев транспортных средств», Положения о правилах обязательного страхования гражданской ответственности владельцев транспортных средств, утвержденного Банком России от № 837-П от 01.04.2024, Указание Банка России от 09.10.2025 N 7204-У (ред. от 09.10.2025)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 обязательному страхованию гражданской ответственности владельцев транспортных средств", "Порядком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 средств") (Зарегистрировано в Минюсте России 14.11.2025 N 84176), Постановлением Правительства РФ от 15.11.2012 № 1164 «Об утверждении Правил расчета суммы страхового возмещения при причинении вреда здоровью потерпевшего», Положения о правилах проведения независимой технической экспертизы транспортного средства, утвержденного Банком России 19.09.2014 № 433-П, Положения о единой методике определения размера расходов на восстановительный ремонт в отношении поврежденного транспортного средства, утвержденного Банком России 04.03.2021 № 755-П. </w:t>
      </w:r>
    </w:p>
    <w:p>
      <w:pPr>
        <w:pStyle w:val="ConsPlusNormal1"/>
        <w:ind w:firstLine="540"/>
        <w:jc w:val="both"/>
        <w:rPr>
          <w:rFonts w:ascii="Times New Roman" w:hAnsi="Times New Roman"/>
          <w:sz w:val="24"/>
          <w:szCs w:val="24"/>
        </w:rPr>
      </w:pPr>
      <w:r>
        <w:rPr>
          <w:rFonts w:ascii="Times New Roman" w:hAnsi="Times New Roman"/>
          <w:sz w:val="24"/>
          <w:szCs w:val="24"/>
        </w:rPr>
        <w:t>1.4. Услуги оказываются с момента подписания Контракта по «</w:t>
      </w:r>
      <w:r>
        <w:rPr>
          <w:rFonts w:ascii="Times New Roman" w:hAnsi="Times New Roman"/>
          <w:sz w:val="24"/>
          <w:szCs w:val="24"/>
        </w:rPr>
        <w:t>30</w:t>
      </w:r>
      <w:r>
        <w:rPr>
          <w:rFonts w:ascii="Times New Roman" w:hAnsi="Times New Roman"/>
          <w:sz w:val="24"/>
          <w:szCs w:val="24"/>
        </w:rPr>
        <w:t xml:space="preserve">» </w:t>
      </w:r>
      <w:r>
        <w:rPr>
          <w:rFonts w:ascii="Times New Roman" w:hAnsi="Times New Roman"/>
          <w:sz w:val="24"/>
          <w:szCs w:val="24"/>
        </w:rPr>
        <w:t>августа</w:t>
      </w:r>
      <w:r>
        <w:rPr>
          <w:rFonts w:ascii="Times New Roman" w:hAnsi="Times New Roman"/>
          <w:sz w:val="24"/>
          <w:szCs w:val="24"/>
        </w:rPr>
        <w:t xml:space="preserve"> 2026 г.</w:t>
      </w:r>
    </w:p>
    <w:p>
      <w:pPr>
        <w:pStyle w:val="ConsPlusNormal1"/>
        <w:ind w:firstLine="540"/>
        <w:jc w:val="both"/>
        <w:rPr>
          <w:rFonts w:ascii="Times New Roman" w:hAnsi="Times New Roman"/>
          <w:sz w:val="24"/>
          <w:szCs w:val="24"/>
        </w:rPr>
      </w:pPr>
      <w:r>
        <w:rPr>
          <w:rFonts w:ascii="Times New Roman" w:hAnsi="Times New Roman"/>
          <w:sz w:val="24"/>
          <w:szCs w:val="24"/>
        </w:rPr>
      </w:r>
    </w:p>
    <w:p>
      <w:pPr>
        <w:pStyle w:val="Normal"/>
        <w:jc w:val="center"/>
        <w:rPr>
          <w:b/>
        </w:rPr>
      </w:pPr>
      <w:r>
        <w:rPr>
          <w:b/>
        </w:rPr>
        <w:t>2. ПРАВА И ОБЯЗАННОСТИ СТОРОН</w:t>
      </w:r>
    </w:p>
    <w:p>
      <w:pPr>
        <w:pStyle w:val="Normal"/>
        <w:jc w:val="center"/>
        <w:rPr>
          <w:b/>
        </w:rPr>
      </w:pPr>
      <w:r>
        <w:rPr>
          <w:b/>
        </w:rPr>
      </w:r>
    </w:p>
    <w:p>
      <w:pPr>
        <w:pStyle w:val="Normal"/>
        <w:pBdr/>
        <w:tabs>
          <w:tab w:val="clear" w:pos="708"/>
          <w:tab w:val="left" w:pos="142" w:leader="none"/>
          <w:tab w:val="left" w:pos="1214" w:leader="none"/>
        </w:tabs>
        <w:ind w:firstLine="567"/>
        <w:jc w:val="both"/>
        <w:rPr/>
      </w:pPr>
      <w:r>
        <w:rPr/>
        <w:t>2.1. Страховщик обязан:</w:t>
      </w:r>
    </w:p>
    <w:p>
      <w:pPr>
        <w:pStyle w:val="Normal"/>
        <w:pBdr/>
        <w:tabs>
          <w:tab w:val="clear" w:pos="708"/>
          <w:tab w:val="left" w:pos="142" w:leader="none"/>
          <w:tab w:val="left" w:pos="1214" w:leader="none"/>
        </w:tabs>
        <w:ind w:firstLine="567"/>
        <w:jc w:val="both"/>
        <w:rPr/>
      </w:pPr>
      <w:r>
        <w:rPr/>
        <w:t xml:space="preserve">2.1.1. При подписании контракта Страховщик должен иметь действующую лицензию на осуществление страхования, с видом деятельности — «обязательное страхование гражданской ответственности владельцев транспортных средств», выданную Центральным Банком Российской Федерации. Требование установлено в соответствии со ст. 32 Закона РФ от 27 ноября 1992 г. N 4015-1 «Об организации страхового дела в Российской Федерации» (в соответствии с пунктом 1 части 1 статьи 31 Федерального закона от 05.04.2013 г. № 44-ФЗ); </w:t>
      </w:r>
    </w:p>
    <w:p>
      <w:pPr>
        <w:pStyle w:val="Normal"/>
        <w:pBdr/>
        <w:tabs>
          <w:tab w:val="clear" w:pos="708"/>
          <w:tab w:val="left" w:pos="142" w:leader="none"/>
          <w:tab w:val="left" w:pos="1214" w:leader="none"/>
        </w:tabs>
        <w:ind w:firstLine="567"/>
        <w:jc w:val="both"/>
        <w:rPr/>
      </w:pPr>
      <w:r>
        <w:rPr/>
        <w:t>2.1.2. Страховщик должен быть членом профессионального объединения страховщиков в соответствии с ч. 2 ст. 21 Федерального закона от 25 апреля 2002 г. № 40-ФЗ «Об обязательном страховании гражданской ответственности владельцев транспортных средств».</w:t>
      </w:r>
    </w:p>
    <w:p>
      <w:pPr>
        <w:pStyle w:val="Normal"/>
        <w:pBdr/>
        <w:tabs>
          <w:tab w:val="clear" w:pos="708"/>
          <w:tab w:val="left" w:pos="142" w:leader="none"/>
          <w:tab w:val="left" w:pos="1214" w:leader="none"/>
        </w:tabs>
        <w:ind w:firstLine="567"/>
        <w:jc w:val="both"/>
        <w:rPr/>
      </w:pPr>
      <w:r>
        <w:rPr/>
        <w:t>2.1.2. Принять на страхование заявленные Страхователем транспортные средства.</w:t>
      </w:r>
    </w:p>
    <w:p>
      <w:pPr>
        <w:pStyle w:val="Normal"/>
        <w:pBdr/>
        <w:tabs>
          <w:tab w:val="clear" w:pos="708"/>
          <w:tab w:val="left" w:pos="142" w:leader="none"/>
          <w:tab w:val="left" w:pos="1214" w:leader="none"/>
        </w:tabs>
        <w:ind w:firstLine="567"/>
        <w:jc w:val="both"/>
        <w:rPr/>
      </w:pPr>
      <w:r>
        <w:rPr/>
        <w:t>2.1.3. Обеспечить наличие персонального менеджера Страхователю;</w:t>
      </w:r>
    </w:p>
    <w:p>
      <w:pPr>
        <w:pStyle w:val="Normal"/>
        <w:pBdr/>
        <w:tabs>
          <w:tab w:val="clear" w:pos="708"/>
          <w:tab w:val="left" w:pos="142" w:leader="none"/>
          <w:tab w:val="left" w:pos="1214" w:leader="none"/>
        </w:tabs>
        <w:ind w:firstLine="567"/>
        <w:jc w:val="both"/>
        <w:rPr/>
      </w:pPr>
      <w:r>
        <w:rPr/>
        <w:t>2.1.4. Сообщить Страхователю о содержании сведений, необходимых для оформления полисов по обязательному страхованию владельца транспортных средств.</w:t>
      </w:r>
    </w:p>
    <w:p>
      <w:pPr>
        <w:pStyle w:val="Normal"/>
        <w:pBdr/>
        <w:tabs>
          <w:tab w:val="clear" w:pos="708"/>
          <w:tab w:val="left" w:pos="142" w:leader="none"/>
          <w:tab w:val="left" w:pos="1214" w:leader="none"/>
        </w:tabs>
        <w:ind w:firstLine="567"/>
        <w:jc w:val="both"/>
        <w:rPr/>
      </w:pPr>
      <w:r>
        <w:rPr/>
        <w:t>2.1.5. Передать Страхователю страховые полисы на застрахованные транспортные средства, правила обязательного страхования гражданской ответственности, извещения о ДТП, инструкции по заполнению извещений о ДТП.</w:t>
      </w:r>
    </w:p>
    <w:p>
      <w:pPr>
        <w:pStyle w:val="Normal"/>
        <w:tabs>
          <w:tab w:val="left" w:pos="708" w:leader="none"/>
        </w:tabs>
        <w:ind w:firstLine="567"/>
        <w:jc w:val="both"/>
        <w:rPr/>
      </w:pPr>
      <w:r>
        <w:rPr/>
        <w:t>2.1.6. По настоящему Контракту Страховщик обязуется за обусловленную настоящим Контрактом плату (страховую премию), указанную в Приложении №1 к настоящему Контракту, при наступлении предусмотренного Правилами страхования и Контрактом события (страхового случая)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потерпевшему (третьему лицу) в целях возмещения вреда, причиненного жизни, здоровью, или имуществу потерпевшего в пределах страховой суммы, установленной в соответствии с действующим на момент исполнения настоящего контракта законодательством РФ. (По согласованию с Страхователем по каждому страховому случаю)</w:t>
      </w:r>
    </w:p>
    <w:p>
      <w:pPr>
        <w:pStyle w:val="Normal"/>
        <w:widowControl w:val="false"/>
        <w:overflowPunct w:val="true"/>
        <w:ind w:firstLine="567"/>
        <w:jc w:val="both"/>
        <w:rPr/>
      </w:pPr>
      <w:r>
        <w:rPr/>
        <w:t>2.1.7. В случае, не предусмотренном п. 2.1.6. настоящего Контракта, в рамках действующего законодательства Страховщик выплачивает потерпевшему страховое возмещение в пределах определенной страховой суммы, а именно:</w:t>
      </w:r>
    </w:p>
    <w:p>
      <w:pPr>
        <w:pStyle w:val="Normal"/>
        <w:numPr>
          <w:ilvl w:val="0"/>
          <w:numId w:val="0"/>
        </w:numPr>
        <w:ind w:firstLine="567"/>
        <w:jc w:val="both"/>
        <w:outlineLvl w:val="1"/>
        <w:rPr/>
      </w:pPr>
      <w:r>
        <w:rPr/>
        <w:t xml:space="preserve">– </w:t>
      </w:r>
      <w:r>
        <w:rPr/>
        <w:t>в части возмещения вреда, причиненного жизни или здоровью каждого потерпевшего - 500 тысяч рублей;</w:t>
      </w:r>
    </w:p>
    <w:p>
      <w:pPr>
        <w:pStyle w:val="Normal"/>
        <w:pBdr/>
        <w:tabs>
          <w:tab w:val="clear" w:pos="708"/>
          <w:tab w:val="left" w:pos="1214" w:leader="none"/>
        </w:tabs>
        <w:ind w:firstLine="567"/>
        <w:jc w:val="both"/>
        <w:rPr/>
      </w:pPr>
      <w:r>
        <w:rPr/>
        <w:t xml:space="preserve">– </w:t>
      </w:r>
      <w:r>
        <w:rPr/>
        <w:t xml:space="preserve">в части возмещения вреда, причиненного имуществу каждого потерпевшего - 400 тысяч рублей. </w:t>
      </w:r>
    </w:p>
    <w:p>
      <w:pPr>
        <w:pStyle w:val="Normal"/>
        <w:pBdr/>
        <w:tabs>
          <w:tab w:val="clear" w:pos="708"/>
          <w:tab w:val="left" w:pos="1214" w:leader="none"/>
        </w:tabs>
        <w:ind w:firstLine="567"/>
        <w:jc w:val="both"/>
        <w:rPr/>
      </w:pPr>
      <w:r>
        <w:rPr/>
        <w:t>2.1.8. Осуществлять круглосуточный прием информации о страховых случаях.</w:t>
      </w:r>
    </w:p>
    <w:p>
      <w:pPr>
        <w:pStyle w:val="Normal"/>
        <w:pBdr/>
        <w:tabs>
          <w:tab w:val="clear" w:pos="708"/>
          <w:tab w:val="left" w:pos="1214" w:leader="none"/>
        </w:tabs>
        <w:ind w:firstLine="567"/>
        <w:jc w:val="both"/>
        <w:rPr/>
      </w:pPr>
      <w:r>
        <w:rPr/>
        <w:t xml:space="preserve">2.1.9. </w:t>
      </w:r>
      <w:r>
        <w:rPr>
          <w:rFonts w:eastAsia="Calibri"/>
          <w:lang w:eastAsia="en-US"/>
        </w:rPr>
        <w:t>Направить на место происшествия аварийного комиссара в течение  20 (двадцати) минут с момента поступления информации о наступлении страхового случая от Страхователя (в том числе и по телефону)</w:t>
      </w:r>
      <w:r>
        <w:rPr/>
        <w:t>.</w:t>
      </w:r>
    </w:p>
    <w:p>
      <w:pPr>
        <w:pStyle w:val="Normal"/>
        <w:pBdr/>
        <w:tabs>
          <w:tab w:val="clear" w:pos="708"/>
          <w:tab w:val="left" w:pos="1214" w:leader="none"/>
        </w:tabs>
        <w:ind w:firstLine="567"/>
        <w:jc w:val="both"/>
        <w:rPr/>
      </w:pPr>
      <w:r>
        <w:rPr/>
        <w:t>2.1.10. Осуществлять бесплатную эвакуацию поврежденного транспортного средства (</w:t>
      </w:r>
      <w:r>
        <w:rPr>
          <w:rFonts w:eastAsia="Calibri"/>
          <w:lang w:eastAsia="en-US"/>
        </w:rPr>
        <w:t>при необходимости</w:t>
      </w:r>
      <w:r>
        <w:rPr/>
        <w:t>).</w:t>
      </w:r>
    </w:p>
    <w:p>
      <w:pPr>
        <w:pStyle w:val="Normal"/>
        <w:pBdr/>
        <w:tabs>
          <w:tab w:val="clear" w:pos="708"/>
          <w:tab w:val="left" w:pos="1214" w:leader="none"/>
        </w:tabs>
        <w:ind w:firstLine="567"/>
        <w:jc w:val="both"/>
        <w:rPr/>
      </w:pPr>
      <w:r>
        <w:rPr/>
        <w:t xml:space="preserve">2.1.11. Обеспечить </w:t>
      </w:r>
      <w:r>
        <w:rPr>
          <w:rFonts w:eastAsia="Calibri"/>
          <w:lang w:eastAsia="en-US"/>
        </w:rPr>
        <w:t>организацию независимой экспертизы.</w:t>
      </w:r>
    </w:p>
    <w:p>
      <w:pPr>
        <w:pStyle w:val="Normal"/>
        <w:pBdr/>
        <w:tabs>
          <w:tab w:val="clear" w:pos="708"/>
          <w:tab w:val="left" w:pos="1214" w:leader="none"/>
        </w:tabs>
        <w:ind w:firstLine="567"/>
        <w:jc w:val="both"/>
        <w:rPr/>
      </w:pPr>
      <w:r>
        <w:rPr/>
        <w:t>2.1.12. Осуществлять помощь в формировании пакета документов для осуществления страхового возмещения в иных страховых компаниях.</w:t>
      </w:r>
    </w:p>
    <w:p>
      <w:pPr>
        <w:pStyle w:val="Normal"/>
        <w:pBdr/>
        <w:tabs>
          <w:tab w:val="clear" w:pos="708"/>
          <w:tab w:val="left" w:pos="1214" w:leader="none"/>
        </w:tabs>
        <w:ind w:firstLine="567"/>
        <w:jc w:val="both"/>
        <w:rPr/>
      </w:pPr>
      <w:r>
        <w:rPr>
          <w:rFonts w:eastAsia="Calibri"/>
          <w:lang w:eastAsia="en-US"/>
        </w:rPr>
        <w:t>2.1.13. Оказывать юридическую поддержку Страхователя в вопросах, относящихся к предмету контракта.</w:t>
      </w:r>
    </w:p>
    <w:p>
      <w:pPr>
        <w:pStyle w:val="Normal"/>
        <w:pBdr/>
        <w:tabs>
          <w:tab w:val="clear" w:pos="708"/>
          <w:tab w:val="left" w:pos="1214" w:leader="none"/>
        </w:tabs>
        <w:ind w:firstLine="567"/>
        <w:jc w:val="both"/>
        <w:rPr/>
      </w:pPr>
      <w:r>
        <w:rPr/>
        <w:t xml:space="preserve">2.1.14. Гарантировать соответствие качества услуг требованиям действующего законодательства Российской Федерации.  </w:t>
      </w:r>
    </w:p>
    <w:p>
      <w:pPr>
        <w:pStyle w:val="Normal"/>
        <w:pBdr/>
        <w:tabs>
          <w:tab w:val="clear" w:pos="708"/>
          <w:tab w:val="left" w:pos="1214" w:leader="none"/>
        </w:tabs>
        <w:ind w:firstLine="567"/>
        <w:jc w:val="both"/>
        <w:rPr/>
      </w:pPr>
      <w:r>
        <w:rPr/>
        <w:t xml:space="preserve">2.1.15. Совершать  иные  действия, предусмотренные  нормативными правовыми актами Российской Федерации и настоящим контрактом. </w:t>
      </w:r>
    </w:p>
    <w:p>
      <w:pPr>
        <w:pStyle w:val="Normal"/>
        <w:pBdr/>
        <w:tabs>
          <w:tab w:val="clear" w:pos="708"/>
          <w:tab w:val="left" w:pos="1214" w:leader="none"/>
        </w:tabs>
        <w:ind w:firstLine="567"/>
        <w:jc w:val="both"/>
        <w:rPr/>
      </w:pPr>
      <w:r>
        <w:rPr/>
        <w:t>2.2. Страхователь обязан:</w:t>
      </w:r>
    </w:p>
    <w:p>
      <w:pPr>
        <w:pStyle w:val="Normal"/>
        <w:pBdr/>
        <w:tabs>
          <w:tab w:val="clear" w:pos="708"/>
          <w:tab w:val="left" w:pos="1214" w:leader="none"/>
        </w:tabs>
        <w:ind w:firstLine="567"/>
        <w:jc w:val="both"/>
        <w:rPr/>
      </w:pPr>
      <w:r>
        <w:rPr/>
        <w:t>2.2.1. Сообщить Страховщику обо всех известных обстоятельствах, имеющих значение для расчета Страховщиком страховой премии.</w:t>
      </w:r>
    </w:p>
    <w:p>
      <w:pPr>
        <w:pStyle w:val="Normal"/>
        <w:pBdr/>
        <w:tabs>
          <w:tab w:val="clear" w:pos="708"/>
          <w:tab w:val="left" w:pos="1214" w:leader="none"/>
        </w:tabs>
        <w:ind w:firstLine="567"/>
        <w:jc w:val="both"/>
        <w:rPr/>
      </w:pPr>
      <w:r>
        <w:rPr/>
        <w:t>2.2.2. Своевременно сообщать Страховщику обо всех изменениях застрахованного состава транспортных средств.</w:t>
      </w:r>
    </w:p>
    <w:p>
      <w:pPr>
        <w:pStyle w:val="Normal"/>
        <w:pBdr/>
        <w:tabs>
          <w:tab w:val="clear" w:pos="708"/>
          <w:tab w:val="left" w:pos="1214" w:leader="none"/>
        </w:tabs>
        <w:ind w:firstLine="567"/>
        <w:jc w:val="both"/>
        <w:rPr/>
      </w:pPr>
      <w:r>
        <w:rPr/>
        <w:t>2.2.3. Своевременно представлять Страховщику всю необходимую информацию о случаях причинения вреда при использовании застрахованных транспортных средств, а также документы для установления факта страхового случая и определения размера ущерба.</w:t>
      </w:r>
    </w:p>
    <w:p>
      <w:pPr>
        <w:pStyle w:val="Normal"/>
        <w:pBdr/>
        <w:tabs>
          <w:tab w:val="clear" w:pos="708"/>
          <w:tab w:val="left" w:pos="1214" w:leader="none"/>
        </w:tabs>
        <w:ind w:firstLine="567"/>
        <w:jc w:val="both"/>
        <w:rPr/>
      </w:pPr>
      <w:r>
        <w:rPr/>
        <w:t>2.2.4. Уплатить страховую премию, определенную в соответствии со страховым тарифом, установленным Банком России в сроки, оговоренные в пункте 5.3 настоящего контракта.</w:t>
      </w:r>
    </w:p>
    <w:p>
      <w:pPr>
        <w:pStyle w:val="Normal"/>
        <w:pBdr/>
        <w:tabs>
          <w:tab w:val="clear" w:pos="708"/>
          <w:tab w:val="left" w:pos="1214" w:leader="none"/>
        </w:tabs>
        <w:ind w:firstLine="567"/>
        <w:jc w:val="both"/>
        <w:rPr/>
      </w:pPr>
      <w:r>
        <w:rPr/>
        <w:t xml:space="preserve">2.3. Страхователь вправе осуществить оплату по настоящему Контракту только после предоставления Страховщиком документов об оплате пени и/или штрафов в порядке и сроки, предусмотренные разделом 6 настоящего Контракта. В соответствии со </w:t>
      </w:r>
      <w:hyperlink r:id="rId2">
        <w:r>
          <w:rPr>
            <w:rStyle w:val="ListLabel4"/>
          </w:rPr>
          <w:t>статьей 313</w:t>
        </w:r>
      </w:hyperlink>
      <w:r>
        <w:rPr/>
        <w:t xml:space="preserve"> Гражданского кодекса, в случае неисполнения или ненадлежащего исполнения Страховщиком по указанному контракту своих обязательств по уплате неустойки, Заказчик начисляет на основании требования об уплате неустойки задолженность Страховщика и осуществляет ее оплату за Страховщика из средств, подлежащих выплате Страховщику в связи с приемкой поставленного товара, результатов выполненной работы, оказанной услуги. Оплата Контракта осуществляется путем выплаты Страховщику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 на основании платежного документа с указанием ИНН, КПП и наименования Страховщика, за которого осуществляется перечисление неустойки (пеней, штрафов) в соответствии с условиями Контракта.</w:t>
      </w:r>
    </w:p>
    <w:p>
      <w:pPr>
        <w:pStyle w:val="ConsPlusNormal1"/>
        <w:numPr>
          <w:ilvl w:val="0"/>
          <w:numId w:val="0"/>
        </w:numPr>
        <w:ind w:firstLine="720"/>
        <w:jc w:val="center"/>
        <w:outlineLvl w:val="2"/>
        <w:rPr>
          <w:rFonts w:ascii="Times New Roman" w:hAnsi="Times New Roman" w:eastAsia="Times New Roman"/>
          <w:sz w:val="24"/>
          <w:szCs w:val="24"/>
        </w:rPr>
      </w:pPr>
      <w:r>
        <w:rPr>
          <w:rFonts w:eastAsia="Times New Roman" w:ascii="Times New Roman" w:hAnsi="Times New Roman"/>
          <w:sz w:val="24"/>
          <w:szCs w:val="24"/>
        </w:rPr>
      </w:r>
    </w:p>
    <w:p>
      <w:pPr>
        <w:pStyle w:val="ConsPlusNormal1"/>
        <w:numPr>
          <w:ilvl w:val="0"/>
          <w:numId w:val="0"/>
        </w:numPr>
        <w:ind w:firstLine="720"/>
        <w:jc w:val="center"/>
        <w:outlineLvl w:val="2"/>
        <w:rPr>
          <w:rFonts w:ascii="Times New Roman" w:hAnsi="Times New Roman"/>
          <w:b/>
          <w:sz w:val="24"/>
          <w:szCs w:val="24"/>
        </w:rPr>
      </w:pPr>
      <w:r>
        <w:rPr>
          <w:rFonts w:ascii="Times New Roman" w:hAnsi="Times New Roman"/>
          <w:b/>
          <w:sz w:val="24"/>
          <w:szCs w:val="24"/>
        </w:rPr>
        <w:t>3. ЦЕНЫ КОНТРАКТА И ПОРЯДОК РАСЧЕТОВ</w:t>
      </w:r>
    </w:p>
    <w:p>
      <w:pPr>
        <w:pStyle w:val="ConsPlusNormal1"/>
        <w:numPr>
          <w:ilvl w:val="0"/>
          <w:numId w:val="0"/>
        </w:numPr>
        <w:ind w:firstLine="720"/>
        <w:jc w:val="center"/>
        <w:outlineLvl w:val="2"/>
        <w:rPr>
          <w:rFonts w:ascii="Times New Roman" w:hAnsi="Times New Roman"/>
          <w:b/>
          <w:sz w:val="24"/>
          <w:szCs w:val="24"/>
        </w:rPr>
      </w:pPr>
      <w:r>
        <w:rPr>
          <w:rFonts w:ascii="Times New Roman" w:hAnsi="Times New Roman"/>
          <w:b/>
          <w:sz w:val="24"/>
          <w:szCs w:val="24"/>
        </w:rPr>
      </w:r>
    </w:p>
    <w:p>
      <w:pPr>
        <w:pStyle w:val="Normal"/>
        <w:ind w:firstLine="567"/>
        <w:jc w:val="both"/>
        <w:rPr/>
      </w:pPr>
      <w:bookmarkStart w:id="0" w:name="Par582"/>
      <w:bookmarkEnd w:id="0"/>
      <w:r>
        <w:rPr/>
        <w:t>3.1. Страховая сумма, в пределах которой Страховщик обязуется при наступлении каждого страхового случая возместить потерпевшим причиненный вред, устанавливается в соответствии с Федеральным законом от 25.04.2002 № 40-ФЗ  «Об обязательном страховании гражданской ответственности владельцев транспортных средств», Постановлением Правительства РФ от 15.11.2012 № 1164 «Об утверждении Правил расчета суммы страхового возмещения при причинении вреда здоровью потерпевшего».</w:t>
      </w:r>
    </w:p>
    <w:p>
      <w:pPr>
        <w:pStyle w:val="Normal"/>
        <w:ind w:firstLine="567"/>
        <w:jc w:val="both"/>
        <w:rPr/>
      </w:pPr>
      <w:r>
        <w:rPr/>
        <w:t>3.2. Цена контракта (ее максимальное значение) определена в соответствии с Указанием Банка России 09.10.2025 N 7204-У (ред. от 09.10.2025)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 обязательному страхованию гражданской ответственности владельцев транспортных средств», «Порядком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 средств») (Зарегистрировано в Минюсте России 14.11.2025 N 84176), Постановлением Правительства РФ от 15.11.2012 № 1164 «Об утверждении Правил расчета суммы страхового возмещения при причинении вреда здоровью потерпевшего», Положения о правилах проведения независимой технической экспертизы транспортного средства, утвержденного Банком России 19.09.2014 № 433-П, Положения о единой методике определения размера расходов на восстановительный ремонт в отношении поврежденного транспортного средства, утвержденного Банком России 04.03.2021 № 755-П, Постановлением Правительства РФ от 13.01.2014 № 19 «Об установлении случаев, в которых при заключении контракта в документации о закупке указываются формулы цены и максимальное значение цены контракта»  по формуле цены контракта (Приложение № 2 к настоящему Контракту) и составляет _____________  (_____)  рублей __копеек, в том числе НДС /НДС не облагается».</w:t>
      </w:r>
    </w:p>
    <w:p>
      <w:pPr>
        <w:pStyle w:val="Normal"/>
        <w:ind w:firstLine="567"/>
        <w:jc w:val="both"/>
        <w:rPr>
          <w:color w:val="000000"/>
        </w:rPr>
      </w:pPr>
      <w:r>
        <w:rPr/>
        <w:t>3.3. Сумма, подлежащая уплате Страхователем юридическому лицу или физическому лицу, в том числе зарегистрированному в качестве индивидуального предпринимателя будет уменьшен</w:t>
      </w:r>
      <w:r>
        <w:rPr>
          <w:color w:val="000000"/>
        </w:rPr>
        <w:t>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pPr>
        <w:pStyle w:val="Normal"/>
        <w:ind w:firstLine="567"/>
        <w:jc w:val="both"/>
        <w:rPr/>
      </w:pPr>
      <w:r>
        <w:rPr/>
        <w:t>3.4. Цена Контракта (общая страховая премия) является твердой и определяется на весь срок исполнения Контракта.</w:t>
      </w:r>
    </w:p>
    <w:p>
      <w:pPr>
        <w:pStyle w:val="Normal"/>
        <w:ind w:firstLine="540"/>
        <w:jc w:val="both"/>
        <w:rPr>
          <w:bCs/>
        </w:rPr>
      </w:pPr>
      <w:r>
        <w:rPr/>
        <w:t xml:space="preserve">3.5. Платежи по настоящему Контракту производятся за счет средств федерального бюджета. Оплата за оказанные услуги производится безналичным расчётом </w:t>
      </w:r>
      <w:r>
        <w:rPr>
          <w:b/>
          <w:bCs/>
        </w:rPr>
        <w:t>в течение 7 (семи) рабочих дней</w:t>
      </w:r>
      <w:r>
        <w:rPr>
          <w:bCs/>
        </w:rPr>
        <w:t xml:space="preserve"> </w:t>
      </w:r>
      <w:r>
        <w:rPr/>
        <w:t>со дня подписания Заказчиком документа приемки (акта выполненных работ или оказанных услуг), подписанного и оформленного Исполнителем (страховщиком) в двух экземплярах на указанные строго в соответствии с настоящим контрактом услуги и наличии у Заказчика, подписанного Исполнителем (страховщиком) счета с указанием номера и даты контракта, наименования плательщика, банковских реквизитов Исполнителя (страховщика), соответствующих настоящему контракту.</w:t>
      </w:r>
    </w:p>
    <w:p>
      <w:pPr>
        <w:pStyle w:val="Normal"/>
        <w:ind w:firstLine="567"/>
        <w:jc w:val="both"/>
        <w:rPr/>
      </w:pPr>
      <w:r>
        <w:rPr/>
        <w:t>3.6. Общее количество транспортных средств Страхователя, подлежащих страхованию, составляет 32 единицы (Приложение № 1 к настоящему Контракту).</w:t>
      </w:r>
    </w:p>
    <w:p>
      <w:pPr>
        <w:pStyle w:val="Normal"/>
        <w:ind w:firstLine="567"/>
        <w:jc w:val="both"/>
        <w:rPr/>
      </w:pPr>
      <w:r>
        <w:rPr/>
        <w:t>3.7. Изменение существенных условий Контракта при его исполнении допускается по соглашению Сторон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pPr>
        <w:pStyle w:val="Normal"/>
        <w:ind w:firstLine="567"/>
        <w:jc w:val="both"/>
        <w:rPr/>
      </w:pPr>
      <w:r>
        <w:rPr/>
        <w:t>3.8. Цена контракта включает расходы на оказание услуг, транспортные расходы, страхование, уплату таможенных пошлин, налогов и других обязательных платежей, связанных с исполнением контракта.</w:t>
      </w:r>
    </w:p>
    <w:p>
      <w:pPr>
        <w:pStyle w:val="Normal"/>
        <w:ind w:firstLine="567"/>
        <w:jc w:val="both"/>
        <w:rPr/>
      </w:pPr>
      <w:r>
        <w:rPr/>
        <w:t>3.9. Изменение Банком России страховых тарифов в течение срока действия настоящего контракта не влечет за собой изменение страховой премии, оплаченной Страхователем по действовавшим на момент уплаты страховым тарифам.</w:t>
      </w:r>
    </w:p>
    <w:p>
      <w:pPr>
        <w:pStyle w:val="Normal"/>
        <w:ind w:firstLine="567"/>
        <w:jc w:val="both"/>
        <w:rPr/>
      </w:pPr>
      <w:r>
        <w:rPr/>
      </w:r>
    </w:p>
    <w:p>
      <w:pPr>
        <w:pStyle w:val="ConsPlusNormal1"/>
        <w:numPr>
          <w:ilvl w:val="0"/>
          <w:numId w:val="0"/>
        </w:numPr>
        <w:ind w:firstLine="720"/>
        <w:jc w:val="center"/>
        <w:outlineLvl w:val="2"/>
        <w:rPr>
          <w:rFonts w:ascii="Times New Roman" w:hAnsi="Times New Roman"/>
          <w:b/>
          <w:sz w:val="24"/>
          <w:szCs w:val="24"/>
        </w:rPr>
      </w:pPr>
      <w:r>
        <w:rPr>
          <w:rFonts w:ascii="Times New Roman" w:hAnsi="Times New Roman"/>
          <w:b/>
          <w:sz w:val="24"/>
          <w:szCs w:val="24"/>
        </w:rPr>
        <w:t>4. ПОРЯДОК ВЗАИМОДЕЙСТВИЯ СТОРОН</w:t>
      </w:r>
    </w:p>
    <w:p>
      <w:pPr>
        <w:pStyle w:val="ConsPlusNormal1"/>
        <w:numPr>
          <w:ilvl w:val="0"/>
          <w:numId w:val="0"/>
        </w:numPr>
        <w:ind w:firstLine="720"/>
        <w:jc w:val="center"/>
        <w:outlineLvl w:val="2"/>
        <w:rPr>
          <w:rFonts w:ascii="Times New Roman" w:hAnsi="Times New Roman"/>
          <w:b/>
          <w:sz w:val="24"/>
          <w:szCs w:val="24"/>
        </w:rPr>
      </w:pPr>
      <w:r>
        <w:rPr>
          <w:rFonts w:ascii="Times New Roman" w:hAnsi="Times New Roman"/>
          <w:b/>
          <w:sz w:val="24"/>
          <w:szCs w:val="24"/>
        </w:rPr>
      </w:r>
    </w:p>
    <w:p>
      <w:pPr>
        <w:pStyle w:val="Normal"/>
        <w:ind w:firstLine="567"/>
        <w:jc w:val="both"/>
        <w:rPr/>
      </w:pPr>
      <w:r>
        <w:rPr/>
        <w:t>4.1. Выдача страховых полисов осуществляется на основании перечня транспортных средств, подлежащих страхованию (Приложение № 1 к настоящему Контракту); письменного заявления по установленной форме; копий свидетельств о регистрации транспортных средств.</w:t>
      </w:r>
    </w:p>
    <w:p>
      <w:pPr>
        <w:pStyle w:val="Normal"/>
        <w:ind w:firstLine="567"/>
        <w:jc w:val="both"/>
        <w:rPr/>
      </w:pPr>
      <w:r>
        <w:rPr/>
        <w:t>4.2. Страховщик выписывает и передает Страхователю страховой полис на транспортное средство по акту приема-передачи страхового полиса, не позднее, чем за 3 рабочих дня до даты начала нового страхового периода каждого транспортного средства указанного в приложении №1 к настоящему Контракту.</w:t>
      </w:r>
    </w:p>
    <w:p>
      <w:pPr>
        <w:pStyle w:val="Normal"/>
        <w:ind w:firstLine="567"/>
        <w:jc w:val="both"/>
        <w:rPr/>
      </w:pPr>
      <w:r>
        <w:rPr/>
        <w:t xml:space="preserve">4.3. Страхователь уплачивает Страховщику сумму страховой премии. </w:t>
      </w:r>
    </w:p>
    <w:p>
      <w:pPr>
        <w:pStyle w:val="Normal"/>
        <w:ind w:firstLine="567"/>
        <w:jc w:val="both"/>
        <w:rPr/>
      </w:pPr>
      <w:r>
        <w:rPr/>
        <w:t>4.4. Место оказания услуги – Выдача  страховых  полисов  по обязательному страхованию гражданской ответственности  владельцев транспортных средств осуществляется  по адресу: Курская область, г. Курск,  ул. Черняховского, 4.</w:t>
      </w:r>
    </w:p>
    <w:p>
      <w:pPr>
        <w:pStyle w:val="Normal"/>
        <w:ind w:firstLine="567"/>
        <w:jc w:val="both"/>
        <w:rPr/>
      </w:pPr>
      <w:r>
        <w:rPr/>
        <w:t>4.6. Срок действия  страхового полиса – один календарный год с момента его выдачи.</w:t>
      </w:r>
    </w:p>
    <w:p>
      <w:pPr>
        <w:pStyle w:val="Normal"/>
        <w:ind w:firstLine="567"/>
        <w:jc w:val="both"/>
        <w:rPr/>
      </w:pPr>
      <w:r>
        <w:rPr/>
        <w:t>4.7. Страховым случаем по настоящему контракту является наступление гражданской ответственности Страхователя, иных лиц, риск ответственности которых застрахован по страховым полисам на каждое транспортное средство в соответствии с положениями настоящего контракта, за причинение вреда жизни, здоровью или имуществу потерпевшего, которое влечет за собой обязанность Страховщика произвести страховую выплату.</w:t>
      </w:r>
    </w:p>
    <w:p>
      <w:pPr>
        <w:pStyle w:val="Normal"/>
        <w:ind w:firstLine="567"/>
        <w:jc w:val="both"/>
        <w:rPr/>
      </w:pPr>
      <w:r>
        <w:rPr/>
        <w:t>4.8. Территория страхового покрытия – территория Российской Федерации.</w:t>
      </w:r>
    </w:p>
    <w:p>
      <w:pPr>
        <w:pStyle w:val="Normal"/>
        <w:ind w:firstLine="567"/>
        <w:jc w:val="both"/>
        <w:rPr/>
      </w:pPr>
      <w:r>
        <w:rPr/>
      </w:r>
    </w:p>
    <w:p>
      <w:pPr>
        <w:pStyle w:val="ConsPlusNormal1"/>
        <w:numPr>
          <w:ilvl w:val="0"/>
          <w:numId w:val="0"/>
        </w:numPr>
        <w:ind w:firstLine="720"/>
        <w:jc w:val="center"/>
        <w:outlineLvl w:val="2"/>
        <w:rPr>
          <w:rFonts w:ascii="Times New Roman" w:hAnsi="Times New Roman"/>
          <w:b/>
          <w:sz w:val="24"/>
          <w:szCs w:val="24"/>
        </w:rPr>
      </w:pPr>
      <w:r>
        <w:rPr>
          <w:rFonts w:ascii="Times New Roman" w:hAnsi="Times New Roman"/>
          <w:b/>
          <w:sz w:val="24"/>
          <w:szCs w:val="24"/>
        </w:rPr>
        <w:t>5. ПОРЯДОК ПРИЕМКИ ОКАЗЫВАЕМОЙ УСЛУГИ</w:t>
      </w:r>
    </w:p>
    <w:p>
      <w:pPr>
        <w:pStyle w:val="ConsPlusNormal1"/>
        <w:numPr>
          <w:ilvl w:val="0"/>
          <w:numId w:val="0"/>
        </w:numPr>
        <w:ind w:firstLine="720"/>
        <w:jc w:val="center"/>
        <w:outlineLvl w:val="2"/>
        <w:rPr>
          <w:rFonts w:ascii="Times New Roman" w:hAnsi="Times New Roman"/>
          <w:b/>
          <w:sz w:val="24"/>
          <w:szCs w:val="24"/>
        </w:rPr>
      </w:pPr>
      <w:r>
        <w:rPr>
          <w:rFonts w:ascii="Times New Roman" w:hAnsi="Times New Roman"/>
          <w:b/>
          <w:sz w:val="24"/>
          <w:szCs w:val="24"/>
        </w:rPr>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5.1. Бланк страхового полиса имеет единую форму на всей территории Российской Федерации и является документом строгой отчетности.</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5.2. Страховщик передает страховой полис в порядке и сроки, установленные п. 4.2 настоящего контракта.</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 xml:space="preserve">5.3. Одновременно с каждым страховым полисом Страхователю бесплатно выдаются перечень представителей Страховщика в субъектах Российской Федерации, содержащий информацию о месте нахождения и почтовых адресах, средствах связи с ними и о времени их работы, 2 (два) бланка извещения о дорожно-транспортном происшествии по форме, утвержденной Положением Банка России от 19.09.2014 № 431-П «О правилах обязательного страхования гражданской ответственности владельцев транспортных средств». </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В дальнейшем бланки извещений о дорожно-транспортном происшествии выдаются Страховщиком (представителями Страховщика) бесплатно по требованию Страхователя.</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r>
    </w:p>
    <w:p>
      <w:pPr>
        <w:pStyle w:val="ConsPlusNormal1"/>
        <w:numPr>
          <w:ilvl w:val="0"/>
          <w:numId w:val="0"/>
        </w:numPr>
        <w:ind w:firstLine="720"/>
        <w:jc w:val="center"/>
        <w:outlineLvl w:val="2"/>
        <w:rPr>
          <w:rFonts w:ascii="Times New Roman" w:hAnsi="Times New Roman"/>
          <w:b/>
          <w:sz w:val="24"/>
          <w:szCs w:val="24"/>
        </w:rPr>
      </w:pPr>
      <w:r>
        <w:rPr>
          <w:rFonts w:ascii="Times New Roman" w:hAnsi="Times New Roman"/>
          <w:b/>
          <w:sz w:val="24"/>
          <w:szCs w:val="24"/>
        </w:rPr>
        <w:t>6. ОТВЕТСТВЕННОСТЬ СТОРОН</w:t>
      </w:r>
    </w:p>
    <w:p>
      <w:pPr>
        <w:pStyle w:val="ConsPlusNormal1"/>
        <w:numPr>
          <w:ilvl w:val="0"/>
          <w:numId w:val="0"/>
        </w:numPr>
        <w:ind w:firstLine="720"/>
        <w:jc w:val="center"/>
        <w:outlineLvl w:val="2"/>
        <w:rPr>
          <w:rFonts w:ascii="Times New Roman" w:hAnsi="Times New Roman"/>
          <w:b/>
          <w:sz w:val="24"/>
          <w:szCs w:val="24"/>
        </w:rPr>
      </w:pPr>
      <w:r>
        <w:rPr>
          <w:rFonts w:ascii="Times New Roman" w:hAnsi="Times New Roman"/>
          <w:b/>
          <w:sz w:val="24"/>
          <w:szCs w:val="24"/>
        </w:rPr>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6.2.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6.3.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Страхователем обязательств, предусмотренных Контрактом, за исключением просрочки исполнения обязательств, предусмотренных Контрактом.</w:t>
      </w:r>
    </w:p>
    <w:p>
      <w:pPr>
        <w:pStyle w:val="Normal"/>
        <w:ind w:firstLine="567"/>
        <w:jc w:val="both"/>
        <w:rPr/>
      </w:pPr>
      <w:r>
        <w:rPr/>
        <w:t>6.4. 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что составляет ____________ руб. ___ коп.</w:t>
      </w:r>
    </w:p>
    <w:p>
      <w:pPr>
        <w:pStyle w:val="Normal"/>
        <w:ind w:firstLine="567"/>
        <w:jc w:val="both"/>
        <w:rPr/>
      </w:pPr>
      <w:r>
        <w:rPr/>
        <w:t>6.5. За каждый факт неисполнения или ненадлежащего исполнения Страховщиком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устанавливается в размере 10 % начальной (максимальной) цены контракта, что составляет ________ руб. ____ коп.</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6.6.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установлен штраф в размере 1000 рублей.</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6.7.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установлен штраф в размере 1000 рублей.</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6.8. 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6.9.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6.11. Условия пунктов 6.2-6.8 настоящего Контракта применяются в случае направления Сторонами соответствующего письменного требования (претензии).</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6.12. Сумма штрафных санкций, установленных в соответствии с пунктами 6.2-6.8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6.13.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ConsPlusNormal1"/>
        <w:tabs>
          <w:tab w:val="clear" w:pos="708"/>
          <w:tab w:val="left" w:pos="8280" w:leader="none"/>
        </w:tabs>
        <w:ind w:firstLine="540"/>
        <w:jc w:val="both"/>
        <w:rPr>
          <w:rFonts w:ascii="Times New Roman" w:hAnsi="Times New Roman"/>
          <w:sz w:val="24"/>
          <w:szCs w:val="24"/>
        </w:rPr>
      </w:pPr>
      <w:r>
        <w:rPr>
          <w:rFonts w:ascii="Times New Roman" w:hAnsi="Times New Roman"/>
          <w:sz w:val="24"/>
          <w:szCs w:val="24"/>
        </w:rPr>
        <w:t>6.14. Уплата Страховщиком неустойки или применение иной формы ответственности не освобождает его от исполнения обязательств по настоящему Контракту.</w:t>
      </w:r>
    </w:p>
    <w:p>
      <w:pPr>
        <w:pStyle w:val="Normal"/>
        <w:tabs>
          <w:tab w:val="clear" w:pos="708"/>
          <w:tab w:val="left" w:pos="930" w:leader="none"/>
        </w:tabs>
        <w:ind w:firstLine="540"/>
        <w:jc w:val="both"/>
        <w:rPr/>
      </w:pPr>
      <w:r>
        <w:rPr/>
        <w:t>6.15. В случае причинения действиями (бездействием) Страховщиком ущерба имуществу третьих лиц, всю полноту ответственности, включая обязательства по возмещению материального ущерба или морального вреда, несет Страховщик.</w:t>
      </w:r>
    </w:p>
    <w:p>
      <w:pPr>
        <w:pStyle w:val="Normal"/>
        <w:tabs>
          <w:tab w:val="clear" w:pos="708"/>
          <w:tab w:val="left" w:pos="930" w:leader="none"/>
        </w:tabs>
        <w:ind w:firstLine="540"/>
        <w:jc w:val="both"/>
        <w:rPr/>
      </w:pPr>
      <w:r>
        <w:rPr/>
      </w:r>
    </w:p>
    <w:p>
      <w:pPr>
        <w:pStyle w:val="ConsPlusNormal1"/>
        <w:tabs>
          <w:tab w:val="clear" w:pos="708"/>
          <w:tab w:val="left" w:pos="8280" w:leader="none"/>
        </w:tabs>
        <w:ind w:firstLine="540"/>
        <w:jc w:val="center"/>
        <w:rPr>
          <w:rFonts w:ascii="Times New Roman" w:hAnsi="Times New Roman"/>
          <w:b/>
          <w:sz w:val="24"/>
          <w:szCs w:val="24"/>
        </w:rPr>
      </w:pPr>
      <w:r>
        <w:rPr>
          <w:rFonts w:ascii="Times New Roman" w:hAnsi="Times New Roman"/>
          <w:b/>
          <w:sz w:val="24"/>
          <w:szCs w:val="24"/>
        </w:rPr>
        <w:t>7. ПОРЯДОК РАССМОТРЕНИЯ СПОРОВ</w:t>
      </w:r>
    </w:p>
    <w:p>
      <w:pPr>
        <w:pStyle w:val="ConsPlusNormal1"/>
        <w:tabs>
          <w:tab w:val="clear" w:pos="708"/>
          <w:tab w:val="left" w:pos="8280" w:leader="none"/>
        </w:tabs>
        <w:ind w:firstLine="540"/>
        <w:jc w:val="center"/>
        <w:rPr>
          <w:rFonts w:ascii="Times New Roman" w:hAnsi="Times New Roman"/>
          <w:b/>
          <w:sz w:val="24"/>
          <w:szCs w:val="24"/>
        </w:rPr>
      </w:pPr>
      <w:r>
        <w:rPr>
          <w:rFonts w:ascii="Times New Roman" w:hAnsi="Times New Roman"/>
          <w:b/>
          <w:sz w:val="24"/>
          <w:szCs w:val="24"/>
        </w:rPr>
      </w:r>
    </w:p>
    <w:p>
      <w:pPr>
        <w:pStyle w:val="ConsPlusNormal1"/>
        <w:ind w:firstLine="567"/>
        <w:jc w:val="both"/>
        <w:rPr>
          <w:rFonts w:ascii="Times New Roman" w:hAnsi="Times New Roman"/>
          <w:sz w:val="24"/>
          <w:szCs w:val="24"/>
        </w:rPr>
      </w:pPr>
      <w:r>
        <w:rPr>
          <w:rFonts w:ascii="Times New Roman" w:hAnsi="Times New Roman"/>
          <w:sz w:val="24"/>
          <w:szCs w:val="24"/>
        </w:rPr>
        <w:t>7.1.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w:t>
      </w:r>
    </w:p>
    <w:p>
      <w:pPr>
        <w:pStyle w:val="Normal"/>
        <w:ind w:firstLine="567"/>
        <w:jc w:val="both"/>
        <w:rPr/>
      </w:pPr>
      <w:r>
        <w:rPr/>
        <w:t>7.2. В случае недостижения взаимного согласия претензионный порядок досудебного урегулирования споров, вытекающих из Контракта, является для Сторон обязательным.</w:t>
      </w:r>
    </w:p>
    <w:p>
      <w:pPr>
        <w:pStyle w:val="Normal"/>
        <w:ind w:firstLine="567"/>
        <w:jc w:val="both"/>
        <w:rPr/>
      </w:pPr>
      <w:r>
        <w:rPr/>
        <w:t xml:space="preserve">7.3. Претензионные письма направляются Сторонами нарочным либо заказным почтовым отправлением с уведомлением о вручении последнего адресату по месту нахождения Стороны, указанному в </w:t>
      </w:r>
      <w:hyperlink r:id="rId3">
        <w:r>
          <w:rPr>
            <w:rStyle w:val="ListLabel4"/>
          </w:rPr>
          <w:t>разделе 1</w:t>
        </w:r>
      </w:hyperlink>
      <w:r>
        <w:rPr/>
        <w:t>1 Контракта.</w:t>
      </w:r>
    </w:p>
    <w:p>
      <w:pPr>
        <w:pStyle w:val="Normal"/>
        <w:tabs>
          <w:tab w:val="clear" w:pos="708"/>
          <w:tab w:val="left" w:pos="720" w:leader="none"/>
        </w:tabs>
        <w:ind w:firstLine="567"/>
        <w:jc w:val="both"/>
        <w:rPr/>
      </w:pPr>
      <w:r>
        <w:rPr/>
        <w:t>Допускается направление Сторонами претензионных писем иными способами: по факсу, электронной почте, экспресс - почтой.</w:t>
      </w:r>
    </w:p>
    <w:p>
      <w:pPr>
        <w:pStyle w:val="Normal"/>
        <w:ind w:firstLine="567"/>
        <w:jc w:val="both"/>
        <w:rPr/>
      </w:pPr>
      <w:r>
        <w:rPr/>
        <w:t xml:space="preserve">7.4. Срок рассмотрения претензионного письма и направления ответа на него составляет 5 рабочих дней со дня получения последнего адресатом. </w:t>
      </w:r>
    </w:p>
    <w:p>
      <w:pPr>
        <w:pStyle w:val="Normal"/>
        <w:ind w:firstLine="567"/>
        <w:jc w:val="both"/>
        <w:rPr/>
      </w:pPr>
      <w:r>
        <w:rPr/>
        <w:t>7.5. К отношениям Сторон по настоящему контракту и в связи с ним применяется законодательство Российской Федерации.</w:t>
      </w:r>
    </w:p>
    <w:p>
      <w:pPr>
        <w:pStyle w:val="Normal"/>
        <w:ind w:firstLine="567"/>
        <w:jc w:val="both"/>
        <w:rPr/>
      </w:pPr>
      <w:r>
        <w:rPr/>
        <w:t>7.6. Неурегулированные споры и разногласия в претензионном порядке передаются на рассмотрение Арбитражного суда Курской области.</w:t>
      </w:r>
    </w:p>
    <w:p>
      <w:pPr>
        <w:pStyle w:val="Normal"/>
        <w:ind w:firstLine="567"/>
        <w:jc w:val="both"/>
        <w:rPr/>
      </w:pPr>
      <w:r>
        <w:rPr/>
      </w:r>
    </w:p>
    <w:p>
      <w:pPr>
        <w:pStyle w:val="ConsPlusNormal1"/>
        <w:numPr>
          <w:ilvl w:val="0"/>
          <w:numId w:val="0"/>
        </w:numPr>
        <w:ind w:firstLine="567"/>
        <w:jc w:val="center"/>
        <w:outlineLvl w:val="2"/>
        <w:rPr>
          <w:rFonts w:ascii="Times New Roman" w:hAnsi="Times New Roman"/>
          <w:b/>
          <w:sz w:val="24"/>
          <w:szCs w:val="24"/>
        </w:rPr>
      </w:pPr>
      <w:r>
        <w:rPr>
          <w:rFonts w:ascii="Times New Roman" w:hAnsi="Times New Roman"/>
          <w:b/>
          <w:sz w:val="24"/>
          <w:szCs w:val="24"/>
        </w:rPr>
        <w:t>8. ОБСТОЯТЕЛЬСТВА НЕПРЕОДОЛИМОЙ СИЛЫ</w:t>
      </w:r>
    </w:p>
    <w:p>
      <w:pPr>
        <w:pStyle w:val="ConsPlusNormal1"/>
        <w:numPr>
          <w:ilvl w:val="0"/>
          <w:numId w:val="0"/>
        </w:numPr>
        <w:ind w:firstLine="567"/>
        <w:jc w:val="center"/>
        <w:outlineLvl w:val="2"/>
        <w:rPr>
          <w:rFonts w:ascii="Times New Roman" w:hAnsi="Times New Roman"/>
          <w:b/>
          <w:sz w:val="24"/>
          <w:szCs w:val="24"/>
        </w:rPr>
      </w:pPr>
      <w:r>
        <w:rPr>
          <w:rFonts w:ascii="Times New Roman" w:hAnsi="Times New Roman"/>
          <w:b/>
          <w:sz w:val="24"/>
          <w:szCs w:val="24"/>
        </w:rPr>
      </w:r>
    </w:p>
    <w:p>
      <w:pPr>
        <w:pStyle w:val="ConsPlusNormal1"/>
        <w:ind w:firstLine="567"/>
        <w:jc w:val="both"/>
        <w:rPr>
          <w:rFonts w:ascii="Times New Roman" w:hAnsi="Times New Roman"/>
          <w:sz w:val="24"/>
          <w:szCs w:val="24"/>
        </w:rPr>
      </w:pPr>
      <w:r>
        <w:rPr>
          <w:rFonts w:ascii="Times New Roman" w:hAnsi="Times New Roman"/>
          <w:sz w:val="24"/>
          <w:szCs w:val="24"/>
        </w:rPr>
        <w:t>8.1. Обстоятельства непреодолимой силы означают события, неподвластные контролю Сторон, не вызванные их просчетом, небрежностью и (или) носящие непредвиденный характер. Такие события могут включать в себя, но не ограничиваются: войнами, революциями, пожарами, наводнениями, эпидемиями, карантинами, актами и действиями органов государственной власти.</w:t>
      </w:r>
    </w:p>
    <w:p>
      <w:pPr>
        <w:pStyle w:val="ConsPlusNormal1"/>
        <w:ind w:firstLine="567"/>
        <w:jc w:val="both"/>
        <w:rPr>
          <w:rFonts w:ascii="Times New Roman" w:hAnsi="Times New Roman"/>
          <w:sz w:val="24"/>
          <w:szCs w:val="24"/>
        </w:rPr>
      </w:pPr>
      <w:r>
        <w:rPr>
          <w:rFonts w:ascii="Times New Roman" w:hAnsi="Times New Roman"/>
          <w:sz w:val="24"/>
          <w:szCs w:val="24"/>
        </w:rPr>
        <w:t>8.2. Стороны освобождаются от ответственности за частичное или полное невыполнение обязательств по Контракту при наступлении обстоятельств непреодолимой силы, которые они не могли предвидеть или предотвратить разумными мерами. При этом срок исполнения обязательств по Контракту отодвигается соразмерно времени, в течение которого действовали такие обстоятельства.</w:t>
      </w:r>
    </w:p>
    <w:p>
      <w:pPr>
        <w:pStyle w:val="ConsPlusNormal1"/>
        <w:ind w:firstLine="567"/>
        <w:jc w:val="both"/>
        <w:rPr>
          <w:rFonts w:ascii="Times New Roman" w:hAnsi="Times New Roman"/>
          <w:sz w:val="24"/>
          <w:szCs w:val="24"/>
        </w:rPr>
      </w:pPr>
      <w:r>
        <w:rPr>
          <w:rFonts w:ascii="Times New Roman" w:hAnsi="Times New Roman"/>
          <w:sz w:val="24"/>
          <w:szCs w:val="24"/>
        </w:rPr>
        <w:t xml:space="preserve">8.3. Сторона, для которой создалась невозможность исполнения обязательств по Контракту, обязана немедленно известить по факсу и/или по электронной почте, а также не позднее 3 рабочих дней с даты их наступления или прекращения письменно известить другую Сторону о наступлении и прекращении вышеуказанных обстоятельств. </w:t>
      </w:r>
    </w:p>
    <w:p>
      <w:pPr>
        <w:pStyle w:val="Normal"/>
        <w:ind w:firstLine="567"/>
        <w:jc w:val="both"/>
        <w:rPr/>
      </w:pPr>
      <w:r>
        <w:rPr/>
        <w:t>8.4. Не извещение или несвоевременное извещение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ind w:firstLine="567"/>
        <w:jc w:val="both"/>
        <w:rPr/>
      </w:pPr>
      <w:r>
        <w:rPr/>
        <w:t>8.5. Если обстоятельства непреодолимой силы, действуя на протяжении одного месяца, не обнаруживают признаков прекращения, то действия Сторон в отношении настоящего Контракта должны определяться Сторонами по взаимной договоренности.</w:t>
      </w:r>
    </w:p>
    <w:p>
      <w:pPr>
        <w:pStyle w:val="Normal"/>
        <w:ind w:firstLine="567"/>
        <w:jc w:val="both"/>
        <w:rPr/>
      </w:pPr>
      <w:r>
        <w:rPr/>
        <w:t>8.6. Не является обстоятельством непреодолимой силы невыполнение (нарушение) своих обязательств соисполнителями (субподрядчиками) по отношению к Поставщику. Всю ответственность за их деятельность несет Поставщик в рамках исполнения своих обязательств по настоящему контракту в полном объеме.</w:t>
      </w:r>
    </w:p>
    <w:p>
      <w:pPr>
        <w:pStyle w:val="Normal"/>
        <w:ind w:firstLine="540"/>
        <w:jc w:val="both"/>
        <w:rPr/>
      </w:pPr>
      <w:r>
        <w:rPr/>
      </w:r>
    </w:p>
    <w:p>
      <w:pPr>
        <w:pStyle w:val="ConsPlusNormal1"/>
        <w:numPr>
          <w:ilvl w:val="0"/>
          <w:numId w:val="0"/>
        </w:numPr>
        <w:ind w:firstLine="567"/>
        <w:jc w:val="center"/>
        <w:outlineLvl w:val="2"/>
        <w:rPr>
          <w:rFonts w:ascii="Times New Roman" w:hAnsi="Times New Roman"/>
          <w:b/>
          <w:sz w:val="24"/>
          <w:szCs w:val="24"/>
        </w:rPr>
      </w:pPr>
      <w:r>
        <w:rPr>
          <w:rFonts w:ascii="Times New Roman" w:hAnsi="Times New Roman"/>
          <w:b/>
          <w:sz w:val="24"/>
          <w:szCs w:val="24"/>
        </w:rPr>
        <w:t>9. СРОК ДЕЙСТВИЯ, ПОРЯДОК ИЗМЕНЕНИЯ</w:t>
      </w:r>
    </w:p>
    <w:p>
      <w:pPr>
        <w:pStyle w:val="ConsPlusNormal1"/>
        <w:ind w:firstLine="567"/>
        <w:jc w:val="center"/>
        <w:rPr>
          <w:rFonts w:ascii="Times New Roman" w:hAnsi="Times New Roman"/>
          <w:b/>
          <w:sz w:val="24"/>
          <w:szCs w:val="24"/>
        </w:rPr>
      </w:pPr>
      <w:r>
        <w:rPr>
          <w:rFonts w:ascii="Times New Roman" w:hAnsi="Times New Roman"/>
          <w:b/>
          <w:sz w:val="24"/>
          <w:szCs w:val="24"/>
        </w:rPr>
        <w:t>И РАСТОРЖЕНИЯ КОНТРАКТА</w:t>
      </w:r>
    </w:p>
    <w:p>
      <w:pPr>
        <w:pStyle w:val="ConsPlusNormal1"/>
        <w:ind w:firstLine="567"/>
        <w:jc w:val="center"/>
        <w:rPr>
          <w:rFonts w:ascii="Times New Roman" w:hAnsi="Times New Roman"/>
          <w:b/>
          <w:sz w:val="24"/>
          <w:szCs w:val="24"/>
        </w:rPr>
      </w:pPr>
      <w:r>
        <w:rPr>
          <w:rFonts w:ascii="Times New Roman" w:hAnsi="Times New Roman"/>
          <w:b/>
          <w:sz w:val="24"/>
          <w:szCs w:val="24"/>
        </w:rPr>
      </w:r>
    </w:p>
    <w:p>
      <w:pPr>
        <w:pStyle w:val="Normal"/>
        <w:tabs>
          <w:tab w:val="clear" w:pos="708"/>
          <w:tab w:val="left" w:pos="2520" w:leader="none"/>
        </w:tabs>
        <w:ind w:firstLine="567"/>
        <w:jc w:val="both"/>
        <w:rPr/>
      </w:pPr>
      <w:r>
        <w:rPr/>
        <w:t>9.1. Контракт вступает в силу со дня его заключения и действует по «30» декабря  2026 года включительно, а в части действия страхового полиса – до полного исполнения обязательств Сторонами.</w:t>
      </w:r>
    </w:p>
    <w:p>
      <w:pPr>
        <w:pStyle w:val="ConsPlusNormal1"/>
        <w:ind w:firstLine="567"/>
        <w:jc w:val="both"/>
        <w:rPr>
          <w:rFonts w:ascii="Times New Roman" w:hAnsi="Times New Roman"/>
          <w:sz w:val="24"/>
          <w:szCs w:val="24"/>
        </w:rPr>
      </w:pPr>
      <w:r>
        <w:rPr>
          <w:rFonts w:ascii="Times New Roman" w:hAnsi="Times New Roman"/>
          <w:sz w:val="24"/>
          <w:szCs w:val="24"/>
        </w:rPr>
        <w:t>Обязательства сторон, не исполненные до даты истечения срока действия Контракта, подлежат исполнению в полном объеме.</w:t>
      </w:r>
    </w:p>
    <w:p>
      <w:pPr>
        <w:pStyle w:val="Normal"/>
        <w:ind w:firstLine="567"/>
        <w:jc w:val="both"/>
        <w:rPr/>
      </w:pPr>
      <w:r>
        <w:rPr/>
        <w:t>9.2. Контракт может быть изменен по соглашению Сторон в случаях, установленных пунктом 3.7. настоящего Контракта.</w:t>
      </w:r>
    </w:p>
    <w:p>
      <w:pPr>
        <w:pStyle w:val="Normal"/>
        <w:ind w:firstLine="567"/>
        <w:jc w:val="both"/>
        <w:rPr/>
      </w:pPr>
      <w:r>
        <w:rPr/>
        <w:t>9.3. Все изменения и дополнения к настоящему Контракту, не противоречащие законодательству Российской Федерации, оформляются дополнительными соглашениями, подписываемыми Сторонами. Дополнительные соглашения к Контракту являются его неотъемлемой частью и вступают в силу с момента их заключения Сторонами.</w:t>
      </w:r>
    </w:p>
    <w:p>
      <w:pPr>
        <w:pStyle w:val="Normal"/>
        <w:ind w:firstLine="567"/>
        <w:jc w:val="both"/>
        <w:rPr/>
      </w:pPr>
      <w:r>
        <w:rPr/>
        <w:t xml:space="preserve">9.4. Расторжение Контракта допускается исключительно по соглашению Сторон или решению суда по основаниям, предусмотренным гражданским законодательством. </w:t>
      </w:r>
    </w:p>
    <w:p>
      <w:pPr>
        <w:pStyle w:val="Normal"/>
        <w:ind w:firstLine="567"/>
        <w:jc w:val="both"/>
        <w:rPr/>
      </w:pPr>
      <w:r>
        <w:rPr/>
        <w:t>9.5.</w:t>
      </w:r>
      <w:r>
        <w:rPr>
          <w:b/>
        </w:rPr>
        <w:t xml:space="preserve"> </w:t>
      </w:r>
      <w:r>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рабочих дней с даты получения предложения о расторжении.</w:t>
      </w:r>
    </w:p>
    <w:p>
      <w:pPr>
        <w:pStyle w:val="Normal"/>
        <w:ind w:firstLine="567"/>
        <w:jc w:val="both"/>
        <w:rPr/>
      </w:pPr>
      <w:r>
        <w:rPr/>
        <w:t>9.6.</w:t>
      </w:r>
      <w:r>
        <w:rPr>
          <w:b/>
        </w:rPr>
        <w:t xml:space="preserve"> </w:t>
      </w:r>
      <w:r>
        <w:rPr/>
        <w:t>Расторжение настоящего Контракта по соглашению сторон производится путем подписания Сторонами соответствующего соглашения о расторжении.</w:t>
      </w:r>
    </w:p>
    <w:p>
      <w:pPr>
        <w:pStyle w:val="Normal"/>
        <w:ind w:firstLine="567"/>
        <w:jc w:val="both"/>
        <w:rPr/>
      </w:pPr>
      <w:r>
        <w:rPr/>
        <w:t>9.7.</w:t>
      </w:r>
      <w:r>
        <w:rPr>
          <w:b/>
        </w:rPr>
        <w:t xml:space="preserve"> </w:t>
      </w:r>
      <w:r>
        <w:rPr/>
        <w:t>В случае расторжения настоящего Контракта и частичного его исполнения Стороны производят сверку расчетов, которой подтверждается объем выполненных работ Страховщиком.</w:t>
      </w:r>
    </w:p>
    <w:p>
      <w:pPr>
        <w:pStyle w:val="Normal"/>
        <w:ind w:firstLine="567"/>
        <w:jc w:val="both"/>
        <w:rPr/>
      </w:pPr>
      <w:r>
        <w:rPr/>
        <w:t>9.8. Страхователь обязан принять решение об одностороннем отказе от исполнения Контракта, если в ходе исполнения Контракта установлено, что Страховщик не соответствуют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pPr>
        <w:pStyle w:val="Normal"/>
        <w:ind w:firstLine="567"/>
        <w:jc w:val="both"/>
        <w:rPr/>
      </w:pPr>
      <w:r>
        <w:rPr/>
        <w:t>9.9. Страхователь вправе принять решение об одностороннем отказе от исполнения контракта в соответствии с положениями ст. 95 Федерального закона № 44-ФЗ «О контрактной системе в сфере закупок товаров, работ, услуг для обеспечения государственных и муниципальных нужд», а также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firstLine="567"/>
        <w:jc w:val="both"/>
        <w:rPr/>
      </w:pPr>
      <w:r>
        <w:rPr/>
      </w:r>
    </w:p>
    <w:p>
      <w:pPr>
        <w:pStyle w:val="ConsPlusNormal1"/>
        <w:numPr>
          <w:ilvl w:val="0"/>
          <w:numId w:val="0"/>
        </w:numPr>
        <w:ind w:firstLine="567"/>
        <w:jc w:val="center"/>
        <w:outlineLvl w:val="2"/>
        <w:rPr>
          <w:rFonts w:ascii="Times New Roman" w:hAnsi="Times New Roman"/>
          <w:b/>
          <w:sz w:val="24"/>
          <w:szCs w:val="24"/>
        </w:rPr>
      </w:pPr>
      <w:r>
        <w:rPr>
          <w:rFonts w:ascii="Times New Roman" w:hAnsi="Times New Roman"/>
          <w:b/>
          <w:sz w:val="24"/>
          <w:szCs w:val="24"/>
        </w:rPr>
        <w:t>10. ПРОЧИЕ УСЛОВИЯ</w:t>
      </w:r>
    </w:p>
    <w:p>
      <w:pPr>
        <w:pStyle w:val="ConsPlusNormal1"/>
        <w:numPr>
          <w:ilvl w:val="0"/>
          <w:numId w:val="0"/>
        </w:numPr>
        <w:ind w:firstLine="567"/>
        <w:jc w:val="center"/>
        <w:outlineLvl w:val="2"/>
        <w:rPr>
          <w:rFonts w:ascii="Times New Roman" w:hAnsi="Times New Roman"/>
          <w:b/>
          <w:sz w:val="24"/>
          <w:szCs w:val="24"/>
        </w:rPr>
      </w:pPr>
      <w:r>
        <w:rPr>
          <w:rFonts w:ascii="Times New Roman" w:hAnsi="Times New Roman"/>
          <w:b/>
          <w:sz w:val="24"/>
          <w:szCs w:val="24"/>
        </w:rPr>
      </w:r>
    </w:p>
    <w:p>
      <w:pPr>
        <w:pStyle w:val="ConsPlusNormal1"/>
        <w:ind w:firstLine="567"/>
        <w:jc w:val="both"/>
        <w:rPr>
          <w:rFonts w:ascii="Times New Roman" w:hAnsi="Times New Roman"/>
          <w:sz w:val="24"/>
          <w:szCs w:val="24"/>
        </w:rPr>
      </w:pPr>
      <w:r>
        <w:rPr>
          <w:rFonts w:ascii="Times New Roman" w:hAnsi="Times New Roman"/>
          <w:sz w:val="24"/>
          <w:szCs w:val="24"/>
        </w:rPr>
        <w:t>10.1. В случае изменения юридических адресов, банковских реквизитов Стороны обязаны уведомить друг друга в течение 10 рабочих дней.</w:t>
      </w:r>
    </w:p>
    <w:p>
      <w:pPr>
        <w:pStyle w:val="ConsPlusNormal1"/>
        <w:ind w:firstLine="567"/>
        <w:jc w:val="both"/>
        <w:rPr>
          <w:rFonts w:ascii="Times New Roman" w:hAnsi="Times New Roman"/>
          <w:sz w:val="24"/>
          <w:szCs w:val="24"/>
        </w:rPr>
      </w:pPr>
      <w:r>
        <w:rPr>
          <w:rFonts w:ascii="Times New Roman" w:hAnsi="Times New Roman"/>
          <w:sz w:val="24"/>
          <w:szCs w:val="24"/>
        </w:rPr>
        <w:t>10.2. Все уведомления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или с использованием факсимильной связи, электронной почты с последующим предоставлением оригинала. В случае направления уведомления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pPr>
        <w:pStyle w:val="ConsPlusNormal1"/>
        <w:ind w:firstLine="567"/>
        <w:jc w:val="both"/>
        <w:rPr>
          <w:rFonts w:ascii="Times New Roman" w:hAnsi="Times New Roman"/>
          <w:sz w:val="24"/>
          <w:szCs w:val="24"/>
        </w:rPr>
      </w:pPr>
      <w:r>
        <w:rPr>
          <w:rFonts w:ascii="Times New Roman" w:hAnsi="Times New Roman"/>
          <w:sz w:val="24"/>
          <w:szCs w:val="24"/>
        </w:rPr>
        <w:t>10.3. Во всем, что не предусмотрено настоящим Контрактом, Стороны руководствуются законодательством Российской Федерации.</w:t>
      </w:r>
    </w:p>
    <w:p>
      <w:pPr>
        <w:pStyle w:val="Normal"/>
        <w:ind w:firstLine="567"/>
        <w:rPr/>
      </w:pPr>
      <w:r>
        <w:rPr/>
        <w:t>10.4. Все приложения к Контракту являются его неотъемлемой частью:</w:t>
      </w:r>
    </w:p>
    <w:p>
      <w:pPr>
        <w:pStyle w:val="Normal"/>
        <w:ind w:firstLine="567"/>
        <w:rPr/>
      </w:pPr>
      <w:r>
        <w:rPr/>
        <w:t xml:space="preserve">10.4.1. Приложение № 1. Техническое задание; </w:t>
      </w:r>
    </w:p>
    <w:p>
      <w:pPr>
        <w:pStyle w:val="Normal"/>
        <w:ind w:firstLine="567"/>
        <w:rPr/>
      </w:pPr>
      <w:r>
        <w:rPr/>
        <w:t>10.4.2. Форма расчета страховой премии.</w:t>
      </w:r>
    </w:p>
    <w:p>
      <w:pPr>
        <w:pStyle w:val="Normal"/>
        <w:ind w:firstLine="567"/>
        <w:rPr>
          <w:b/>
          <w:bCs/>
          <w:iCs/>
        </w:rPr>
      </w:pPr>
      <w:r>
        <w:rPr>
          <w:b/>
          <w:bCs/>
          <w:iCs/>
        </w:rPr>
      </w:r>
    </w:p>
    <w:p>
      <w:pPr>
        <w:pStyle w:val="Normal"/>
        <w:jc w:val="center"/>
        <w:rPr>
          <w:b/>
          <w:bCs/>
          <w:iCs/>
          <w:color w:val="000000"/>
        </w:rPr>
      </w:pPr>
      <w:r>
        <w:rPr>
          <w:b/>
          <w:bCs/>
          <w:iCs/>
          <w:color w:val="000000"/>
        </w:rPr>
        <w:t>11.ЮРИДИЧЕСКИЕ АДРЕСА, БАНКОВСКИЕ РЕКВИЗИТЫ И ПОДПИСИ СТОРОН</w:t>
      </w:r>
    </w:p>
    <w:p>
      <w:pPr>
        <w:pStyle w:val="Normal"/>
        <w:jc w:val="center"/>
        <w:rPr>
          <w:b/>
          <w:bCs/>
          <w:iCs/>
          <w:color w:val="000000"/>
        </w:rPr>
      </w:pPr>
      <w:r>
        <w:rPr>
          <w:b/>
          <w:bCs/>
          <w:iCs/>
          <w:color w:val="000000"/>
        </w:rPr>
      </w:r>
    </w:p>
    <w:p>
      <w:pPr>
        <w:pStyle w:val="Normal"/>
        <w:rPr>
          <w:b/>
          <w:color w:val="000000"/>
        </w:rPr>
      </w:pPr>
      <w:r>
        <w:rPr>
          <w:b/>
          <w:color w:val="000000"/>
        </w:rPr>
        <w:t>Страхователь:</w:t>
        <w:tab/>
        <w:tab/>
        <w:tab/>
        <w:tab/>
        <w:t xml:space="preserve">              Страховщик</w:t>
      </w:r>
    </w:p>
    <w:p>
      <w:pPr>
        <w:pStyle w:val="Normal"/>
        <w:rPr>
          <w:b/>
          <w:color w:val="000000"/>
        </w:rPr>
      </w:pPr>
      <w:r>
        <w:rPr>
          <w:b/>
          <w:color w:val="000000"/>
        </w:rPr>
      </w:r>
    </w:p>
    <w:tbl>
      <w:tblPr>
        <w:tblW w:w="1074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070"/>
        <w:gridCol w:w="5669"/>
      </w:tblGrid>
      <w:tr>
        <w:trPr/>
        <w:tc>
          <w:tcPr>
            <w:tcW w:w="5070" w:type="dxa"/>
            <w:tcBorders/>
          </w:tcPr>
          <w:p>
            <w:pPr>
              <w:pStyle w:val="Normal"/>
              <w:spacing w:lineRule="atLeast" w:line="0" w:before="0" w:after="0"/>
              <w:contextualSpacing/>
              <w:rPr/>
            </w:pPr>
            <w:r>
              <w:rPr/>
              <w:t>Управление Федеральной службы судебных</w:t>
            </w:r>
          </w:p>
          <w:p>
            <w:pPr>
              <w:pStyle w:val="Normal"/>
              <w:spacing w:lineRule="atLeast" w:line="0" w:before="0" w:after="0"/>
              <w:contextualSpacing/>
              <w:rPr>
                <w:b/>
              </w:rPr>
            </w:pPr>
            <w:r>
              <w:rPr/>
              <w:t>приставов  по Курской области</w:t>
            </w:r>
          </w:p>
          <w:p>
            <w:pPr>
              <w:pStyle w:val="Normal"/>
              <w:shd w:val="clear" w:color="auto" w:fill="FFFFFF"/>
              <w:spacing w:lineRule="atLeast" w:line="0" w:before="0" w:after="0"/>
              <w:ind w:right="-57"/>
              <w:contextualSpacing/>
              <w:rPr/>
            </w:pPr>
            <w:r>
              <w:rPr/>
              <w:t xml:space="preserve"> </w:t>
            </w:r>
            <w:r>
              <w:rPr/>
              <w:t>Адрес: 305018, г. Курск, ул. Черняховского,4</w:t>
            </w:r>
          </w:p>
          <w:p>
            <w:pPr>
              <w:pStyle w:val="Normal"/>
              <w:shd w:val="clear" w:color="auto" w:fill="FFFFFF"/>
              <w:spacing w:lineRule="atLeast" w:line="0" w:before="0" w:after="0"/>
              <w:ind w:right="-57"/>
              <w:contextualSpacing/>
              <w:rPr/>
            </w:pPr>
            <w:r>
              <w:rPr/>
              <w:t>ИНН 4632048460 КПП 463201001</w:t>
            </w:r>
          </w:p>
          <w:p>
            <w:pPr>
              <w:pStyle w:val="Normal"/>
              <w:shd w:val="clear" w:color="auto" w:fill="FFFFFF"/>
              <w:spacing w:lineRule="atLeast" w:line="0" w:before="0" w:after="0"/>
              <w:ind w:right="-57"/>
              <w:contextualSpacing/>
              <w:rPr/>
            </w:pPr>
            <w:r>
              <w:rPr/>
              <w:t>УФК по Нижегородской области, г. Нижний Новгород (Управление Федеральной службы судебных приставов по Курской области л/с 03441785400)</w:t>
            </w:r>
          </w:p>
          <w:p>
            <w:pPr>
              <w:pStyle w:val="Normal"/>
              <w:shd w:val="clear" w:color="auto" w:fill="FFFFFF"/>
              <w:spacing w:lineRule="atLeast" w:line="0" w:before="0" w:after="0"/>
              <w:ind w:right="-57"/>
              <w:contextualSpacing/>
              <w:rPr/>
            </w:pPr>
            <w:r>
              <w:rPr/>
              <w:t>Казначейский счет 03211643000000013229</w:t>
            </w:r>
          </w:p>
          <w:p>
            <w:pPr>
              <w:pStyle w:val="Normal"/>
              <w:shd w:val="clear" w:color="auto" w:fill="FFFFFF"/>
              <w:spacing w:lineRule="atLeast" w:line="0" w:before="0" w:after="0"/>
              <w:ind w:right="-57"/>
              <w:contextualSpacing/>
              <w:rPr/>
            </w:pPr>
            <w:r>
              <w:rPr/>
              <w:t>Банковский счет 40102810745370000024</w:t>
            </w:r>
          </w:p>
          <w:p>
            <w:pPr>
              <w:pStyle w:val="Normal"/>
              <w:shd w:val="clear" w:color="auto" w:fill="FFFFFF"/>
              <w:spacing w:lineRule="atLeast" w:line="0" w:before="0" w:after="0"/>
              <w:ind w:right="-57"/>
              <w:contextualSpacing/>
              <w:rPr/>
            </w:pPr>
            <w:r>
              <w:rPr/>
              <w:t>Банк: ОКЦ №1 ВВГУ Банка России //УФК по Нижегородской области, г. Нижний Новгород</w:t>
            </w:r>
          </w:p>
          <w:p>
            <w:pPr>
              <w:pStyle w:val="Normal"/>
              <w:shd w:val="clear" w:color="auto" w:fill="FFFFFF"/>
              <w:spacing w:lineRule="atLeast" w:line="0" w:before="0" w:after="0"/>
              <w:ind w:right="-57"/>
              <w:contextualSpacing/>
              <w:rPr>
                <w:lang w:val="en-US"/>
              </w:rPr>
            </w:pPr>
            <w:r>
              <w:rPr/>
              <w:t>БИК</w:t>
            </w:r>
            <w:r>
              <w:rPr>
                <w:lang w:val="en-US"/>
              </w:rPr>
              <w:t>:  012202102</w:t>
            </w:r>
          </w:p>
          <w:p>
            <w:pPr>
              <w:pStyle w:val="Style110"/>
              <w:rPr>
                <w:lang w:val="en-US" w:eastAsia="ar-SA"/>
              </w:rPr>
            </w:pPr>
            <w:r>
              <w:rPr>
                <w:lang w:eastAsia="ar-SA"/>
              </w:rPr>
              <w:t>Тел</w:t>
            </w:r>
            <w:r>
              <w:rPr>
                <w:lang w:val="en-US" w:eastAsia="ar-SA"/>
              </w:rPr>
              <w:t>.: +7(4712) 360778</w:t>
            </w:r>
          </w:p>
          <w:p>
            <w:pPr>
              <w:pStyle w:val="Normal"/>
              <w:shd w:val="clear" w:color="auto" w:fill="FFFFFF"/>
              <w:spacing w:lineRule="atLeast" w:line="0" w:before="0" w:after="0"/>
              <w:ind w:right="-57"/>
              <w:contextualSpacing/>
              <w:rPr>
                <w:lang w:val="en-US"/>
              </w:rPr>
            </w:pPr>
            <w:r>
              <w:rPr>
                <w:lang w:val="en-US"/>
              </w:rPr>
              <w:t xml:space="preserve">E-mail: </w:t>
            </w:r>
            <w:hyperlink r:id="rId4">
              <w:r>
                <w:rPr>
                  <w:rStyle w:val="ListLabel38"/>
                  <w:lang w:val="en-US"/>
                </w:rPr>
                <w:t>zakupki@r46.fsspgov.ru</w:t>
              </w:r>
            </w:hyperlink>
          </w:p>
          <w:p>
            <w:pPr>
              <w:pStyle w:val="Normal"/>
              <w:shd w:val="clear" w:color="auto" w:fill="FFFFFF"/>
              <w:tabs>
                <w:tab w:val="clear" w:pos="708"/>
                <w:tab w:val="left" w:pos="195" w:leader="none"/>
              </w:tabs>
              <w:rPr>
                <w:lang w:val="en-US"/>
              </w:rPr>
            </w:pPr>
            <w:r>
              <w:rPr>
                <w:lang w:val="en-US"/>
              </w:rPr>
            </w:r>
          </w:p>
        </w:tc>
        <w:tc>
          <w:tcPr>
            <w:tcW w:w="5669" w:type="dxa"/>
            <w:tcBorders/>
          </w:tcPr>
          <w:p>
            <w:pPr>
              <w:pStyle w:val="Normal"/>
              <w:rPr>
                <w:lang w:val="en-US"/>
              </w:rPr>
            </w:pPr>
            <w:r>
              <w:rPr>
                <w:lang w:val="en-US"/>
              </w:rPr>
            </w:r>
          </w:p>
          <w:p>
            <w:pPr>
              <w:pStyle w:val="Normal"/>
              <w:rPr>
                <w:color w:val="000000"/>
                <w:lang w:val="en-US"/>
              </w:rPr>
            </w:pPr>
            <w:r>
              <w:rPr>
                <w:color w:val="000000"/>
                <w:lang w:val="en-US"/>
              </w:rPr>
            </w:r>
          </w:p>
        </w:tc>
      </w:tr>
      <w:tr>
        <w:trPr/>
        <w:tc>
          <w:tcPr>
            <w:tcW w:w="5070" w:type="dxa"/>
            <w:tcBorders/>
            <w:shd w:color="auto" w:fill="auto" w:val="clear"/>
          </w:tcPr>
          <w:p>
            <w:pPr>
              <w:pStyle w:val="Normal"/>
              <w:spacing w:lineRule="atLeast" w:line="0" w:before="0" w:after="0"/>
              <w:contextualSpacing/>
              <w:rPr/>
            </w:pPr>
            <w:r>
              <w:rPr/>
              <w:t>Страховщик</w:t>
            </w:r>
          </w:p>
          <w:p>
            <w:pPr>
              <w:pStyle w:val="Normal"/>
              <w:spacing w:lineRule="atLeast" w:line="0" w:before="0" w:after="0"/>
              <w:contextualSpacing/>
              <w:rPr/>
            </w:pPr>
            <w:r>
              <w:rPr/>
            </w:r>
          </w:p>
          <w:p>
            <w:pPr>
              <w:pStyle w:val="Normal"/>
              <w:spacing w:lineRule="atLeast" w:line="0" w:before="0" w:after="0"/>
              <w:contextualSpacing/>
              <w:rPr/>
            </w:pPr>
            <w:r>
              <w:rPr/>
              <w:t>_________________/___________</w:t>
            </w:r>
          </w:p>
        </w:tc>
        <w:tc>
          <w:tcPr>
            <w:tcW w:w="5669" w:type="dxa"/>
            <w:tcBorders/>
            <w:shd w:color="auto" w:fill="auto" w:val="clear"/>
          </w:tcPr>
          <w:p>
            <w:pPr>
              <w:pStyle w:val="Normal"/>
              <w:rPr>
                <w:lang w:val="en-US"/>
              </w:rPr>
            </w:pPr>
            <w:r>
              <w:rPr>
                <w:lang w:val="en-US"/>
              </w:rPr>
              <w:t>Страхователь</w:t>
            </w:r>
          </w:p>
          <w:p>
            <w:pPr>
              <w:pStyle w:val="Normal"/>
              <w:rPr>
                <w:lang w:val="en-US"/>
              </w:rPr>
            </w:pPr>
            <w:r>
              <w:rPr>
                <w:lang w:val="en-US"/>
              </w:rPr>
            </w:r>
          </w:p>
          <w:p>
            <w:pPr>
              <w:pStyle w:val="Normal"/>
              <w:rPr>
                <w:lang w:val="en-US"/>
              </w:rPr>
            </w:pPr>
            <w:r>
              <w:rPr>
                <w:lang w:val="en-US"/>
              </w:rPr>
              <w:t>__________________ /___________________/</w:t>
            </w:r>
          </w:p>
        </w:tc>
      </w:tr>
      <w:tr>
        <w:trPr/>
        <w:tc>
          <w:tcPr>
            <w:tcW w:w="5070" w:type="dxa"/>
            <w:tcBorders/>
            <w:shd w:color="auto" w:fill="auto" w:val="clear"/>
          </w:tcPr>
          <w:p>
            <w:pPr>
              <w:pStyle w:val="Normal"/>
              <w:spacing w:lineRule="atLeast" w:line="0" w:before="0" w:after="0"/>
              <w:contextualSpacing/>
              <w:rPr/>
            </w:pPr>
            <w:r>
              <w:rPr/>
              <w:t>М.П.</w:t>
            </w:r>
          </w:p>
        </w:tc>
        <w:tc>
          <w:tcPr>
            <w:tcW w:w="5669" w:type="dxa"/>
            <w:tcBorders/>
            <w:shd w:color="auto" w:fill="auto" w:val="clear"/>
          </w:tcPr>
          <w:p>
            <w:pPr>
              <w:pStyle w:val="Normal"/>
              <w:rPr>
                <w:lang w:val="en-US"/>
              </w:rPr>
            </w:pPr>
            <w:r>
              <w:rPr>
                <w:lang w:val="en-US"/>
              </w:rPr>
              <w:t>М.П.</w:t>
            </w:r>
          </w:p>
        </w:tc>
      </w:tr>
    </w:tbl>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right"/>
        <w:rPr/>
      </w:pPr>
      <w:r>
        <w:rPr/>
        <w:t xml:space="preserve">Приложение № 1 </w:t>
      </w:r>
    </w:p>
    <w:p>
      <w:pPr>
        <w:pStyle w:val="Normal"/>
        <w:tabs>
          <w:tab w:val="clear" w:pos="708"/>
          <w:tab w:val="left" w:pos="8625" w:leader="none"/>
        </w:tabs>
        <w:jc w:val="right"/>
        <w:rPr/>
      </w:pPr>
      <w:r>
        <w:rPr/>
        <w:t>к Контракту № ____ от «___» ______________ 2026г.</w:t>
      </w:r>
    </w:p>
    <w:p>
      <w:pPr>
        <w:pStyle w:val="Normal"/>
        <w:tabs>
          <w:tab w:val="clear" w:pos="708"/>
          <w:tab w:val="left" w:pos="8625" w:leader="none"/>
        </w:tabs>
        <w:jc w:val="right"/>
        <w:rPr/>
      </w:pPr>
      <w:r>
        <w:rPr/>
      </w:r>
    </w:p>
    <w:p>
      <w:pPr>
        <w:pStyle w:val="Normal"/>
        <w:tabs>
          <w:tab w:val="clear" w:pos="708"/>
          <w:tab w:val="left" w:pos="8625" w:leader="none"/>
        </w:tabs>
        <w:jc w:val="right"/>
        <w:rPr/>
      </w:pPr>
      <w:r>
        <w:rPr/>
      </w:r>
    </w:p>
    <w:p>
      <w:pPr>
        <w:pStyle w:val="Normal"/>
        <w:tabs>
          <w:tab w:val="clear" w:pos="708"/>
          <w:tab w:val="left" w:pos="8625" w:leader="none"/>
        </w:tabs>
        <w:jc w:val="center"/>
        <w:rPr>
          <w:b/>
        </w:rPr>
      </w:pPr>
      <w:r>
        <w:rPr>
          <w:b/>
        </w:rPr>
        <w:t>ТЕХНИЧЕСКОЕ ЗАДАНИЕ</w:t>
      </w:r>
    </w:p>
    <w:p>
      <w:pPr>
        <w:pStyle w:val="Normal"/>
        <w:tabs>
          <w:tab w:val="clear" w:pos="708"/>
          <w:tab w:val="left" w:pos="8625" w:leader="none"/>
        </w:tabs>
        <w:jc w:val="center"/>
        <w:rPr>
          <w:b/>
        </w:rPr>
      </w:pPr>
      <w:r>
        <w:rPr>
          <w:b/>
        </w:rPr>
      </w:r>
    </w:p>
    <w:p>
      <w:pPr>
        <w:pStyle w:val="Normal"/>
        <w:tabs>
          <w:tab w:val="clear" w:pos="708"/>
          <w:tab w:val="left" w:pos="8625" w:leader="none"/>
        </w:tabs>
        <w:jc w:val="center"/>
        <w:rPr>
          <w:b/>
        </w:rPr>
      </w:pPr>
      <w:r>
        <w:rPr>
          <w:b/>
        </w:rPr>
      </w:r>
    </w:p>
    <w:p>
      <w:pPr>
        <w:pStyle w:val="Normal"/>
        <w:ind w:firstLine="567"/>
        <w:jc w:val="both"/>
        <w:rPr>
          <w:b/>
        </w:rPr>
      </w:pPr>
      <w:r>
        <w:rPr>
          <w:b/>
        </w:rPr>
        <w:t>1.</w:t>
      </w:r>
      <w:r>
        <w:rPr/>
        <w:t xml:space="preserve"> </w:t>
      </w:r>
      <w:r>
        <w:rPr>
          <w:b/>
          <w:bCs/>
          <w:color w:val="000000"/>
        </w:rPr>
        <w:t>Наименование услуг:</w:t>
      </w:r>
    </w:p>
    <w:p>
      <w:pPr>
        <w:pStyle w:val="Normal"/>
        <w:ind w:firstLine="567"/>
        <w:jc w:val="both"/>
        <w:rPr/>
      </w:pPr>
      <w:r>
        <w:rPr/>
        <w:t>Оказание услуг по обязательному страхованию гражданской ответственности владельцев транспортных средств.</w:t>
      </w:r>
    </w:p>
    <w:p>
      <w:pPr>
        <w:pStyle w:val="Normal"/>
        <w:tabs>
          <w:tab w:val="clear" w:pos="708"/>
          <w:tab w:val="left" w:pos="3930" w:leader="none"/>
        </w:tabs>
        <w:spacing w:before="0" w:after="0"/>
        <w:ind w:firstLine="567"/>
        <w:contextualSpacing/>
        <w:jc w:val="both"/>
        <w:rPr/>
      </w:pPr>
      <w:r>
        <w:rPr>
          <w:b/>
        </w:rPr>
        <w:t xml:space="preserve">ОКПД 2 </w:t>
      </w:r>
      <w:r>
        <w:rPr/>
        <w:t>– 65.12.21.000</w:t>
      </w:r>
    </w:p>
    <w:p>
      <w:pPr>
        <w:pStyle w:val="Normal"/>
        <w:tabs>
          <w:tab w:val="clear" w:pos="708"/>
          <w:tab w:val="left" w:pos="3930" w:leader="none"/>
        </w:tabs>
        <w:spacing w:before="0" w:after="0"/>
        <w:ind w:firstLine="567"/>
        <w:contextualSpacing/>
        <w:jc w:val="both"/>
        <w:rPr/>
      </w:pPr>
      <w:r>
        <w:rPr>
          <w:b/>
        </w:rPr>
        <w:t>2.</w:t>
      </w:r>
      <w:r>
        <w:rPr/>
        <w:t xml:space="preserve"> </w:t>
      </w:r>
      <w:r>
        <w:rPr>
          <w:b/>
        </w:rPr>
        <w:t>Цена контракта:</w:t>
      </w:r>
      <w:r>
        <w:rPr/>
        <w:t xml:space="preserve"> </w:t>
      </w:r>
      <w:r>
        <w:rPr>
          <w:b/>
        </w:rPr>
        <w:t>__________________ (_______________________) рубля ___ коп.</w:t>
      </w:r>
      <w:r>
        <w:rPr/>
        <w:t xml:space="preserve"> Цена контракта включает расходы на оказание услуг, транспортные расходы, страхование, уплату таможенных пошлин, налогов и других обязательных платежей, связанных с исполнением государственного контракта.</w:t>
      </w:r>
    </w:p>
    <w:p>
      <w:pPr>
        <w:pStyle w:val="Normal"/>
        <w:tabs>
          <w:tab w:val="clear" w:pos="708"/>
          <w:tab w:val="left" w:pos="3930" w:leader="none"/>
        </w:tabs>
        <w:spacing w:before="0" w:after="0"/>
        <w:ind w:firstLine="567"/>
        <w:contextualSpacing/>
        <w:jc w:val="both"/>
        <w:rPr/>
      </w:pPr>
      <w:r>
        <w:rPr>
          <w:b/>
        </w:rPr>
        <w:t>3.</w:t>
      </w:r>
      <w:r>
        <w:rPr/>
        <w:t xml:space="preserve"> </w:t>
      </w:r>
      <w:r>
        <w:rPr>
          <w:b/>
        </w:rPr>
        <w:t>Объем оказываемых услуг:</w:t>
      </w:r>
      <w:r>
        <w:rPr/>
        <w:t xml:space="preserve"> </w:t>
      </w:r>
    </w:p>
    <w:p>
      <w:pPr>
        <w:pStyle w:val="Normal"/>
        <w:tabs>
          <w:tab w:val="clear" w:pos="708"/>
          <w:tab w:val="left" w:pos="3930" w:leader="none"/>
        </w:tabs>
        <w:spacing w:before="0" w:after="0"/>
        <w:ind w:firstLine="567"/>
        <w:contextualSpacing/>
        <w:rPr/>
      </w:pPr>
      <w:r>
        <w:rPr/>
        <w:t>Перечень транспортных средств, подлежащих страхованию, приведен в Приложении № 1 к Техническому заданию.</w:t>
      </w:r>
    </w:p>
    <w:p>
      <w:pPr>
        <w:pStyle w:val="Normal"/>
        <w:spacing w:before="0" w:after="0"/>
        <w:ind w:firstLine="567"/>
        <w:contextualSpacing/>
        <w:jc w:val="both"/>
        <w:rPr>
          <w:rFonts w:eastAsia="Calibri"/>
          <w:lang w:eastAsia="en-US"/>
        </w:rPr>
      </w:pPr>
      <w:r>
        <w:rPr>
          <w:b/>
        </w:rPr>
        <w:t>4.</w:t>
      </w:r>
      <w:r>
        <w:rPr/>
        <w:t xml:space="preserve"> </w:t>
      </w:r>
      <w:r>
        <w:rPr>
          <w:b/>
        </w:rPr>
        <w:t>Срок оказания услуг:</w:t>
      </w:r>
      <w:r>
        <w:rPr/>
        <w:t xml:space="preserve"> </w:t>
      </w:r>
      <w:r>
        <w:rPr>
          <w:rFonts w:eastAsia="Calibri"/>
          <w:lang w:eastAsia="en-US"/>
        </w:rPr>
        <w:t xml:space="preserve">с момента заключения Контракта по </w:t>
      </w:r>
      <w:r>
        <w:rPr>
          <w:rFonts w:eastAsia="Calibri"/>
          <w:lang w:eastAsia="en-US"/>
        </w:rPr>
        <w:t>30</w:t>
      </w:r>
      <w:r>
        <w:rPr>
          <w:rFonts w:eastAsia="Calibri"/>
          <w:lang w:eastAsia="en-US"/>
        </w:rPr>
        <w:t>.0</w:t>
      </w:r>
      <w:r>
        <w:rPr>
          <w:rFonts w:eastAsia="Calibri"/>
          <w:lang w:eastAsia="en-US"/>
        </w:rPr>
        <w:t>8</w:t>
      </w:r>
      <w:r>
        <w:rPr>
          <w:rFonts w:eastAsia="Calibri"/>
          <w:lang w:eastAsia="en-US"/>
        </w:rPr>
        <w:t>.2026 года, в соответствии Техническим заданием.</w:t>
      </w:r>
    </w:p>
    <w:p>
      <w:pPr>
        <w:pStyle w:val="Normal"/>
        <w:ind w:firstLine="567"/>
        <w:jc w:val="both"/>
        <w:rPr/>
      </w:pPr>
      <w:r>
        <w:rPr/>
        <w:t xml:space="preserve">Срок действия страхового полиса – один календарный год. </w:t>
      </w:r>
    </w:p>
    <w:p>
      <w:pPr>
        <w:pStyle w:val="Normal"/>
        <w:ind w:firstLine="567"/>
        <w:jc w:val="both"/>
        <w:rPr/>
      </w:pPr>
      <w:r>
        <w:rPr/>
        <w:t>Выдача страхового полиса осуществляется в соответствии с Приложением № 1 к Техническому заданию.</w:t>
      </w:r>
    </w:p>
    <w:p>
      <w:pPr>
        <w:pStyle w:val="11"/>
        <w:ind w:firstLine="567"/>
        <w:jc w:val="both"/>
        <w:rPr>
          <w:rFonts w:ascii="Times New Roman" w:hAnsi="Times New Roman"/>
          <w:sz w:val="24"/>
          <w:szCs w:val="24"/>
        </w:rPr>
      </w:pPr>
      <w:r>
        <w:rPr>
          <w:rFonts w:ascii="Times New Roman" w:hAnsi="Times New Roman"/>
          <w:sz w:val="24"/>
          <w:szCs w:val="24"/>
        </w:rPr>
        <w:t>Выдача страхового полиса осуществляется на основании следующих документов:</w:t>
      </w:r>
    </w:p>
    <w:p>
      <w:pPr>
        <w:pStyle w:val="11"/>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перечня транспортных средств, подлежащих страхованию (Приложение № 1 к Техническому заданию);</w:t>
      </w:r>
    </w:p>
    <w:p>
      <w:pPr>
        <w:pStyle w:val="11"/>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письменного заявления по установленной форме;</w:t>
      </w:r>
    </w:p>
    <w:p>
      <w:pPr>
        <w:pStyle w:val="11"/>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копий свидетельств о регистрации транспортных средств.</w:t>
      </w:r>
    </w:p>
    <w:p>
      <w:pPr>
        <w:pStyle w:val="Normal"/>
        <w:tabs>
          <w:tab w:val="clear" w:pos="708"/>
          <w:tab w:val="left" w:pos="3930" w:leader="none"/>
        </w:tabs>
        <w:spacing w:before="0" w:after="0"/>
        <w:ind w:firstLine="567"/>
        <w:contextualSpacing/>
        <w:jc w:val="both"/>
        <w:rPr>
          <w:b/>
        </w:rPr>
      </w:pPr>
      <w:r>
        <w:rPr>
          <w:b/>
        </w:rPr>
        <w:t>5.</w:t>
      </w:r>
      <w:r>
        <w:rPr/>
        <w:t xml:space="preserve"> </w:t>
      </w:r>
      <w:r>
        <w:rPr>
          <w:b/>
        </w:rPr>
        <w:t xml:space="preserve">Место оказания услуг: </w:t>
      </w:r>
    </w:p>
    <w:p>
      <w:pPr>
        <w:pStyle w:val="Normal"/>
        <w:tabs>
          <w:tab w:val="clear" w:pos="708"/>
          <w:tab w:val="left" w:pos="3930" w:leader="none"/>
        </w:tabs>
        <w:spacing w:before="0" w:after="0"/>
        <w:ind w:firstLine="567"/>
        <w:contextualSpacing/>
        <w:jc w:val="both"/>
        <w:rPr>
          <w:b/>
        </w:rPr>
      </w:pPr>
      <w:r>
        <w:rPr/>
        <w:t>Выдача страховых полисов по обязательному страхованию гражданской ответственности владельцев транспортных средств осуществляется по адресу: Курская область, г. Курск,  ул. Черняховского, 4.</w:t>
      </w:r>
    </w:p>
    <w:p>
      <w:pPr>
        <w:pStyle w:val="Normal"/>
        <w:tabs>
          <w:tab w:val="clear" w:pos="708"/>
          <w:tab w:val="left" w:pos="3930" w:leader="none"/>
        </w:tabs>
        <w:spacing w:before="0" w:after="0"/>
        <w:ind w:firstLine="567"/>
        <w:contextualSpacing/>
        <w:jc w:val="both"/>
        <w:rPr/>
      </w:pPr>
      <w:r>
        <w:rPr/>
        <w:t>Территория страхового покрытия - Российская Федерация.</w:t>
      </w:r>
    </w:p>
    <w:p>
      <w:pPr>
        <w:pStyle w:val="Normal"/>
        <w:spacing w:before="0" w:after="0"/>
        <w:ind w:firstLine="567"/>
        <w:contextualSpacing/>
        <w:jc w:val="both"/>
        <w:rPr/>
      </w:pPr>
      <w:r>
        <w:rPr>
          <w:b/>
        </w:rPr>
        <w:t>6.</w:t>
      </w:r>
      <w:r>
        <w:rPr/>
        <w:t xml:space="preserve"> </w:t>
      </w:r>
      <w:r>
        <w:rPr>
          <w:b/>
        </w:rPr>
        <w:t>Характеристика объекта закупки:</w:t>
      </w:r>
      <w:r>
        <w:rPr/>
        <w:t xml:space="preserve"> </w:t>
      </w:r>
    </w:p>
    <w:p>
      <w:pPr>
        <w:pStyle w:val="Normal"/>
        <w:spacing w:before="0" w:after="0"/>
        <w:ind w:firstLine="567"/>
        <w:contextualSpacing/>
        <w:jc w:val="both"/>
        <w:rPr>
          <w:rFonts w:eastAsia="Calibri"/>
          <w:lang w:eastAsia="en-US"/>
        </w:rPr>
      </w:pPr>
      <w:r>
        <w:rPr>
          <w:rFonts w:eastAsia="Calibri"/>
          <w:lang w:eastAsia="en-US"/>
        </w:rPr>
        <w:t>6.1. Лица, допущенные к управлению транспортными средствами и их водительский стаж - без ограничения (штатные работники Страхователя и иные лица, осуществляющие управление транспортным средством на основании гражданско-правового договора со страхователем или доверенности от страхователя и имеющие соответствующее право на управление транспортным средством (водительское удостоверение на управление транспортным средством определённой категории установленного образца).</w:t>
      </w:r>
    </w:p>
    <w:p>
      <w:pPr>
        <w:pStyle w:val="Normal"/>
        <w:spacing w:before="0" w:after="0"/>
        <w:ind w:firstLine="567"/>
        <w:contextualSpacing/>
        <w:jc w:val="both"/>
        <w:rPr>
          <w:rFonts w:eastAsia="Calibri"/>
          <w:lang w:eastAsia="en-US"/>
        </w:rPr>
      </w:pPr>
      <w:r>
        <w:rPr>
          <w:rFonts w:eastAsia="Calibri"/>
          <w:lang w:eastAsia="en-US"/>
        </w:rPr>
        <w:t>6.2. При наступлении события (страхового случая) Страховщик должен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потерпевшему (третьему лицу) в целях возмещения вреда, причиненного жизни, здоровью, или имуществу потерпевшего в пределах страховой суммы, установленной в соответствии с действующим на момент исполнения настоящего контракта законодательством РФ. (По согласованию со Страхователем по каждому страховому случаю).</w:t>
      </w:r>
    </w:p>
    <w:p>
      <w:pPr>
        <w:pStyle w:val="Normal"/>
        <w:widowControl w:val="false"/>
        <w:overflowPunct w:val="true"/>
        <w:ind w:firstLine="567"/>
        <w:jc w:val="both"/>
        <w:rPr>
          <w:rFonts w:eastAsia="Calibri"/>
          <w:lang w:eastAsia="en-US"/>
        </w:rPr>
      </w:pPr>
      <w:r>
        <w:rPr>
          <w:rFonts w:eastAsia="Calibri"/>
          <w:lang w:eastAsia="en-US"/>
        </w:rPr>
        <w:t>6.3. В рамках действующего законодательства Страховщик выплачивает потерпевшему страховое возмещение в пределах определенной страховой суммы, а именно:</w:t>
      </w:r>
    </w:p>
    <w:p>
      <w:pPr>
        <w:pStyle w:val="Normal"/>
        <w:numPr>
          <w:ilvl w:val="0"/>
          <w:numId w:val="0"/>
        </w:numPr>
        <w:ind w:firstLine="567"/>
        <w:jc w:val="both"/>
        <w:outlineLvl w:val="1"/>
        <w:rPr>
          <w:rFonts w:eastAsia="Calibri"/>
          <w:lang w:eastAsia="en-US"/>
        </w:rPr>
      </w:pPr>
      <w:r>
        <w:rPr>
          <w:rFonts w:eastAsia="Calibri"/>
          <w:lang w:eastAsia="en-US"/>
        </w:rPr>
        <w:t xml:space="preserve">– </w:t>
      </w:r>
      <w:r>
        <w:rPr>
          <w:rFonts w:eastAsia="Calibri"/>
          <w:lang w:eastAsia="en-US"/>
        </w:rPr>
        <w:t>в части возмещения вреда, причиненного жизни или здоровью каждого потерпевшего - 500 тысяч рублей;</w:t>
      </w:r>
    </w:p>
    <w:p>
      <w:pPr>
        <w:pStyle w:val="Normal"/>
        <w:spacing w:before="0" w:after="0"/>
        <w:ind w:firstLine="567"/>
        <w:contextualSpacing/>
        <w:jc w:val="both"/>
        <w:rPr>
          <w:rFonts w:eastAsia="Calibri"/>
          <w:lang w:eastAsia="en-US"/>
        </w:rPr>
      </w:pPr>
      <w:r>
        <w:rPr>
          <w:rFonts w:eastAsia="Calibri"/>
          <w:lang w:eastAsia="en-US"/>
        </w:rPr>
        <w:t xml:space="preserve">– </w:t>
      </w:r>
      <w:r>
        <w:rPr>
          <w:rFonts w:eastAsia="Calibri"/>
          <w:lang w:eastAsia="en-US"/>
        </w:rPr>
        <w:t>в части возмещения вреда, причиненного имуществу каждого потерпевшего - 400 тысяч рублей.</w:t>
      </w:r>
    </w:p>
    <w:p>
      <w:pPr>
        <w:pStyle w:val="Normal"/>
        <w:ind w:firstLine="567"/>
        <w:jc w:val="both"/>
        <w:rPr>
          <w:rFonts w:eastAsia="Calibri"/>
          <w:lang w:eastAsia="en-US"/>
        </w:rPr>
      </w:pPr>
      <w:r>
        <w:rPr>
          <w:rFonts w:eastAsia="Calibri"/>
          <w:lang w:eastAsia="en-US"/>
        </w:rPr>
        <w:t>6.4. Страховщик обязан обеспечить:</w:t>
      </w:r>
    </w:p>
    <w:p>
      <w:pPr>
        <w:pStyle w:val="Normal"/>
        <w:ind w:firstLine="567"/>
        <w:jc w:val="both"/>
        <w:rPr>
          <w:rFonts w:eastAsia="Calibri"/>
          <w:lang w:eastAsia="en-US"/>
        </w:rPr>
      </w:pPr>
      <w:r>
        <w:rPr>
          <w:rFonts w:eastAsia="Calibri"/>
          <w:lang w:eastAsia="en-US"/>
        </w:rPr>
        <w:t xml:space="preserve">– </w:t>
      </w:r>
      <w:r>
        <w:rPr>
          <w:rFonts w:eastAsia="Calibri"/>
          <w:lang w:eastAsia="en-US"/>
        </w:rPr>
        <w:t>наличие персонального менеджера Страхователю;</w:t>
      </w:r>
    </w:p>
    <w:p>
      <w:pPr>
        <w:pStyle w:val="Normal"/>
        <w:ind w:firstLine="567"/>
        <w:jc w:val="both"/>
        <w:rPr>
          <w:rFonts w:eastAsia="Calibri"/>
          <w:lang w:eastAsia="en-US"/>
        </w:rPr>
      </w:pPr>
      <w:r>
        <w:rPr>
          <w:rFonts w:eastAsia="Calibri"/>
          <w:lang w:eastAsia="en-US"/>
        </w:rPr>
        <w:t xml:space="preserve">– </w:t>
      </w:r>
      <w:r>
        <w:rPr/>
        <w:t>осуществлять круглосуточный прием информации о страховых случаях</w:t>
      </w:r>
      <w:r>
        <w:rPr>
          <w:rFonts w:eastAsia="Calibri"/>
          <w:lang w:eastAsia="en-US"/>
        </w:rPr>
        <w:t>;</w:t>
      </w:r>
    </w:p>
    <w:p>
      <w:pPr>
        <w:pStyle w:val="Normal"/>
        <w:ind w:firstLine="567"/>
        <w:jc w:val="both"/>
        <w:rPr>
          <w:rFonts w:eastAsia="Calibri"/>
          <w:lang w:eastAsia="en-US"/>
        </w:rPr>
      </w:pPr>
      <w:r>
        <w:rPr>
          <w:rFonts w:eastAsia="Calibri"/>
          <w:lang w:eastAsia="en-US"/>
        </w:rPr>
        <w:t xml:space="preserve">– </w:t>
      </w:r>
      <w:r>
        <w:rPr>
          <w:rFonts w:eastAsia="Calibri"/>
          <w:lang w:eastAsia="en-US"/>
        </w:rPr>
        <w:t>организацию независимой экспертизы;</w:t>
      </w:r>
    </w:p>
    <w:p>
      <w:pPr>
        <w:pStyle w:val="Normal"/>
        <w:ind w:firstLine="567"/>
        <w:jc w:val="both"/>
        <w:rPr>
          <w:rFonts w:eastAsia="Calibri"/>
          <w:lang w:eastAsia="en-US"/>
        </w:rPr>
      </w:pPr>
      <w:r>
        <w:rPr>
          <w:rFonts w:eastAsia="Calibri"/>
          <w:lang w:eastAsia="en-US"/>
        </w:rPr>
        <w:t xml:space="preserve">– </w:t>
      </w:r>
      <w:r>
        <w:rPr>
          <w:rFonts w:eastAsia="Calibri"/>
          <w:lang w:eastAsia="en-US"/>
        </w:rPr>
        <w:t>бесплатную эвакуацию ТС Страхователя с места ДТП (при необходимости);</w:t>
      </w:r>
    </w:p>
    <w:p>
      <w:pPr>
        <w:pStyle w:val="Normal"/>
        <w:ind w:firstLine="567"/>
        <w:jc w:val="both"/>
        <w:rPr>
          <w:rFonts w:eastAsia="Calibri"/>
          <w:lang w:eastAsia="en-US"/>
        </w:rPr>
      </w:pPr>
      <w:r>
        <w:rPr>
          <w:rFonts w:eastAsia="Calibri"/>
          <w:lang w:eastAsia="en-US"/>
        </w:rPr>
        <w:t xml:space="preserve">– </w:t>
      </w:r>
      <w:r>
        <w:rPr/>
        <w:t>помощь в формировании пакета документов для осуществления страхового возмещения в иных страховых компаниях</w:t>
      </w:r>
      <w:r>
        <w:rPr>
          <w:rFonts w:eastAsia="Calibri"/>
          <w:lang w:eastAsia="en-US"/>
        </w:rPr>
        <w:t>;</w:t>
      </w:r>
    </w:p>
    <w:p>
      <w:pPr>
        <w:pStyle w:val="Normal"/>
        <w:widowControl w:val="false"/>
        <w:tabs>
          <w:tab w:val="clear" w:pos="708"/>
          <w:tab w:val="center" w:pos="0" w:leader="none"/>
          <w:tab w:val="left" w:pos="7705" w:leader="none"/>
          <w:tab w:val="right" w:pos="9900" w:leader="none"/>
        </w:tabs>
        <w:ind w:firstLine="567"/>
        <w:jc w:val="both"/>
        <w:rPr>
          <w:rFonts w:eastAsia="Calibri"/>
          <w:lang w:eastAsia="en-US"/>
        </w:rPr>
      </w:pPr>
      <w:r>
        <w:rPr>
          <w:rFonts w:eastAsia="Calibri"/>
          <w:lang w:eastAsia="en-US"/>
        </w:rPr>
        <w:t xml:space="preserve">– </w:t>
      </w:r>
      <w:r>
        <w:rPr>
          <w:rFonts w:eastAsia="Calibri"/>
          <w:lang w:eastAsia="en-US"/>
        </w:rPr>
        <w:t>юридическую поддержку Страхователя в вопросах, относящихся к предмету контракта.</w:t>
      </w:r>
    </w:p>
    <w:p>
      <w:pPr>
        <w:pStyle w:val="Normal"/>
        <w:spacing w:before="0" w:after="0"/>
        <w:ind w:firstLine="567"/>
        <w:contextualSpacing/>
        <w:jc w:val="both"/>
        <w:rPr/>
      </w:pPr>
      <w:r>
        <w:rPr>
          <w:rFonts w:eastAsia="Calibri"/>
          <w:lang w:eastAsia="en-US"/>
        </w:rPr>
        <w:t>В случае наступления страхового случая Страховщик обязан направить на место происшествия аварийного комиссара в течение 20 (двадцати) минут с момента поступления информации о наступлении страхового случая от Страхователя (в том числе и по телефону).</w:t>
      </w:r>
    </w:p>
    <w:p>
      <w:pPr>
        <w:pStyle w:val="Normal"/>
        <w:spacing w:before="0" w:after="0"/>
        <w:ind w:firstLine="567"/>
        <w:contextualSpacing/>
        <w:jc w:val="both"/>
        <w:rPr>
          <w:rFonts w:eastAsia="Calibri"/>
          <w:lang w:eastAsia="en-US"/>
        </w:rPr>
      </w:pPr>
      <w:r>
        <w:rPr>
          <w:rFonts w:eastAsia="Calibri"/>
          <w:lang w:eastAsia="en-US"/>
        </w:rPr>
        <w:t>Страхование осуществляется в соответствии с требованиями Федерального закона от 27.11.199 № 4015-1 «Об организации страхового дела в Российской Федерации», Федерального закона от 25.04.2002 № 40-ФЗ «Об обязательном страховании гражданской ответственности владельцев транспортных средств», Положения о правилах обязательного страхования гражданской ответственности владельцев транспортных средств, утверждённого Банком России от 19.09.2014 № 431-П, настоящего Технического задания и условиями Контракта.</w:t>
      </w:r>
    </w:p>
    <w:p>
      <w:pPr>
        <w:pStyle w:val="Normal"/>
        <w:tabs>
          <w:tab w:val="clear" w:pos="708"/>
          <w:tab w:val="left" w:pos="3930" w:leader="none"/>
        </w:tabs>
        <w:spacing w:before="0" w:after="0"/>
        <w:ind w:firstLine="567"/>
        <w:contextualSpacing/>
        <w:jc w:val="both"/>
        <w:rPr/>
      </w:pPr>
      <w:r>
        <w:rPr/>
        <w:t>Страхованию подлежат имущественные интересы, связанные с риском гражданской ответственности по обязательствам, возникающим вследствие причинения вреда жизни, здоровью или имуществу потерпевших при использовании транспортных средств  на территории Российской Федерации.</w:t>
      </w:r>
    </w:p>
    <w:p>
      <w:pPr>
        <w:pStyle w:val="Normal"/>
        <w:tabs>
          <w:tab w:val="clear" w:pos="708"/>
          <w:tab w:val="left" w:pos="3930" w:leader="none"/>
        </w:tabs>
        <w:spacing w:before="0" w:after="0"/>
        <w:ind w:firstLine="567"/>
        <w:contextualSpacing/>
        <w:jc w:val="both"/>
        <w:rPr>
          <w:b/>
          <w:lang w:eastAsia="en-US"/>
        </w:rPr>
      </w:pPr>
      <w:r>
        <w:rPr>
          <w:b/>
          <w:lang w:eastAsia="en-US"/>
        </w:rPr>
        <w:t>7. Форма, срок и порядок оплаты услуг:</w:t>
      </w:r>
    </w:p>
    <w:p>
      <w:pPr>
        <w:pStyle w:val="Normal"/>
        <w:tabs>
          <w:tab w:val="clear" w:pos="708"/>
          <w:tab w:val="left" w:pos="3930" w:leader="none"/>
        </w:tabs>
        <w:spacing w:before="0" w:after="0"/>
        <w:ind w:firstLine="567"/>
        <w:contextualSpacing/>
        <w:jc w:val="both"/>
        <w:rPr>
          <w:b/>
        </w:rPr>
      </w:pPr>
      <w:r>
        <w:rPr/>
        <w:t>Оплата страховой премии производится страхователем по факту выдачи страховых полисов страховщиком в соответствии со сроками, указанными в Приложении № 1</w:t>
      </w:r>
      <w:r>
        <w:rPr>
          <w:color w:val="FF0000"/>
        </w:rPr>
        <w:t xml:space="preserve"> </w:t>
      </w:r>
      <w:r>
        <w:rPr/>
        <w:t xml:space="preserve">к Техническому заданию, путем перечисления денежных средств на расчетный счет страховщика </w:t>
      </w:r>
      <w:r>
        <w:rPr>
          <w:bCs/>
        </w:rPr>
        <w:t>в течение 7 (семи) рабочих дней</w:t>
      </w:r>
      <w:r>
        <w:rPr/>
        <w:t xml:space="preserve"> на основании счета, акта приема-передачи бланков строгой отчетности (страховых полисов).</w:t>
      </w:r>
    </w:p>
    <w:p>
      <w:pPr>
        <w:pStyle w:val="21"/>
        <w:jc w:val="right"/>
        <w:rPr>
          <w:sz w:val="24"/>
          <w:szCs w:val="24"/>
          <w:u w:val="single"/>
        </w:rPr>
      </w:pPr>
      <w:r>
        <w:rPr>
          <w:sz w:val="24"/>
          <w:szCs w:val="24"/>
          <w:u w:val="single"/>
        </w:rPr>
      </w:r>
    </w:p>
    <w:p>
      <w:pPr>
        <w:pStyle w:val="21"/>
        <w:jc w:val="right"/>
        <w:rPr>
          <w:sz w:val="24"/>
          <w:szCs w:val="24"/>
          <w:u w:val="single"/>
        </w:rPr>
      </w:pPr>
      <w:r>
        <w:rPr>
          <w:sz w:val="24"/>
          <w:szCs w:val="24"/>
          <w:u w:val="single"/>
        </w:rPr>
      </w:r>
    </w:p>
    <w:p>
      <w:pPr>
        <w:pStyle w:val="21"/>
        <w:jc w:val="right"/>
        <w:rPr>
          <w:sz w:val="24"/>
          <w:szCs w:val="24"/>
          <w:u w:val="single"/>
        </w:rPr>
      </w:pPr>
      <w:r>
        <w:rPr>
          <w:sz w:val="24"/>
          <w:szCs w:val="24"/>
          <w:u w:val="single"/>
        </w:rPr>
      </w:r>
    </w:p>
    <w:p>
      <w:pPr>
        <w:sectPr>
          <w:footerReference w:type="default" r:id="rId5"/>
          <w:type w:val="nextPage"/>
          <w:pgSz w:w="11906" w:h="16838"/>
          <w:pgMar w:left="737" w:right="851" w:gutter="0" w:header="0" w:top="851" w:footer="0" w:bottom="1134"/>
          <w:pgNumType w:fmt="decimal"/>
          <w:formProt w:val="false"/>
          <w:textDirection w:val="lrTb"/>
          <w:docGrid w:type="default" w:linePitch="360" w:charSpace="0"/>
        </w:sectPr>
        <w:pStyle w:val="21"/>
        <w:jc w:val="right"/>
        <w:rPr>
          <w:sz w:val="24"/>
          <w:szCs w:val="24"/>
          <w:u w:val="single"/>
        </w:rPr>
      </w:pPr>
      <w:r>
        <w:rPr>
          <w:sz w:val="24"/>
          <w:szCs w:val="24"/>
          <w:u w:val="single"/>
        </w:rPr>
      </w:r>
    </w:p>
    <w:p>
      <w:pPr>
        <w:pStyle w:val="Normal"/>
        <w:tabs>
          <w:tab w:val="clear" w:pos="708"/>
          <w:tab w:val="left" w:pos="3930" w:leader="none"/>
        </w:tabs>
        <w:spacing w:before="0" w:after="0"/>
        <w:contextualSpacing/>
        <w:rPr/>
      </w:pPr>
      <w:r>
        <w:rPr/>
      </w:r>
    </w:p>
    <w:p>
      <w:pPr>
        <w:pStyle w:val="Normal"/>
        <w:tabs>
          <w:tab w:val="clear" w:pos="708"/>
          <w:tab w:val="left" w:pos="3930" w:leader="none"/>
        </w:tabs>
        <w:spacing w:before="0" w:after="0"/>
        <w:ind w:firstLine="567"/>
        <w:contextualSpacing/>
        <w:jc w:val="right"/>
        <w:rPr/>
      </w:pPr>
      <w:r>
        <w:rPr/>
      </w:r>
    </w:p>
    <w:p>
      <w:pPr>
        <w:pStyle w:val="Normal"/>
        <w:tabs>
          <w:tab w:val="clear" w:pos="708"/>
          <w:tab w:val="left" w:pos="3930" w:leader="none"/>
        </w:tabs>
        <w:ind w:firstLine="567"/>
        <w:jc w:val="right"/>
        <w:rPr/>
      </w:pPr>
      <w:r>
        <w:rPr/>
        <w:t xml:space="preserve">          </w:t>
      </w:r>
      <w:r>
        <w:rPr/>
        <w:t>Приложение № 1 к Техническому заданию</w:t>
      </w:r>
    </w:p>
    <w:p>
      <w:pPr>
        <w:pStyle w:val="Normal"/>
        <w:jc w:val="center"/>
        <w:rPr>
          <w:b/>
        </w:rPr>
      </w:pPr>
      <w:r>
        <w:rPr>
          <w:b/>
        </w:rPr>
      </w:r>
    </w:p>
    <w:p>
      <w:pPr>
        <w:pStyle w:val="Normal"/>
        <w:jc w:val="center"/>
        <w:rPr/>
      </w:pPr>
      <w:r>
        <w:rPr>
          <w:b/>
        </w:rPr>
        <w:t>Перечень транспортных средств, подлежащих страхованию</w:t>
      </w:r>
    </w:p>
    <w:tbl>
      <w:tblPr>
        <w:tblW w:w="11058" w:type="dxa"/>
        <w:jc w:val="left"/>
        <w:tblInd w:w="-890" w:type="dxa"/>
        <w:tblLayout w:type="fixed"/>
        <w:tblCellMar>
          <w:top w:w="0" w:type="dxa"/>
          <w:left w:w="103" w:type="dxa"/>
          <w:bottom w:w="0" w:type="dxa"/>
          <w:right w:w="108" w:type="dxa"/>
        </w:tblCellMar>
        <w:tblLook w:val="04a0" w:noHBand="0" w:noVBand="1" w:firstColumn="1" w:lastRow="0" w:lastColumn="0" w:firstRow="1"/>
      </w:tblPr>
      <w:tblGrid>
        <w:gridCol w:w="425"/>
        <w:gridCol w:w="852"/>
        <w:gridCol w:w="992"/>
        <w:gridCol w:w="850"/>
        <w:gridCol w:w="426"/>
        <w:gridCol w:w="1700"/>
        <w:gridCol w:w="1418"/>
        <w:gridCol w:w="709"/>
        <w:gridCol w:w="709"/>
        <w:gridCol w:w="709"/>
        <w:gridCol w:w="707"/>
        <w:gridCol w:w="710"/>
        <w:gridCol w:w="850"/>
      </w:tblGrid>
      <w:tr>
        <w:trPr>
          <w:trHeight w:val="1003"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2"/>
                <w:szCs w:val="12"/>
              </w:rPr>
            </w:pPr>
            <w:r>
              <w:rPr>
                <w:rFonts w:ascii="Liberation Serif" w:hAnsi="Liberation Serif"/>
                <w:b/>
                <w:color w:val="000000"/>
                <w:sz w:val="12"/>
                <w:szCs w:val="12"/>
              </w:rPr>
              <w:t xml:space="preserve">№ </w:t>
            </w:r>
            <w:r>
              <w:rPr>
                <w:rFonts w:ascii="Liberation Serif" w:hAnsi="Liberation Serif"/>
                <w:b/>
                <w:color w:val="000000"/>
                <w:sz w:val="12"/>
                <w:szCs w:val="12"/>
              </w:rPr>
              <w:t>п/п</w:t>
            </w:r>
          </w:p>
        </w:tc>
        <w:tc>
          <w:tcPr>
            <w:tcW w:w="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color w:val="000000"/>
                <w:sz w:val="12"/>
                <w:szCs w:val="12"/>
              </w:rPr>
            </w:pPr>
            <w:r>
              <w:rPr>
                <w:rFonts w:ascii="Liberation Serif" w:hAnsi="Liberation Serif"/>
                <w:b/>
                <w:color w:val="000000"/>
                <w:sz w:val="12"/>
                <w:szCs w:val="12"/>
              </w:rPr>
              <w:t>Собственник ТС</w:t>
            </w:r>
          </w:p>
        </w:tc>
        <w:tc>
          <w:tcPr>
            <w:tcW w:w="992"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jc w:val="center"/>
              <w:rPr>
                <w:b/>
                <w:color w:val="000000"/>
                <w:sz w:val="12"/>
                <w:szCs w:val="12"/>
              </w:rPr>
            </w:pPr>
            <w:r>
              <w:rPr>
                <w:rFonts w:ascii="Liberation Serif" w:hAnsi="Liberation Serif"/>
                <w:b/>
                <w:color w:val="000000"/>
                <w:sz w:val="12"/>
                <w:szCs w:val="12"/>
              </w:rPr>
              <w:t>Марка Модель ТС ТС</w:t>
            </w:r>
          </w:p>
        </w:tc>
        <w:tc>
          <w:tcPr>
            <w:tcW w:w="850"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jc w:val="center"/>
              <w:rPr>
                <w:b/>
                <w:color w:val="000000"/>
                <w:sz w:val="12"/>
                <w:szCs w:val="12"/>
              </w:rPr>
            </w:pPr>
            <w:r>
              <w:rPr>
                <w:rFonts w:ascii="Liberation Serif" w:hAnsi="Liberation Serif"/>
                <w:b/>
                <w:color w:val="000000"/>
                <w:sz w:val="12"/>
                <w:szCs w:val="12"/>
              </w:rPr>
              <w:t>Тип ТС</w:t>
            </w:r>
          </w:p>
        </w:tc>
        <w:tc>
          <w:tcPr>
            <w:tcW w:w="426"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jc w:val="center"/>
              <w:rPr>
                <w:b/>
                <w:color w:val="000000"/>
                <w:sz w:val="12"/>
                <w:szCs w:val="12"/>
              </w:rPr>
            </w:pPr>
            <w:r>
              <w:rPr>
                <w:rFonts w:ascii="Liberation Serif" w:hAnsi="Liberation Serif"/>
                <w:b/>
                <w:color w:val="000000"/>
                <w:sz w:val="12"/>
                <w:szCs w:val="12"/>
              </w:rPr>
              <w:t>Категория ТС</w:t>
            </w:r>
          </w:p>
        </w:tc>
        <w:tc>
          <w:tcPr>
            <w:tcW w:w="1700"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jc w:val="center"/>
              <w:rPr>
                <w:b/>
                <w:color w:val="000000"/>
                <w:sz w:val="12"/>
                <w:szCs w:val="12"/>
              </w:rPr>
            </w:pPr>
            <w:r>
              <w:rPr>
                <w:rFonts w:ascii="Liberation Serif" w:hAnsi="Liberation Serif"/>
                <w:b/>
                <w:color w:val="000000"/>
                <w:sz w:val="12"/>
                <w:szCs w:val="12"/>
              </w:rPr>
              <w:t>VIN</w:t>
            </w:r>
          </w:p>
        </w:tc>
        <w:tc>
          <w:tcPr>
            <w:tcW w:w="1418"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jc w:val="center"/>
              <w:rPr>
                <w:b/>
                <w:color w:val="000000"/>
                <w:sz w:val="12"/>
                <w:szCs w:val="12"/>
              </w:rPr>
            </w:pPr>
            <w:r>
              <w:rPr>
                <w:rFonts w:ascii="Liberation Serif" w:hAnsi="Liberation Serif"/>
                <w:b/>
                <w:color w:val="000000"/>
                <w:sz w:val="12"/>
                <w:szCs w:val="12"/>
              </w:rPr>
              <w:t>Серия номер ПТС</w:t>
            </w:r>
          </w:p>
        </w:tc>
        <w:tc>
          <w:tcPr>
            <w:tcW w:w="709"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jc w:val="center"/>
              <w:rPr>
                <w:b/>
                <w:color w:val="000000"/>
                <w:sz w:val="12"/>
                <w:szCs w:val="12"/>
              </w:rPr>
            </w:pPr>
            <w:r>
              <w:rPr>
                <w:rFonts w:ascii="Liberation Serif" w:hAnsi="Liberation Serif"/>
                <w:b/>
                <w:color w:val="000000"/>
                <w:sz w:val="12"/>
                <w:szCs w:val="12"/>
              </w:rPr>
              <w:t>Государственный регистрационный  знак</w:t>
            </w:r>
          </w:p>
        </w:tc>
        <w:tc>
          <w:tcPr>
            <w:tcW w:w="709"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jc w:val="center"/>
              <w:rPr>
                <w:b/>
                <w:color w:val="000000"/>
                <w:sz w:val="12"/>
                <w:szCs w:val="12"/>
              </w:rPr>
            </w:pPr>
            <w:r>
              <w:rPr>
                <w:rFonts w:ascii="Liberation Serif" w:hAnsi="Liberation Serif"/>
                <w:b/>
                <w:color w:val="000000"/>
                <w:sz w:val="12"/>
                <w:szCs w:val="12"/>
              </w:rPr>
              <w:t>Год выпуска т.с.</w:t>
            </w:r>
          </w:p>
        </w:tc>
        <w:tc>
          <w:tcPr>
            <w:tcW w:w="709"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jc w:val="center"/>
              <w:rPr>
                <w:b/>
                <w:color w:val="000000"/>
                <w:sz w:val="12"/>
                <w:szCs w:val="12"/>
              </w:rPr>
            </w:pPr>
            <w:r>
              <w:rPr>
                <w:rFonts w:ascii="Liberation Serif" w:hAnsi="Liberation Serif"/>
                <w:b/>
                <w:color w:val="000000"/>
                <w:sz w:val="12"/>
                <w:szCs w:val="12"/>
              </w:rPr>
              <w:t>Мощность т.с. для кат В, (л.с.)</w:t>
            </w:r>
          </w:p>
        </w:tc>
        <w:tc>
          <w:tcPr>
            <w:tcW w:w="707" w:type="dxa"/>
            <w:tcBorders>
              <w:top w:val="single" w:sz="4" w:space="0" w:color="000000"/>
              <w:left w:val="single" w:sz="4" w:space="0" w:color="000000"/>
              <w:bottom w:val="single" w:sz="4" w:space="0" w:color="000000"/>
              <w:right w:val="single" w:sz="4" w:space="0" w:color="000000"/>
            </w:tcBorders>
            <w:shd w:color="auto" w:fill="FFFFFF" w:val="clear"/>
            <w:textDirection w:val="btLr"/>
            <w:vAlign w:val="center"/>
          </w:tcPr>
          <w:p>
            <w:pPr>
              <w:pStyle w:val="Normal"/>
              <w:jc w:val="center"/>
              <w:rPr>
                <w:b/>
                <w:color w:val="000000"/>
                <w:sz w:val="12"/>
                <w:szCs w:val="12"/>
              </w:rPr>
            </w:pPr>
            <w:r>
              <w:rPr>
                <w:rFonts w:ascii="Liberation Serif" w:hAnsi="Liberation Serif"/>
                <w:b/>
                <w:color w:val="000000"/>
                <w:sz w:val="12"/>
                <w:szCs w:val="12"/>
              </w:rPr>
              <w:t>Сумма страховой премия</w:t>
            </w:r>
          </w:p>
        </w:tc>
        <w:tc>
          <w:tcPr>
            <w:tcW w:w="710"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jc w:val="center"/>
              <w:rPr>
                <w:b/>
                <w:color w:val="000000"/>
                <w:sz w:val="12"/>
                <w:szCs w:val="12"/>
              </w:rPr>
            </w:pPr>
            <w:r>
              <w:rPr>
                <w:rFonts w:ascii="Liberation Serif" w:hAnsi="Liberation Serif"/>
                <w:b/>
                <w:color w:val="000000"/>
                <w:sz w:val="12"/>
                <w:szCs w:val="12"/>
              </w:rPr>
              <w:t>Дата выдачи страхового полиса</w:t>
            </w:r>
          </w:p>
        </w:tc>
        <w:tc>
          <w:tcPr>
            <w:tcW w:w="850"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jc w:val="center"/>
              <w:rPr>
                <w:b/>
                <w:color w:val="000000"/>
                <w:sz w:val="12"/>
                <w:szCs w:val="12"/>
              </w:rPr>
            </w:pPr>
            <w:r>
              <w:rPr>
                <w:rFonts w:ascii="Liberation Serif" w:hAnsi="Liberation Serif"/>
                <w:b/>
                <w:color w:val="000000"/>
                <w:sz w:val="12"/>
                <w:szCs w:val="12"/>
              </w:rPr>
              <w:t>Дата окончания действия выданного страхового полиса</w:t>
            </w:r>
          </w:p>
        </w:tc>
      </w:tr>
      <w:tr>
        <w:trPr>
          <w:trHeight w:val="832"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6"/>
                <w:szCs w:val="16"/>
              </w:rPr>
            </w:pPr>
            <w:r>
              <w:rPr>
                <w:rFonts w:ascii="Liberation Serif" w:hAnsi="Liberation Serif"/>
                <w:color w:val="000000"/>
                <w:sz w:val="16"/>
                <w:szCs w:val="16"/>
              </w:rPr>
              <w:t>1</w:t>
            </w:r>
          </w:p>
        </w:tc>
        <w:tc>
          <w:tcPr>
            <w:tcW w:w="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Web"/>
              <w:spacing w:lineRule="auto" w:line="276" w:before="0" w:after="0"/>
              <w:jc w:val="center"/>
              <w:rPr>
                <w:lang w:eastAsia="en-US"/>
              </w:rPr>
            </w:pPr>
            <w:r>
              <w:rPr>
                <w:color w:val="000000"/>
                <w:sz w:val="15"/>
                <w:szCs w:val="15"/>
                <w:lang w:eastAsia="en-US"/>
              </w:rPr>
              <w:t>УФССП по Курской области</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jc w:val="center"/>
              <w:rPr>
                <w:color w:val="000000"/>
                <w:sz w:val="18"/>
                <w:szCs w:val="18"/>
                <w:lang w:val="en-US" w:eastAsia="en-US"/>
              </w:rPr>
            </w:pPr>
            <w:r>
              <w:rPr>
                <w:color w:val="000000"/>
                <w:sz w:val="18"/>
                <w:szCs w:val="18"/>
                <w:lang w:val="en-US" w:eastAsia="en-US"/>
              </w:rPr>
              <w:t>ГАЗель NEXT</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Web"/>
              <w:spacing w:lineRule="auto" w:line="276" w:before="0" w:after="0"/>
              <w:jc w:val="center"/>
              <w:rPr>
                <w:color w:val="000000"/>
              </w:rPr>
            </w:pPr>
            <w:r>
              <w:rPr>
                <w:color w:val="000000"/>
                <w:sz w:val="15"/>
                <w:szCs w:val="15"/>
                <w:lang w:eastAsia="en-US"/>
              </w:rPr>
              <w:t>Автобус</w:t>
            </w:r>
          </w:p>
        </w:tc>
        <w:tc>
          <w:tcPr>
            <w:tcW w:w="4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Web"/>
              <w:spacing w:lineRule="auto" w:line="276" w:before="0" w:after="0"/>
              <w:jc w:val="center"/>
              <w:rPr>
                <w:lang w:eastAsia="en-US"/>
              </w:rPr>
            </w:pPr>
            <w:r>
              <w:rPr>
                <w:color w:val="000000"/>
                <w:sz w:val="15"/>
                <w:szCs w:val="15"/>
                <w:lang w:eastAsia="en-US"/>
              </w:rPr>
              <w:t>Д</w:t>
            </w:r>
          </w:p>
        </w:tc>
        <w:tc>
          <w:tcPr>
            <w:tcW w:w="1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Web"/>
              <w:spacing w:lineRule="auto" w:line="276" w:before="0" w:after="0"/>
              <w:jc w:val="center"/>
              <w:rPr>
                <w:lang w:eastAsia="en-US"/>
              </w:rPr>
            </w:pPr>
            <w:r>
              <w:rPr>
                <w:color w:val="000000"/>
                <w:sz w:val="15"/>
                <w:szCs w:val="15"/>
                <w:lang w:val="en-US" w:eastAsia="en-US"/>
              </w:rPr>
              <w:t>X96A65R52T1046539</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Web"/>
              <w:spacing w:lineRule="auto" w:line="276" w:before="0" w:after="0"/>
              <w:jc w:val="center"/>
              <w:rPr>
                <w:lang w:eastAsia="en-US"/>
              </w:rPr>
            </w:pPr>
            <w:r>
              <w:rPr>
                <w:color w:val="000000"/>
                <w:sz w:val="15"/>
                <w:szCs w:val="15"/>
                <w:lang w:val="en-US" w:eastAsia="en-US"/>
              </w:rPr>
              <w:t>16430114112747</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Web"/>
              <w:spacing w:lineRule="auto" w:line="276" w:before="0" w:after="0"/>
              <w:jc w:val="center"/>
              <w:rPr>
                <w:lang w:eastAsia="en-US"/>
              </w:rPr>
            </w:pPr>
            <w:r>
              <w:rPr>
                <w:lang w:eastAsia="en-US"/>
              </w:rPr>
              <w:t>-</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Web"/>
              <w:spacing w:lineRule="auto" w:line="276" w:before="0" w:after="0"/>
              <w:jc w:val="center"/>
              <w:rPr>
                <w:lang w:val="en-US" w:eastAsia="en-US"/>
              </w:rPr>
            </w:pPr>
            <w:r>
              <w:rPr>
                <w:color w:val="000000"/>
                <w:sz w:val="15"/>
                <w:szCs w:val="15"/>
                <w:lang w:val="en-US" w:eastAsia="en-US"/>
              </w:rPr>
              <w:t>2026</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Web"/>
              <w:spacing w:lineRule="auto" w:line="276" w:before="0" w:after="0"/>
              <w:jc w:val="center"/>
              <w:rPr>
                <w:lang w:val="en-US" w:eastAsia="en-US"/>
              </w:rPr>
            </w:pPr>
            <w:r>
              <w:rPr>
                <w:color w:val="000000"/>
                <w:sz w:val="15"/>
                <w:szCs w:val="15"/>
                <w:lang w:val="en-US" w:eastAsia="en-US"/>
              </w:rPr>
              <w:t>110</w:t>
            </w:r>
          </w:p>
        </w:tc>
        <w:tc>
          <w:tcPr>
            <w:tcW w:w="70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jc w:val="center"/>
              <w:rPr>
                <w:color w:val="000000"/>
              </w:rPr>
            </w:pPr>
            <w:r>
              <w:rPr>
                <w:color w:val="000000"/>
              </w:rPr>
            </w:r>
          </w:p>
        </w:tc>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r>
    </w:tbl>
    <w:p>
      <w:pPr>
        <w:pStyle w:val="Normal"/>
        <w:rPr/>
      </w:pPr>
      <w:r>
        <w:rPr/>
      </w:r>
    </w:p>
    <w:p>
      <w:pPr>
        <w:pStyle w:val="Normal"/>
        <w:ind w:left="-284"/>
        <w:rPr/>
      </w:pPr>
      <w:r>
        <w:rPr/>
      </w:r>
    </w:p>
    <w:tbl>
      <w:tblPr>
        <w:tblW w:w="10773" w:type="dxa"/>
        <w:jc w:val="left"/>
        <w:tblInd w:w="-988" w:type="dxa"/>
        <w:tblLayout w:type="fixed"/>
        <w:tblCellMar>
          <w:top w:w="0" w:type="dxa"/>
          <w:left w:w="108" w:type="dxa"/>
          <w:bottom w:w="0" w:type="dxa"/>
          <w:right w:w="108" w:type="dxa"/>
        </w:tblCellMar>
        <w:tblLook w:val="04a0" w:noHBand="0" w:noVBand="1" w:firstColumn="1" w:lastRow="0" w:lastColumn="0" w:firstRow="1"/>
      </w:tblPr>
      <w:tblGrid>
        <w:gridCol w:w="6236"/>
        <w:gridCol w:w="4536"/>
      </w:tblGrid>
      <w:tr>
        <w:trPr/>
        <w:tc>
          <w:tcPr>
            <w:tcW w:w="6236" w:type="dxa"/>
            <w:tcBorders/>
            <w:shd w:color="auto" w:fill="auto" w:val="clear"/>
            <w:vAlign w:val="center"/>
          </w:tcPr>
          <w:p>
            <w:pPr>
              <w:pStyle w:val="Normal"/>
              <w:snapToGrid w:val="false"/>
              <w:rPr>
                <w:b/>
                <w:bCs/>
              </w:rPr>
            </w:pPr>
            <w:r>
              <w:rPr>
                <w:spacing w:val="5"/>
              </w:rPr>
              <w:t>Страховщик</w:t>
            </w:r>
          </w:p>
          <w:p>
            <w:pPr>
              <w:pStyle w:val="Normal"/>
              <w:snapToGrid w:val="false"/>
              <w:ind w:left="-533"/>
              <w:rPr/>
            </w:pPr>
            <w:r>
              <w:rPr/>
            </w:r>
          </w:p>
          <w:p>
            <w:pPr>
              <w:pStyle w:val="Normal"/>
              <w:snapToGrid w:val="false"/>
              <w:rPr/>
            </w:pPr>
            <w:r>
              <w:rPr/>
              <w:t>_________________/___________</w:t>
            </w:r>
          </w:p>
        </w:tc>
        <w:tc>
          <w:tcPr>
            <w:tcW w:w="4536" w:type="dxa"/>
            <w:tcBorders/>
            <w:shd w:color="auto" w:fill="auto" w:val="clear"/>
            <w:vAlign w:val="center"/>
          </w:tcPr>
          <w:p>
            <w:pPr>
              <w:pStyle w:val="Normal"/>
              <w:snapToGrid w:val="false"/>
              <w:rPr>
                <w:spacing w:val="5"/>
              </w:rPr>
            </w:pPr>
            <w:r>
              <w:rPr>
                <w:spacing w:val="5"/>
              </w:rPr>
              <w:t>Страхователь</w:t>
            </w:r>
          </w:p>
          <w:p>
            <w:pPr>
              <w:pStyle w:val="Normal"/>
              <w:snapToGrid w:val="false"/>
              <w:rPr/>
            </w:pPr>
            <w:r>
              <w:rPr/>
            </w:r>
          </w:p>
          <w:p>
            <w:pPr>
              <w:pStyle w:val="Normal"/>
              <w:snapToGrid w:val="false"/>
              <w:ind w:right="-816"/>
              <w:rPr/>
            </w:pPr>
            <w:r>
              <w:rPr/>
              <w:t>__________________ /___________________/</w:t>
            </w:r>
          </w:p>
        </w:tc>
      </w:tr>
      <w:tr>
        <w:trPr/>
        <w:tc>
          <w:tcPr>
            <w:tcW w:w="6236" w:type="dxa"/>
            <w:tcBorders/>
            <w:shd w:color="auto" w:fill="auto" w:val="clear"/>
            <w:vAlign w:val="center"/>
          </w:tcPr>
          <w:p>
            <w:pPr>
              <w:pStyle w:val="Normal"/>
              <w:snapToGrid w:val="false"/>
              <w:rPr/>
            </w:pPr>
            <w:r>
              <w:rPr/>
              <w:t>М.П.</w:t>
            </w:r>
          </w:p>
        </w:tc>
        <w:tc>
          <w:tcPr>
            <w:tcW w:w="4536" w:type="dxa"/>
            <w:tcBorders/>
            <w:shd w:color="auto" w:fill="auto" w:val="clear"/>
            <w:vAlign w:val="center"/>
          </w:tcPr>
          <w:p>
            <w:pPr>
              <w:pStyle w:val="Normal"/>
              <w:snapToGrid w:val="false"/>
              <w:rPr/>
            </w:pPr>
            <w:r>
              <w:rPr/>
              <w:t>М.П.</w:t>
            </w:r>
          </w:p>
        </w:tc>
      </w:tr>
    </w:tbl>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sectPr>
          <w:headerReference w:type="default" r:id="rId6"/>
          <w:footerReference w:type="default" r:id="rId7"/>
          <w:footerReference w:type="first" r:id="rId8"/>
          <w:type w:val="nextPage"/>
          <w:pgSz w:w="11906" w:h="16838"/>
          <w:pgMar w:left="1560" w:right="849" w:gutter="0" w:header="708" w:top="1134" w:footer="0" w:bottom="1418"/>
          <w:pgNumType w:fmt="decimal"/>
          <w:formProt w:val="false"/>
          <w:textDirection w:val="lrTb"/>
          <w:docGrid w:type="default" w:linePitch="360" w:charSpace="24576"/>
        </w:sectPr>
        <w:pStyle w:val="Normal"/>
        <w:jc w:val="right"/>
        <w:rPr/>
      </w:pPr>
      <w:r>
        <w:rPr/>
      </w:r>
    </w:p>
    <w:p>
      <w:pPr>
        <w:pStyle w:val="BodyText21"/>
        <w:tabs>
          <w:tab w:val="clear" w:pos="708"/>
          <w:tab w:val="left" w:pos="5812" w:leader="none"/>
          <w:tab w:val="left" w:pos="10065" w:leader="none"/>
        </w:tabs>
        <w:spacing w:lineRule="auto" w:line="240" w:before="0" w:after="0"/>
        <w:jc w:val="right"/>
        <w:rPr>
          <w:szCs w:val="24"/>
        </w:rPr>
      </w:pPr>
      <w:r>
        <w:rPr/>
        <w:t>Приложение № 2</w:t>
      </w:r>
    </w:p>
    <w:p>
      <w:pPr>
        <w:pStyle w:val="BodyText21"/>
        <w:tabs>
          <w:tab w:val="clear" w:pos="708"/>
          <w:tab w:val="left" w:pos="5812" w:leader="none"/>
          <w:tab w:val="left" w:pos="10065" w:leader="none"/>
        </w:tabs>
        <w:spacing w:lineRule="auto" w:line="240" w:before="0" w:after="0"/>
        <w:jc w:val="right"/>
        <w:rPr>
          <w:szCs w:val="24"/>
        </w:rPr>
      </w:pPr>
      <w:r>
        <w:rPr/>
        <w:t xml:space="preserve">                                                                   </w:t>
      </w:r>
      <w:r>
        <w:rPr/>
        <w:t xml:space="preserve">к контракту № _____ </w:t>
      </w:r>
    </w:p>
    <w:p>
      <w:pPr>
        <w:pStyle w:val="BodyText21"/>
        <w:tabs>
          <w:tab w:val="clear" w:pos="708"/>
          <w:tab w:val="left" w:pos="5812" w:leader="none"/>
          <w:tab w:val="left" w:pos="10065" w:leader="none"/>
        </w:tabs>
        <w:spacing w:lineRule="auto" w:line="240" w:before="0" w:after="0"/>
        <w:jc w:val="right"/>
        <w:rPr>
          <w:szCs w:val="24"/>
        </w:rPr>
      </w:pPr>
      <w:r>
        <w:rPr/>
        <w:t>от ________________ 202_ г.</w:t>
      </w:r>
    </w:p>
    <w:p>
      <w:pPr>
        <w:pStyle w:val="BodyText21"/>
        <w:tabs>
          <w:tab w:val="clear" w:pos="708"/>
          <w:tab w:val="left" w:pos="5812" w:leader="none"/>
          <w:tab w:val="left" w:pos="10065" w:leader="none"/>
        </w:tabs>
        <w:jc w:val="center"/>
        <w:rPr>
          <w:b/>
        </w:rPr>
      </w:pPr>
      <w:r>
        <w:rPr>
          <w:b/>
        </w:rPr>
        <w:t>Форма расчета страховой премии</w:t>
      </w:r>
    </w:p>
    <w:tbl>
      <w:tblPr>
        <w:tblpPr w:vertAnchor="text" w:horzAnchor="text" w:leftFromText="180" w:rightFromText="180" w:tblpX="0" w:tblpY="1"/>
        <w:tblW w:w="5000" w:type="pct"/>
        <w:jc w:val="left"/>
        <w:tblInd w:w="18" w:type="dxa"/>
        <w:tblLayout w:type="fixed"/>
        <w:tblCellMar>
          <w:top w:w="18" w:type="dxa"/>
          <w:left w:w="18" w:type="dxa"/>
          <w:bottom w:w="0" w:type="dxa"/>
          <w:right w:w="18" w:type="dxa"/>
        </w:tblCellMar>
        <w:tblLook w:val="0000" w:noHBand="0" w:noVBand="0" w:firstColumn="0" w:lastRow="0" w:lastColumn="0" w:firstRow="0"/>
      </w:tblPr>
      <w:tblGrid>
        <w:gridCol w:w="301"/>
        <w:gridCol w:w="1346"/>
        <w:gridCol w:w="1222"/>
        <w:gridCol w:w="693"/>
        <w:gridCol w:w="923"/>
        <w:gridCol w:w="1396"/>
        <w:gridCol w:w="2186"/>
        <w:gridCol w:w="1500"/>
        <w:gridCol w:w="1773"/>
        <w:gridCol w:w="1378"/>
        <w:gridCol w:w="1566"/>
      </w:tblGrid>
      <w:tr>
        <w:trPr>
          <w:trHeight w:val="255" w:hRule="atLeast"/>
          <w:cantSplit w:val="true"/>
        </w:trPr>
        <w:tc>
          <w:tcPr>
            <w:tcW w:w="30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12" w:leader="none"/>
                <w:tab w:val="left" w:pos="10065" w:leader="none"/>
              </w:tabs>
              <w:ind w:right="11"/>
              <w:jc w:val="center"/>
              <w:rPr>
                <w:rFonts w:eastAsia="Arial Unicode MS"/>
                <w:b/>
                <w:sz w:val="20"/>
                <w:szCs w:val="20"/>
              </w:rPr>
            </w:pPr>
            <w:r>
              <w:rPr>
                <w:b/>
                <w:sz w:val="20"/>
                <w:szCs w:val="20"/>
              </w:rPr>
              <w:t xml:space="preserve">№ </w:t>
            </w:r>
            <w:r>
              <w:rPr>
                <w:b/>
                <w:sz w:val="20"/>
                <w:szCs w:val="20"/>
              </w:rPr>
              <w:t>п/п</w:t>
            </w:r>
          </w:p>
        </w:tc>
        <w:tc>
          <w:tcPr>
            <w:tcW w:w="134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12" w:leader="none"/>
                <w:tab w:val="left" w:pos="10065" w:leader="none"/>
              </w:tabs>
              <w:ind w:right="11"/>
              <w:jc w:val="center"/>
              <w:rPr>
                <w:rFonts w:eastAsia="Arial Unicode MS"/>
                <w:b/>
                <w:sz w:val="16"/>
                <w:szCs w:val="16"/>
              </w:rPr>
            </w:pPr>
            <w:r>
              <w:rPr>
                <w:b/>
                <w:sz w:val="16"/>
                <w:szCs w:val="16"/>
              </w:rPr>
              <w:t>Марка, модель ТС</w:t>
            </w:r>
          </w:p>
        </w:tc>
        <w:tc>
          <w:tcPr>
            <w:tcW w:w="122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12" w:leader="none"/>
                <w:tab w:val="left" w:pos="10065" w:leader="none"/>
              </w:tabs>
              <w:ind w:right="11"/>
              <w:jc w:val="center"/>
              <w:rPr>
                <w:rFonts w:eastAsia="Arial Unicode MS"/>
                <w:b/>
                <w:sz w:val="16"/>
                <w:szCs w:val="16"/>
              </w:rPr>
            </w:pPr>
            <w:r>
              <w:rPr>
                <w:b/>
                <w:sz w:val="16"/>
                <w:szCs w:val="16"/>
              </w:rPr>
              <w:t xml:space="preserve">Номер </w:t>
            </w:r>
            <w:r>
              <w:rPr>
                <w:b/>
                <w:sz w:val="16"/>
                <w:szCs w:val="16"/>
                <w:lang w:val="en-US"/>
              </w:rPr>
              <w:t>VIN</w:t>
            </w:r>
          </w:p>
        </w:tc>
        <w:tc>
          <w:tcPr>
            <w:tcW w:w="69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12" w:leader="none"/>
                <w:tab w:val="left" w:pos="10065" w:leader="none"/>
              </w:tabs>
              <w:jc w:val="center"/>
              <w:rPr>
                <w:b/>
                <w:sz w:val="16"/>
                <w:szCs w:val="16"/>
              </w:rPr>
            </w:pPr>
            <w:r>
              <w:rPr>
                <w:b/>
                <w:sz w:val="16"/>
                <w:szCs w:val="16"/>
              </w:rPr>
              <w:t>Гос.</w:t>
            </w:r>
          </w:p>
          <w:p>
            <w:pPr>
              <w:pStyle w:val="Normal"/>
              <w:widowControl w:val="false"/>
              <w:tabs>
                <w:tab w:val="clear" w:pos="708"/>
                <w:tab w:val="left" w:pos="5812" w:leader="none"/>
                <w:tab w:val="left" w:pos="10065" w:leader="none"/>
              </w:tabs>
              <w:jc w:val="center"/>
              <w:rPr>
                <w:b/>
                <w:sz w:val="16"/>
                <w:szCs w:val="16"/>
              </w:rPr>
            </w:pPr>
            <w:r>
              <w:rPr>
                <w:b/>
                <w:sz w:val="16"/>
                <w:szCs w:val="16"/>
              </w:rPr>
              <w:t>рег.</w:t>
            </w:r>
          </w:p>
          <w:p>
            <w:pPr>
              <w:pStyle w:val="Normal"/>
              <w:widowControl w:val="false"/>
              <w:tabs>
                <w:tab w:val="clear" w:pos="708"/>
                <w:tab w:val="left" w:pos="5812" w:leader="none"/>
                <w:tab w:val="left" w:pos="10065" w:leader="none"/>
              </w:tabs>
              <w:jc w:val="center"/>
              <w:rPr>
                <w:rFonts w:eastAsia="Arial Unicode MS"/>
                <w:b/>
                <w:sz w:val="16"/>
                <w:szCs w:val="16"/>
              </w:rPr>
            </w:pPr>
            <w:r>
              <w:rPr>
                <w:b/>
                <w:sz w:val="16"/>
                <w:szCs w:val="16"/>
              </w:rPr>
              <w:t>знак</w:t>
            </w:r>
          </w:p>
        </w:tc>
        <w:tc>
          <w:tcPr>
            <w:tcW w:w="92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12" w:leader="none"/>
                <w:tab w:val="left" w:pos="10065" w:leader="none"/>
              </w:tabs>
              <w:jc w:val="center"/>
              <w:rPr>
                <w:b/>
                <w:sz w:val="16"/>
                <w:szCs w:val="16"/>
              </w:rPr>
            </w:pPr>
            <w:r>
              <w:rPr>
                <w:b/>
                <w:sz w:val="16"/>
                <w:szCs w:val="16"/>
              </w:rPr>
              <w:t>Базовая ставка</w:t>
            </w:r>
          </w:p>
          <w:p>
            <w:pPr>
              <w:pStyle w:val="Normal"/>
              <w:widowControl w:val="false"/>
              <w:tabs>
                <w:tab w:val="clear" w:pos="708"/>
                <w:tab w:val="left" w:pos="5812" w:leader="none"/>
                <w:tab w:val="left" w:pos="10065" w:leader="none"/>
              </w:tabs>
              <w:jc w:val="center"/>
              <w:rPr>
                <w:rFonts w:eastAsia="Arial Unicode MS"/>
                <w:b/>
                <w:sz w:val="16"/>
                <w:szCs w:val="16"/>
              </w:rPr>
            </w:pPr>
            <w:r>
              <w:rPr>
                <w:b/>
                <w:sz w:val="16"/>
                <w:szCs w:val="16"/>
              </w:rPr>
              <w:t>(ТБ), руб.</w:t>
            </w:r>
          </w:p>
        </w:tc>
        <w:tc>
          <w:tcPr>
            <w:tcW w:w="8233" w:type="dxa"/>
            <w:gridSpan w:val="5"/>
            <w:tcBorders>
              <w:top w:val="single" w:sz="4" w:space="0" w:color="000000"/>
              <w:bottom w:val="single" w:sz="4" w:space="0" w:color="000000"/>
              <w:right w:val="single" w:sz="4" w:space="0" w:color="000000"/>
            </w:tcBorders>
          </w:tcPr>
          <w:p>
            <w:pPr>
              <w:pStyle w:val="Normal"/>
              <w:widowControl w:val="false"/>
              <w:tabs>
                <w:tab w:val="clear" w:pos="708"/>
                <w:tab w:val="left" w:pos="5812" w:leader="none"/>
                <w:tab w:val="left" w:pos="10065" w:leader="none"/>
              </w:tabs>
              <w:jc w:val="center"/>
              <w:rPr>
                <w:rFonts w:eastAsia="Arial Unicode MS"/>
                <w:b/>
                <w:sz w:val="16"/>
                <w:szCs w:val="16"/>
              </w:rPr>
            </w:pPr>
            <w:r>
              <w:rPr>
                <w:b/>
                <w:sz w:val="16"/>
                <w:szCs w:val="16"/>
              </w:rPr>
              <w:t>Значение коэффициента</w:t>
            </w:r>
          </w:p>
        </w:tc>
        <w:tc>
          <w:tcPr>
            <w:tcW w:w="15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12" w:leader="none"/>
                <w:tab w:val="left" w:pos="10065" w:leader="none"/>
              </w:tabs>
              <w:jc w:val="center"/>
              <w:rPr>
                <w:rFonts w:eastAsia="Arial Unicode MS"/>
                <w:b/>
                <w:sz w:val="16"/>
                <w:szCs w:val="16"/>
              </w:rPr>
            </w:pPr>
            <w:r>
              <w:rPr>
                <w:b/>
                <w:sz w:val="16"/>
                <w:szCs w:val="16"/>
              </w:rPr>
              <w:t>Размер страховой премии, руб.</w:t>
            </w:r>
          </w:p>
        </w:tc>
      </w:tr>
      <w:tr>
        <w:trPr>
          <w:trHeight w:val="1995" w:hRule="atLeast"/>
          <w:cantSplit w:val="true"/>
        </w:trPr>
        <w:tc>
          <w:tcPr>
            <w:tcW w:w="301" w:type="dxa"/>
            <w:vMerge w:val="continue"/>
            <w:tcBorders>
              <w:top w:val="single" w:sz="4" w:space="0" w:color="000000"/>
              <w:left w:val="single" w:sz="4" w:space="0" w:color="000000"/>
              <w:bottom w:val="single" w:sz="4" w:space="0" w:color="000000"/>
              <w:right w:val="single" w:sz="4" w:space="0" w:color="000000"/>
            </w:tcBorders>
            <w:tcMar>
              <w:top w:w="0" w:type="dxa"/>
              <w:left w:w="5" w:type="dxa"/>
              <w:right w:w="5" w:type="dxa"/>
            </w:tcMar>
          </w:tcPr>
          <w:p>
            <w:pPr>
              <w:pStyle w:val="Normal"/>
              <w:widowControl w:val="false"/>
              <w:tabs>
                <w:tab w:val="clear" w:pos="708"/>
                <w:tab w:val="left" w:pos="5812" w:leader="none"/>
                <w:tab w:val="left" w:pos="10065" w:leader="none"/>
              </w:tabs>
              <w:ind w:right="11"/>
              <w:jc w:val="both"/>
              <w:rPr>
                <w:rFonts w:eastAsia="Arial Unicode MS"/>
                <w:b/>
                <w:sz w:val="20"/>
                <w:szCs w:val="20"/>
              </w:rPr>
            </w:pPr>
            <w:r>
              <w:rPr>
                <w:rFonts w:eastAsia="Arial Unicode MS"/>
                <w:b/>
                <w:sz w:val="20"/>
                <w:szCs w:val="20"/>
              </w:rPr>
            </w:r>
          </w:p>
        </w:tc>
        <w:tc>
          <w:tcPr>
            <w:tcW w:w="1346" w:type="dxa"/>
            <w:vMerge w:val="continue"/>
            <w:tcBorders>
              <w:top w:val="single" w:sz="4" w:space="0" w:color="000000"/>
              <w:left w:val="single" w:sz="4" w:space="0" w:color="000000"/>
              <w:bottom w:val="single" w:sz="4" w:space="0" w:color="000000"/>
              <w:right w:val="single" w:sz="4" w:space="0" w:color="000000"/>
            </w:tcBorders>
            <w:tcMar>
              <w:top w:w="0" w:type="dxa"/>
              <w:left w:w="5" w:type="dxa"/>
              <w:right w:w="5" w:type="dxa"/>
            </w:tcMar>
          </w:tcPr>
          <w:p>
            <w:pPr>
              <w:pStyle w:val="Normal"/>
              <w:widowControl w:val="false"/>
              <w:tabs>
                <w:tab w:val="clear" w:pos="708"/>
                <w:tab w:val="left" w:pos="5812" w:leader="none"/>
                <w:tab w:val="left" w:pos="10065" w:leader="none"/>
              </w:tabs>
              <w:ind w:right="11"/>
              <w:jc w:val="both"/>
              <w:rPr>
                <w:rFonts w:eastAsia="Arial Unicode MS"/>
                <w:b/>
                <w:sz w:val="20"/>
                <w:szCs w:val="20"/>
              </w:rPr>
            </w:pPr>
            <w:r>
              <w:rPr>
                <w:rFonts w:eastAsia="Arial Unicode MS"/>
                <w:b/>
                <w:sz w:val="20"/>
                <w:szCs w:val="20"/>
              </w:rPr>
            </w:r>
          </w:p>
        </w:tc>
        <w:tc>
          <w:tcPr>
            <w:tcW w:w="1222" w:type="dxa"/>
            <w:vMerge w:val="continue"/>
            <w:tcBorders>
              <w:top w:val="single" w:sz="4" w:space="0" w:color="000000"/>
              <w:left w:val="single" w:sz="4" w:space="0" w:color="000000"/>
              <w:bottom w:val="single" w:sz="4" w:space="0" w:color="000000"/>
              <w:right w:val="single" w:sz="4" w:space="0" w:color="000000"/>
            </w:tcBorders>
            <w:tcMar>
              <w:top w:w="0" w:type="dxa"/>
              <w:left w:w="5" w:type="dxa"/>
              <w:right w:w="5" w:type="dxa"/>
            </w:tcMar>
          </w:tcPr>
          <w:p>
            <w:pPr>
              <w:pStyle w:val="Normal"/>
              <w:widowControl w:val="false"/>
              <w:tabs>
                <w:tab w:val="clear" w:pos="708"/>
                <w:tab w:val="left" w:pos="5812" w:leader="none"/>
                <w:tab w:val="left" w:pos="10065" w:leader="none"/>
              </w:tabs>
              <w:ind w:right="11"/>
              <w:jc w:val="both"/>
              <w:rPr>
                <w:rFonts w:eastAsia="Arial Unicode MS"/>
                <w:b/>
                <w:sz w:val="20"/>
                <w:szCs w:val="20"/>
              </w:rPr>
            </w:pPr>
            <w:r>
              <w:rPr>
                <w:rFonts w:eastAsia="Arial Unicode MS"/>
                <w:b/>
                <w:sz w:val="20"/>
                <w:szCs w:val="20"/>
              </w:rPr>
            </w:r>
          </w:p>
        </w:tc>
        <w:tc>
          <w:tcPr>
            <w:tcW w:w="693" w:type="dxa"/>
            <w:vMerge w:val="continue"/>
            <w:tcBorders>
              <w:top w:val="single" w:sz="4" w:space="0" w:color="000000"/>
              <w:left w:val="single" w:sz="4" w:space="0" w:color="000000"/>
              <w:bottom w:val="single" w:sz="4" w:space="0" w:color="000000"/>
              <w:right w:val="single" w:sz="4" w:space="0" w:color="000000"/>
            </w:tcBorders>
            <w:tcMar>
              <w:top w:w="0" w:type="dxa"/>
              <w:left w:w="5" w:type="dxa"/>
              <w:right w:w="5" w:type="dxa"/>
            </w:tcMar>
          </w:tcPr>
          <w:p>
            <w:pPr>
              <w:pStyle w:val="Normal"/>
              <w:widowControl w:val="false"/>
              <w:tabs>
                <w:tab w:val="clear" w:pos="708"/>
                <w:tab w:val="left" w:pos="5812" w:leader="none"/>
                <w:tab w:val="left" w:pos="10065" w:leader="none"/>
              </w:tabs>
              <w:jc w:val="both"/>
              <w:rPr>
                <w:rFonts w:eastAsia="Arial Unicode MS"/>
                <w:b/>
                <w:sz w:val="20"/>
                <w:szCs w:val="20"/>
              </w:rPr>
            </w:pPr>
            <w:r>
              <w:rPr>
                <w:rFonts w:eastAsia="Arial Unicode MS"/>
                <w:b/>
                <w:sz w:val="20"/>
                <w:szCs w:val="20"/>
              </w:rPr>
            </w:r>
          </w:p>
        </w:tc>
        <w:tc>
          <w:tcPr>
            <w:tcW w:w="923" w:type="dxa"/>
            <w:vMerge w:val="continue"/>
            <w:tcBorders>
              <w:top w:val="single" w:sz="4" w:space="0" w:color="000000"/>
              <w:left w:val="single" w:sz="4" w:space="0" w:color="000000"/>
              <w:bottom w:val="single" w:sz="4" w:space="0" w:color="000000"/>
              <w:right w:val="single" w:sz="4" w:space="0" w:color="000000"/>
            </w:tcBorders>
            <w:tcMar>
              <w:top w:w="0" w:type="dxa"/>
              <w:left w:w="5" w:type="dxa"/>
              <w:right w:w="5" w:type="dxa"/>
            </w:tcMar>
          </w:tcPr>
          <w:p>
            <w:pPr>
              <w:pStyle w:val="Normal"/>
              <w:widowControl w:val="false"/>
              <w:tabs>
                <w:tab w:val="clear" w:pos="708"/>
                <w:tab w:val="left" w:pos="5812" w:leader="none"/>
                <w:tab w:val="left" w:pos="10065" w:leader="none"/>
              </w:tabs>
              <w:jc w:val="both"/>
              <w:rPr>
                <w:rFonts w:eastAsia="Arial Unicode MS"/>
                <w:b/>
                <w:sz w:val="20"/>
                <w:szCs w:val="20"/>
              </w:rPr>
            </w:pPr>
            <w:r>
              <w:rPr>
                <w:rFonts w:eastAsia="Arial Unicode MS"/>
                <w:b/>
                <w:sz w:val="20"/>
                <w:szCs w:val="20"/>
              </w:rPr>
            </w:r>
          </w:p>
        </w:tc>
        <w:tc>
          <w:tcPr>
            <w:tcW w:w="1396" w:type="dxa"/>
            <w:tcBorders>
              <w:bottom w:val="single" w:sz="4" w:space="0" w:color="000000"/>
              <w:right w:val="single" w:sz="4" w:space="0" w:color="000000"/>
            </w:tcBorders>
          </w:tcPr>
          <w:p>
            <w:pPr>
              <w:pStyle w:val="Normal"/>
              <w:widowControl w:val="false"/>
              <w:jc w:val="center"/>
              <w:rPr>
                <w:sz w:val="18"/>
                <w:szCs w:val="20"/>
              </w:rPr>
            </w:pPr>
            <w:r>
              <w:rPr>
                <w:sz w:val="18"/>
                <w:szCs w:val="20"/>
              </w:rPr>
              <w:t>Коэффициент</w:t>
            </w:r>
          </w:p>
          <w:p>
            <w:pPr>
              <w:pStyle w:val="Normal"/>
              <w:widowControl w:val="false"/>
              <w:jc w:val="center"/>
              <w:rPr>
                <w:sz w:val="18"/>
                <w:szCs w:val="20"/>
              </w:rPr>
            </w:pPr>
            <w:r>
              <w:rPr>
                <w:sz w:val="18"/>
                <w:szCs w:val="20"/>
              </w:rPr>
              <w:t>страховых</w:t>
            </w:r>
          </w:p>
          <w:p>
            <w:pPr>
              <w:pStyle w:val="Normal"/>
              <w:widowControl w:val="false"/>
              <w:jc w:val="center"/>
              <w:rPr>
                <w:sz w:val="18"/>
                <w:szCs w:val="20"/>
              </w:rPr>
            </w:pPr>
            <w:r>
              <w:rPr>
                <w:sz w:val="18"/>
                <w:szCs w:val="20"/>
              </w:rPr>
              <w:t>тарифов</w:t>
            </w:r>
          </w:p>
          <w:p>
            <w:pPr>
              <w:pStyle w:val="Normal"/>
              <w:widowControl w:val="false"/>
              <w:jc w:val="center"/>
              <w:rPr>
                <w:sz w:val="18"/>
                <w:szCs w:val="20"/>
              </w:rPr>
            </w:pPr>
            <w:r>
              <w:rPr>
                <w:sz w:val="18"/>
                <w:szCs w:val="20"/>
              </w:rPr>
              <w:t>в зависимости</w:t>
            </w:r>
          </w:p>
          <w:p>
            <w:pPr>
              <w:pStyle w:val="Normal"/>
              <w:widowControl w:val="false"/>
              <w:jc w:val="center"/>
              <w:rPr>
                <w:sz w:val="18"/>
                <w:szCs w:val="20"/>
              </w:rPr>
            </w:pPr>
            <w:r>
              <w:rPr>
                <w:sz w:val="18"/>
                <w:szCs w:val="20"/>
              </w:rPr>
              <w:t>от территории</w:t>
            </w:r>
          </w:p>
          <w:p>
            <w:pPr>
              <w:pStyle w:val="Normal"/>
              <w:widowControl w:val="false"/>
              <w:jc w:val="center"/>
              <w:rPr>
                <w:sz w:val="18"/>
                <w:szCs w:val="20"/>
              </w:rPr>
            </w:pPr>
            <w:r>
              <w:rPr>
                <w:sz w:val="18"/>
                <w:szCs w:val="20"/>
              </w:rPr>
              <w:t>преимущественного использования</w:t>
            </w:r>
          </w:p>
          <w:p>
            <w:pPr>
              <w:pStyle w:val="Normal"/>
              <w:widowControl w:val="false"/>
              <w:jc w:val="center"/>
              <w:rPr>
                <w:sz w:val="18"/>
                <w:szCs w:val="20"/>
              </w:rPr>
            </w:pPr>
            <w:r>
              <w:rPr>
                <w:sz w:val="18"/>
                <w:szCs w:val="20"/>
              </w:rPr>
              <w:t>транспортного</w:t>
            </w:r>
          </w:p>
          <w:p>
            <w:pPr>
              <w:pStyle w:val="Normal"/>
              <w:widowControl w:val="false"/>
              <w:jc w:val="center"/>
              <w:rPr>
                <w:sz w:val="18"/>
                <w:szCs w:val="20"/>
              </w:rPr>
            </w:pPr>
            <w:r>
              <w:rPr>
                <w:sz w:val="18"/>
                <w:szCs w:val="20"/>
              </w:rPr>
              <w:t>средства</w:t>
            </w:r>
          </w:p>
          <w:p>
            <w:pPr>
              <w:pStyle w:val="Normal"/>
              <w:widowControl w:val="false"/>
              <w:jc w:val="center"/>
              <w:rPr>
                <w:sz w:val="18"/>
                <w:szCs w:val="20"/>
              </w:rPr>
            </w:pPr>
            <w:r>
              <w:rPr>
                <w:sz w:val="18"/>
                <w:szCs w:val="20"/>
              </w:rPr>
              <w:t>(КТ)</w:t>
            </w:r>
          </w:p>
        </w:tc>
        <w:tc>
          <w:tcPr>
            <w:tcW w:w="2186" w:type="dxa"/>
            <w:tcBorders>
              <w:bottom w:val="single" w:sz="4" w:space="0" w:color="000000"/>
              <w:right w:val="single" w:sz="4" w:space="0" w:color="000000"/>
            </w:tcBorders>
          </w:tcPr>
          <w:p>
            <w:pPr>
              <w:pStyle w:val="Normal"/>
              <w:widowControl w:val="false"/>
              <w:jc w:val="center"/>
              <w:rPr>
                <w:sz w:val="18"/>
                <w:szCs w:val="20"/>
              </w:rPr>
            </w:pPr>
            <w:r>
              <w:rPr>
                <w:sz w:val="18"/>
                <w:szCs w:val="20"/>
              </w:rPr>
              <w:t>Коэффициент</w:t>
            </w:r>
          </w:p>
          <w:p>
            <w:pPr>
              <w:pStyle w:val="Normal"/>
              <w:widowControl w:val="false"/>
              <w:jc w:val="center"/>
              <w:rPr>
                <w:sz w:val="18"/>
                <w:szCs w:val="20"/>
              </w:rPr>
            </w:pPr>
            <w:r>
              <w:rPr>
                <w:sz w:val="18"/>
                <w:szCs w:val="20"/>
              </w:rPr>
              <w:t>страховых тарифов</w:t>
            </w:r>
          </w:p>
          <w:p>
            <w:pPr>
              <w:pStyle w:val="Normal"/>
              <w:widowControl w:val="false"/>
              <w:jc w:val="center"/>
              <w:rPr>
                <w:sz w:val="18"/>
                <w:szCs w:val="20"/>
              </w:rPr>
            </w:pPr>
            <w:r>
              <w:rPr>
                <w:sz w:val="18"/>
                <w:szCs w:val="20"/>
              </w:rPr>
              <w:t>в зависимости</w:t>
            </w:r>
          </w:p>
          <w:p>
            <w:pPr>
              <w:pStyle w:val="Normal"/>
              <w:widowControl w:val="false"/>
              <w:jc w:val="center"/>
              <w:rPr>
                <w:sz w:val="18"/>
                <w:szCs w:val="20"/>
              </w:rPr>
            </w:pPr>
            <w:r>
              <w:rPr>
                <w:sz w:val="18"/>
                <w:szCs w:val="20"/>
              </w:rPr>
              <w:t>от наличия</w:t>
            </w:r>
          </w:p>
          <w:p>
            <w:pPr>
              <w:pStyle w:val="Normal"/>
              <w:widowControl w:val="false"/>
              <w:jc w:val="center"/>
              <w:rPr>
                <w:sz w:val="18"/>
                <w:szCs w:val="20"/>
              </w:rPr>
            </w:pPr>
            <w:r>
              <w:rPr>
                <w:sz w:val="18"/>
                <w:szCs w:val="20"/>
              </w:rPr>
              <w:t>или отсутствия</w:t>
            </w:r>
          </w:p>
          <w:p>
            <w:pPr>
              <w:pStyle w:val="Normal"/>
              <w:widowControl w:val="false"/>
              <w:jc w:val="center"/>
              <w:rPr>
                <w:sz w:val="18"/>
                <w:szCs w:val="20"/>
              </w:rPr>
            </w:pPr>
            <w:r>
              <w:rPr>
                <w:sz w:val="18"/>
                <w:szCs w:val="20"/>
              </w:rPr>
              <w:t>страховых выплат при наступлении</w:t>
            </w:r>
          </w:p>
          <w:p>
            <w:pPr>
              <w:pStyle w:val="Normal"/>
              <w:widowControl w:val="false"/>
              <w:jc w:val="center"/>
              <w:rPr>
                <w:sz w:val="18"/>
                <w:szCs w:val="20"/>
              </w:rPr>
            </w:pPr>
            <w:r>
              <w:rPr>
                <w:sz w:val="18"/>
                <w:szCs w:val="20"/>
              </w:rPr>
              <w:t>страховых случаев, произошедших в период действия предыдущих</w:t>
            </w:r>
          </w:p>
          <w:p>
            <w:pPr>
              <w:pStyle w:val="Normal"/>
              <w:widowControl w:val="false"/>
              <w:jc w:val="center"/>
              <w:rPr>
                <w:sz w:val="18"/>
                <w:szCs w:val="20"/>
              </w:rPr>
            </w:pPr>
            <w:r>
              <w:rPr>
                <w:sz w:val="18"/>
                <w:szCs w:val="20"/>
              </w:rPr>
              <w:t>договора обязательного страхования (КБМ)</w:t>
            </w:r>
          </w:p>
        </w:tc>
        <w:tc>
          <w:tcPr>
            <w:tcW w:w="1500" w:type="dxa"/>
            <w:tcBorders>
              <w:bottom w:val="single" w:sz="4" w:space="0" w:color="000000"/>
              <w:right w:val="single" w:sz="4" w:space="0" w:color="000000"/>
            </w:tcBorders>
          </w:tcPr>
          <w:p>
            <w:pPr>
              <w:pStyle w:val="Normal"/>
              <w:widowControl w:val="false"/>
              <w:jc w:val="center"/>
              <w:rPr>
                <w:sz w:val="18"/>
                <w:szCs w:val="20"/>
              </w:rPr>
            </w:pPr>
            <w:r>
              <w:rPr>
                <w:sz w:val="18"/>
                <w:szCs w:val="20"/>
              </w:rPr>
              <w:t>Коэффициент страховых тарифов в зависимости от наличия сведений о количестве лиц, допущенных к управлению транспортным средством (КО)</w:t>
            </w:r>
          </w:p>
        </w:tc>
        <w:tc>
          <w:tcPr>
            <w:tcW w:w="1773" w:type="dxa"/>
            <w:tcBorders>
              <w:bottom w:val="single" w:sz="4" w:space="0" w:color="000000"/>
              <w:right w:val="single" w:sz="4" w:space="0" w:color="000000"/>
            </w:tcBorders>
          </w:tcPr>
          <w:p>
            <w:pPr>
              <w:pStyle w:val="Normal"/>
              <w:widowControl w:val="false"/>
              <w:jc w:val="center"/>
              <w:rPr>
                <w:sz w:val="18"/>
                <w:szCs w:val="20"/>
              </w:rPr>
            </w:pPr>
            <w:r>
              <w:rPr>
                <w:sz w:val="18"/>
                <w:szCs w:val="20"/>
              </w:rPr>
              <w:t>коэффициент страховых тарифов в зависимости от технических характеристик транспортного средства, в частности мощности двигателя легкового автомобиля (КМ)</w:t>
            </w:r>
          </w:p>
        </w:tc>
        <w:tc>
          <w:tcPr>
            <w:tcW w:w="1378" w:type="dxa"/>
            <w:tcBorders>
              <w:bottom w:val="single" w:sz="4" w:space="0" w:color="000000"/>
              <w:right w:val="single" w:sz="4" w:space="0" w:color="000000"/>
            </w:tcBorders>
          </w:tcPr>
          <w:p>
            <w:pPr>
              <w:pStyle w:val="Normal"/>
              <w:widowControl w:val="false"/>
              <w:tabs>
                <w:tab w:val="clear" w:pos="708"/>
                <w:tab w:val="left" w:pos="5812" w:leader="none"/>
                <w:tab w:val="left" w:pos="10065" w:leader="none"/>
              </w:tabs>
              <w:jc w:val="center"/>
              <w:rPr>
                <w:rFonts w:eastAsia="Arial Unicode MS"/>
                <w:sz w:val="18"/>
                <w:szCs w:val="20"/>
              </w:rPr>
            </w:pPr>
            <w:r>
              <w:rPr>
                <w:sz w:val="18"/>
                <w:szCs w:val="20"/>
              </w:rPr>
              <w:t>коэффициент страховых тарифов в зависимости от периода использования транспортного средства (КС)</w:t>
            </w:r>
          </w:p>
        </w:tc>
        <w:tc>
          <w:tcPr>
            <w:tcW w:w="1566" w:type="dxa"/>
            <w:vMerge w:val="continue"/>
            <w:tcBorders>
              <w:left w:val="single" w:sz="4" w:space="0" w:color="000000"/>
              <w:bottom w:val="single" w:sz="4" w:space="0" w:color="000000"/>
              <w:right w:val="single" w:sz="4" w:space="0" w:color="000000"/>
            </w:tcBorders>
            <w:tcMar>
              <w:top w:w="0" w:type="dxa"/>
              <w:left w:w="5" w:type="dxa"/>
              <w:right w:w="5" w:type="dxa"/>
            </w:tcMar>
          </w:tcPr>
          <w:p>
            <w:pPr>
              <w:pStyle w:val="Normal"/>
              <w:widowControl w:val="false"/>
              <w:tabs>
                <w:tab w:val="clear" w:pos="708"/>
                <w:tab w:val="left" w:pos="5812" w:leader="none"/>
                <w:tab w:val="left" w:pos="10065" w:leader="none"/>
              </w:tabs>
              <w:jc w:val="both"/>
              <w:rPr>
                <w:rFonts w:eastAsia="Arial Unicode MS"/>
                <w:b/>
                <w:sz w:val="20"/>
                <w:szCs w:val="20"/>
              </w:rPr>
            </w:pPr>
            <w:r>
              <w:rPr>
                <w:rFonts w:eastAsia="Arial Unicode MS"/>
                <w:b/>
                <w:sz w:val="20"/>
                <w:szCs w:val="20"/>
              </w:rPr>
            </w:r>
          </w:p>
        </w:tc>
      </w:tr>
      <w:tr>
        <w:trPr>
          <w:trHeight w:val="634" w:hRule="atLeast"/>
          <w:cantSplit w:val="true"/>
        </w:trPr>
        <w:tc>
          <w:tcPr>
            <w:tcW w:w="301" w:type="dxa"/>
            <w:tcBorders>
              <w:top w:val="single" w:sz="4" w:space="0" w:color="000000"/>
              <w:left w:val="single" w:sz="4" w:space="0" w:color="000000"/>
              <w:bottom w:val="single" w:sz="4" w:space="0" w:color="000000"/>
              <w:right w:val="single" w:sz="4" w:space="0" w:color="000000"/>
            </w:tcBorders>
            <w:tcMar>
              <w:top w:w="0" w:type="dxa"/>
              <w:left w:w="5" w:type="dxa"/>
              <w:right w:w="5" w:type="dxa"/>
            </w:tcMar>
          </w:tcPr>
          <w:p>
            <w:pPr>
              <w:pStyle w:val="Normal"/>
              <w:widowControl w:val="false"/>
              <w:tabs>
                <w:tab w:val="clear" w:pos="708"/>
                <w:tab w:val="left" w:pos="5812" w:leader="none"/>
                <w:tab w:val="left" w:pos="10065" w:leader="none"/>
              </w:tabs>
              <w:ind w:right="11"/>
              <w:jc w:val="center"/>
              <w:rPr>
                <w:rFonts w:eastAsia="Arial Unicode MS"/>
                <w:sz w:val="20"/>
                <w:szCs w:val="20"/>
              </w:rPr>
            </w:pPr>
            <w:r>
              <w:rPr>
                <w:rFonts w:eastAsia="Arial Unicode MS"/>
                <w:sz w:val="20"/>
                <w:szCs w:val="20"/>
              </w:rPr>
              <w:t>1.</w:t>
            </w:r>
          </w:p>
        </w:tc>
        <w:tc>
          <w:tcPr>
            <w:tcW w:w="1346" w:type="dxa"/>
            <w:tcBorders>
              <w:top w:val="single" w:sz="4" w:space="0" w:color="000000"/>
              <w:left w:val="single" w:sz="4" w:space="0" w:color="000000"/>
              <w:bottom w:val="single" w:sz="4" w:space="0" w:color="000000"/>
            </w:tcBorders>
            <w:shd w:color="auto" w:fill="FFFFFF" w:val="clear"/>
            <w:tcMar>
              <w:top w:w="0" w:type="dxa"/>
              <w:left w:w="5" w:type="dxa"/>
              <w:right w:w="5" w:type="dxa"/>
            </w:tcMar>
            <w:vAlign w:val="center"/>
          </w:tcPr>
          <w:p>
            <w:pPr>
              <w:pStyle w:val="Normal"/>
              <w:spacing w:lineRule="auto" w:line="276"/>
              <w:jc w:val="center"/>
              <w:rPr>
                <w:color w:val="000000"/>
                <w:sz w:val="18"/>
                <w:szCs w:val="18"/>
                <w:lang w:val="en-US" w:eastAsia="en-US"/>
              </w:rPr>
            </w:pPr>
            <w:r>
              <w:rPr>
                <w:color w:val="000000"/>
                <w:kern w:val="2"/>
                <w:sz w:val="18"/>
                <w:szCs w:val="18"/>
                <w:lang w:val="en-US" w:eastAsia="en-US"/>
              </w:rPr>
              <w:t>ГАЗель NEXT</w:t>
            </w:r>
          </w:p>
        </w:tc>
        <w:tc>
          <w:tcPr>
            <w:tcW w:w="1222" w:type="dxa"/>
            <w:tcBorders>
              <w:top w:val="single" w:sz="4" w:space="0" w:color="000000"/>
              <w:left w:val="single" w:sz="4" w:space="0" w:color="000000"/>
              <w:bottom w:val="single" w:sz="4" w:space="0" w:color="000000"/>
            </w:tcBorders>
            <w:shd w:color="auto" w:fill="FFFFFF" w:val="clear"/>
            <w:tcMar>
              <w:top w:w="0" w:type="dxa"/>
              <w:left w:w="5" w:type="dxa"/>
              <w:right w:w="5" w:type="dxa"/>
            </w:tcMar>
            <w:vAlign w:val="center"/>
          </w:tcPr>
          <w:p>
            <w:pPr>
              <w:pStyle w:val="NormalWeb"/>
              <w:spacing w:lineRule="auto" w:line="276" w:before="0" w:after="0"/>
              <w:jc w:val="center"/>
              <w:rPr>
                <w:lang w:eastAsia="en-US"/>
              </w:rPr>
            </w:pPr>
            <w:r>
              <w:rPr>
                <w:color w:val="000000"/>
                <w:sz w:val="15"/>
                <w:szCs w:val="15"/>
                <w:lang w:val="en-US" w:eastAsia="en-US"/>
              </w:rPr>
              <w:t>X96A65R52T1046539</w:t>
            </w:r>
          </w:p>
        </w:tc>
        <w:tc>
          <w:tcPr>
            <w:tcW w:w="693" w:type="dxa"/>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pPr>
              <w:pStyle w:val="Normal"/>
              <w:widowControl w:val="false"/>
              <w:tabs>
                <w:tab w:val="clear" w:pos="708"/>
                <w:tab w:val="left" w:pos="5812" w:leader="none"/>
                <w:tab w:val="left" w:pos="10065" w:leader="none"/>
              </w:tabs>
              <w:ind w:left="-87" w:right="-156"/>
              <w:jc w:val="center"/>
              <w:textAlignment w:val="baseline"/>
              <w:rPr>
                <w:color w:val="000000"/>
                <w:kern w:val="2"/>
                <w:sz w:val="18"/>
                <w:szCs w:val="18"/>
              </w:rPr>
            </w:pPr>
            <w:r>
              <w:rPr>
                <w:color w:val="000000"/>
                <w:kern w:val="2"/>
                <w:sz w:val="18"/>
                <w:szCs w:val="18"/>
              </w:rPr>
              <w:t>-</w:t>
            </w:r>
          </w:p>
        </w:tc>
        <w:tc>
          <w:tcPr>
            <w:tcW w:w="923" w:type="dxa"/>
            <w:tcBorders>
              <w:top w:val="single" w:sz="4" w:space="0" w:color="000000"/>
              <w:left w:val="single" w:sz="4" w:space="0" w:color="000000"/>
              <w:bottom w:val="single" w:sz="4" w:space="0" w:color="000000"/>
              <w:right w:val="single" w:sz="4" w:space="0" w:color="000000"/>
            </w:tcBorders>
            <w:tcMar>
              <w:top w:w="0" w:type="dxa"/>
              <w:left w:w="5" w:type="dxa"/>
              <w:right w:w="5" w:type="dxa"/>
            </w:tcMar>
          </w:tcPr>
          <w:p>
            <w:pPr>
              <w:pStyle w:val="Normal"/>
              <w:widowControl w:val="false"/>
              <w:tabs>
                <w:tab w:val="clear" w:pos="708"/>
                <w:tab w:val="left" w:pos="5812" w:leader="none"/>
                <w:tab w:val="left" w:pos="10065" w:leader="none"/>
              </w:tabs>
              <w:jc w:val="both"/>
              <w:rPr>
                <w:rFonts w:eastAsia="Arial Unicode MS"/>
                <w:b/>
                <w:sz w:val="20"/>
                <w:szCs w:val="20"/>
              </w:rPr>
            </w:pPr>
            <w:r>
              <w:rPr>
                <w:rFonts w:eastAsia="Arial Unicode MS"/>
                <w:b/>
                <w:sz w:val="20"/>
                <w:szCs w:val="20"/>
              </w:rPr>
            </w:r>
          </w:p>
        </w:tc>
        <w:tc>
          <w:tcPr>
            <w:tcW w:w="1396" w:type="dxa"/>
            <w:tcBorders>
              <w:bottom w:val="single" w:sz="4" w:space="0" w:color="000000"/>
              <w:right w:val="single" w:sz="4" w:space="0" w:color="000000"/>
            </w:tcBorders>
          </w:tcPr>
          <w:p>
            <w:pPr>
              <w:pStyle w:val="Normal"/>
              <w:widowControl w:val="false"/>
              <w:tabs>
                <w:tab w:val="clear" w:pos="708"/>
                <w:tab w:val="left" w:pos="5812" w:leader="none"/>
                <w:tab w:val="left" w:pos="10065" w:leader="none"/>
              </w:tabs>
              <w:jc w:val="center"/>
              <w:rPr>
                <w:b/>
                <w:sz w:val="20"/>
                <w:szCs w:val="20"/>
              </w:rPr>
            </w:pPr>
            <w:r>
              <w:rPr>
                <w:b/>
                <w:sz w:val="20"/>
                <w:szCs w:val="20"/>
              </w:rPr>
            </w:r>
          </w:p>
        </w:tc>
        <w:tc>
          <w:tcPr>
            <w:tcW w:w="2186" w:type="dxa"/>
            <w:tcBorders>
              <w:bottom w:val="single" w:sz="4" w:space="0" w:color="000000"/>
              <w:right w:val="single" w:sz="4" w:space="0" w:color="000000"/>
            </w:tcBorders>
          </w:tcPr>
          <w:p>
            <w:pPr>
              <w:pStyle w:val="Normal"/>
              <w:widowControl w:val="false"/>
              <w:tabs>
                <w:tab w:val="clear" w:pos="708"/>
                <w:tab w:val="left" w:pos="5812" w:leader="none"/>
                <w:tab w:val="left" w:pos="10065" w:leader="none"/>
              </w:tabs>
              <w:jc w:val="center"/>
              <w:rPr>
                <w:b/>
                <w:sz w:val="20"/>
                <w:szCs w:val="20"/>
              </w:rPr>
            </w:pPr>
            <w:r>
              <w:rPr>
                <w:b/>
                <w:sz w:val="20"/>
                <w:szCs w:val="20"/>
              </w:rPr>
            </w:r>
          </w:p>
        </w:tc>
        <w:tc>
          <w:tcPr>
            <w:tcW w:w="1500" w:type="dxa"/>
            <w:tcBorders>
              <w:bottom w:val="single" w:sz="4" w:space="0" w:color="000000"/>
              <w:right w:val="single" w:sz="4" w:space="0" w:color="000000"/>
            </w:tcBorders>
          </w:tcPr>
          <w:p>
            <w:pPr>
              <w:pStyle w:val="Normal"/>
              <w:widowControl w:val="false"/>
              <w:tabs>
                <w:tab w:val="clear" w:pos="708"/>
                <w:tab w:val="left" w:pos="5812" w:leader="none"/>
                <w:tab w:val="left" w:pos="10065" w:leader="none"/>
              </w:tabs>
              <w:jc w:val="center"/>
              <w:rPr>
                <w:b/>
                <w:sz w:val="20"/>
                <w:szCs w:val="20"/>
              </w:rPr>
            </w:pPr>
            <w:r>
              <w:rPr>
                <w:b/>
                <w:sz w:val="20"/>
                <w:szCs w:val="20"/>
              </w:rPr>
            </w:r>
          </w:p>
        </w:tc>
        <w:tc>
          <w:tcPr>
            <w:tcW w:w="1773" w:type="dxa"/>
            <w:tcBorders>
              <w:bottom w:val="single" w:sz="4" w:space="0" w:color="000000"/>
              <w:right w:val="single" w:sz="4" w:space="0" w:color="000000"/>
            </w:tcBorders>
          </w:tcPr>
          <w:p>
            <w:pPr>
              <w:pStyle w:val="Normal"/>
              <w:widowControl w:val="false"/>
              <w:tabs>
                <w:tab w:val="clear" w:pos="708"/>
                <w:tab w:val="left" w:pos="5812" w:leader="none"/>
                <w:tab w:val="left" w:pos="10065" w:leader="none"/>
              </w:tabs>
              <w:jc w:val="center"/>
              <w:rPr>
                <w:b/>
                <w:sz w:val="20"/>
                <w:szCs w:val="20"/>
              </w:rPr>
            </w:pPr>
            <w:r>
              <w:rPr>
                <w:b/>
                <w:sz w:val="20"/>
                <w:szCs w:val="20"/>
              </w:rPr>
            </w:r>
          </w:p>
        </w:tc>
        <w:tc>
          <w:tcPr>
            <w:tcW w:w="1378" w:type="dxa"/>
            <w:tcBorders>
              <w:bottom w:val="single" w:sz="4" w:space="0" w:color="000000"/>
              <w:right w:val="single" w:sz="4" w:space="0" w:color="000000"/>
            </w:tcBorders>
          </w:tcPr>
          <w:p>
            <w:pPr>
              <w:pStyle w:val="Normal"/>
              <w:widowControl w:val="false"/>
              <w:tabs>
                <w:tab w:val="clear" w:pos="708"/>
                <w:tab w:val="left" w:pos="5812" w:leader="none"/>
                <w:tab w:val="left" w:pos="10065" w:leader="none"/>
              </w:tabs>
              <w:jc w:val="center"/>
              <w:rPr>
                <w:b/>
                <w:sz w:val="20"/>
                <w:szCs w:val="20"/>
              </w:rPr>
            </w:pPr>
            <w:r>
              <w:rPr>
                <w:b/>
                <w:sz w:val="20"/>
                <w:szCs w:val="20"/>
              </w:rPr>
            </w:r>
          </w:p>
        </w:tc>
        <w:tc>
          <w:tcPr>
            <w:tcW w:w="1566" w:type="dxa"/>
            <w:tcBorders>
              <w:top w:val="single" w:sz="4" w:space="0" w:color="000000"/>
              <w:left w:val="single" w:sz="4" w:space="0" w:color="000000"/>
              <w:bottom w:val="single" w:sz="4" w:space="0" w:color="000000"/>
              <w:right w:val="single" w:sz="4" w:space="0" w:color="000000"/>
            </w:tcBorders>
            <w:tcMar>
              <w:top w:w="0" w:type="dxa"/>
              <w:left w:w="5" w:type="dxa"/>
              <w:right w:w="5" w:type="dxa"/>
            </w:tcMar>
          </w:tcPr>
          <w:p>
            <w:pPr>
              <w:pStyle w:val="Normal"/>
              <w:widowControl w:val="false"/>
              <w:tabs>
                <w:tab w:val="clear" w:pos="708"/>
                <w:tab w:val="left" w:pos="5812" w:leader="none"/>
                <w:tab w:val="left" w:pos="10065" w:leader="none"/>
              </w:tabs>
              <w:jc w:val="both"/>
              <w:rPr>
                <w:rFonts w:eastAsia="Arial Unicode MS"/>
                <w:b/>
                <w:sz w:val="20"/>
                <w:szCs w:val="20"/>
              </w:rPr>
            </w:pPr>
            <w:r>
              <w:rPr>
                <w:rFonts w:eastAsia="Arial Unicode MS"/>
                <w:b/>
                <w:sz w:val="20"/>
                <w:szCs w:val="20"/>
              </w:rPr>
            </w:r>
          </w:p>
        </w:tc>
      </w:tr>
    </w:tbl>
    <w:p>
      <w:pPr>
        <w:pStyle w:val="Normal"/>
        <w:rPr/>
      </w:pPr>
      <w:r>
        <w:rPr/>
      </w:r>
    </w:p>
    <w:p>
      <w:pPr>
        <w:pStyle w:val="Normal"/>
        <w:rPr/>
      </w:pPr>
      <w:r>
        <w:rPr/>
      </w:r>
    </w:p>
    <w:p>
      <w:pPr>
        <w:pStyle w:val="Normal"/>
        <w:rPr/>
      </w:pPr>
      <w:r>
        <w:rPr/>
      </w:r>
    </w:p>
    <w:tbl>
      <w:tblPr>
        <w:tblpPr w:vertAnchor="text" w:horzAnchor="margin" w:tblpXSpec="center" w:leftFromText="180" w:rightFromText="180" w:tblpY="105"/>
        <w:tblW w:w="1077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236"/>
        <w:gridCol w:w="4536"/>
      </w:tblGrid>
      <w:tr>
        <w:trPr/>
        <w:tc>
          <w:tcPr>
            <w:tcW w:w="6236" w:type="dxa"/>
            <w:tcBorders/>
            <w:shd w:color="auto" w:fill="auto" w:val="clear"/>
            <w:vAlign w:val="center"/>
          </w:tcPr>
          <w:p>
            <w:pPr>
              <w:pStyle w:val="Normal"/>
              <w:snapToGrid w:val="false"/>
              <w:rPr>
                <w:b/>
                <w:bCs/>
              </w:rPr>
            </w:pPr>
            <w:bookmarkStart w:id="1" w:name="_GoBack"/>
            <w:bookmarkEnd w:id="1"/>
            <w:r>
              <w:rPr>
                <w:spacing w:val="5"/>
              </w:rPr>
              <w:t>Страховщик</w:t>
            </w:r>
          </w:p>
          <w:p>
            <w:pPr>
              <w:pStyle w:val="Normal"/>
              <w:snapToGrid w:val="false"/>
              <w:ind w:left="-533"/>
              <w:rPr/>
            </w:pPr>
            <w:r>
              <w:rPr/>
            </w:r>
          </w:p>
          <w:p>
            <w:pPr>
              <w:pStyle w:val="Normal"/>
              <w:snapToGrid w:val="false"/>
              <w:rPr/>
            </w:pPr>
            <w:r>
              <w:rPr/>
              <w:t>_________________/___________</w:t>
            </w:r>
          </w:p>
        </w:tc>
        <w:tc>
          <w:tcPr>
            <w:tcW w:w="4536" w:type="dxa"/>
            <w:tcBorders/>
            <w:shd w:color="auto" w:fill="auto" w:val="clear"/>
            <w:vAlign w:val="center"/>
          </w:tcPr>
          <w:p>
            <w:pPr>
              <w:pStyle w:val="Normal"/>
              <w:snapToGrid w:val="false"/>
              <w:rPr>
                <w:spacing w:val="5"/>
              </w:rPr>
            </w:pPr>
            <w:r>
              <w:rPr>
                <w:spacing w:val="5"/>
              </w:rPr>
              <w:t>Страхователь</w:t>
            </w:r>
          </w:p>
          <w:p>
            <w:pPr>
              <w:pStyle w:val="Normal"/>
              <w:snapToGrid w:val="false"/>
              <w:rPr/>
            </w:pPr>
            <w:r>
              <w:rPr/>
            </w:r>
          </w:p>
          <w:p>
            <w:pPr>
              <w:pStyle w:val="Normal"/>
              <w:snapToGrid w:val="false"/>
              <w:ind w:right="-816"/>
              <w:rPr/>
            </w:pPr>
            <w:r>
              <w:rPr/>
              <w:t>__________________ /___________________/</w:t>
            </w:r>
          </w:p>
        </w:tc>
      </w:tr>
      <w:tr>
        <w:trPr/>
        <w:tc>
          <w:tcPr>
            <w:tcW w:w="6236" w:type="dxa"/>
            <w:tcBorders/>
            <w:shd w:color="auto" w:fill="auto" w:val="clear"/>
            <w:vAlign w:val="center"/>
          </w:tcPr>
          <w:p>
            <w:pPr>
              <w:pStyle w:val="Normal"/>
              <w:snapToGrid w:val="false"/>
              <w:rPr/>
            </w:pPr>
            <w:r>
              <w:rPr/>
              <w:t>М.П.</w:t>
            </w:r>
          </w:p>
        </w:tc>
        <w:tc>
          <w:tcPr>
            <w:tcW w:w="4536" w:type="dxa"/>
            <w:tcBorders/>
            <w:shd w:color="auto" w:fill="auto" w:val="clear"/>
            <w:vAlign w:val="center"/>
          </w:tcPr>
          <w:p>
            <w:pPr>
              <w:pStyle w:val="Normal"/>
              <w:snapToGrid w:val="false"/>
              <w:rPr/>
            </w:pPr>
            <w:r>
              <w:rPr/>
              <w:t>М.П.</w:t>
            </w:r>
          </w:p>
        </w:tc>
      </w:tr>
    </w:tbl>
    <w:p>
      <w:pPr>
        <w:pStyle w:val="Normal"/>
        <w:rPr/>
      </w:pPr>
      <w:r>
        <w:rPr/>
      </w:r>
    </w:p>
    <w:p>
      <w:pPr>
        <w:pStyle w:val="Normal"/>
        <w:rPr/>
      </w:pPr>
      <w:r>
        <w:rPr/>
      </w:r>
    </w:p>
    <w:p>
      <w:pPr>
        <w:pStyle w:val="Normal"/>
        <w:rPr/>
      </w:pPr>
      <w:r>
        <w:rPr/>
      </w:r>
    </w:p>
    <w:p>
      <w:pPr>
        <w:pStyle w:val="Normal"/>
        <w:rPr/>
      </w:pPr>
      <w:r>
        <w:rPr/>
      </w:r>
    </w:p>
    <w:sectPr>
      <w:headerReference w:type="default" r:id="rId9"/>
      <w:headerReference w:type="first" r:id="rId10"/>
      <w:footerReference w:type="default" r:id="rId11"/>
      <w:footerReference w:type="first" r:id="rId12"/>
      <w:type w:val="nextPage"/>
      <w:pgSz w:orient="landscape" w:w="16838" w:h="11906"/>
      <w:pgMar w:left="1418" w:right="1134" w:gutter="0" w:header="426" w:top="849" w:footer="0" w:bottom="849"/>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Tahoma">
    <w:charset w:val="01"/>
    <w:family w:val="roman"/>
    <w:pitch w:val="variable"/>
  </w:font>
  <w:font w:name="Open Sans">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70528031"/>
    </w:sdtPr>
    <w:sdtContent>
      <w:p>
        <w:pPr>
          <w:pStyle w:val="Footer"/>
          <w:jc w:val="center"/>
          <w:rPr/>
        </w:pPr>
        <w:r>
          <w:rPr/>
          <w:fldChar w:fldCharType="begin"/>
        </w:r>
        <w:r>
          <w:rPr/>
          <w:instrText xml:space="preserve"> PAGE </w:instrText>
        </w:r>
        <w:r>
          <w:rPr/>
          <w:fldChar w:fldCharType="separate"/>
        </w:r>
        <w:r>
          <w:rPr/>
          <w:t>10</w:t>
        </w:r>
        <w:r>
          <w:rPr/>
          <w:fldChar w:fldCharType="end"/>
        </w:r>
      </w:p>
      <w:p>
        <w:pPr>
          <w:pStyle w:val="Footer"/>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17965894"/>
    </w:sdtPr>
    <w:sdtContent>
      <w:p>
        <w:pPr>
          <w:pStyle w:val="Footer"/>
          <w:jc w:val="center"/>
          <w:rPr/>
        </w:pPr>
        <w:r>
          <w:rPr/>
          <w:fldChar w:fldCharType="begin"/>
        </w:r>
        <w:r>
          <w:rPr/>
          <w:instrText xml:space="preserve"> PAGE </w:instrText>
        </w:r>
        <w:r>
          <w:rPr/>
          <w:fldChar w:fldCharType="separate"/>
        </w:r>
        <w:r>
          <w:rPr/>
          <w:t>11</w:t>
        </w:r>
        <w:r>
          <w:rPr/>
          <w:fldChar w:fldCharType="end"/>
        </w:r>
      </w:p>
      <w:p>
        <w:pPr>
          <w:pStyle w:val="Footer"/>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17965894"/>
    </w:sdtPr>
    <w:sdtContent>
      <w:p>
        <w:pPr>
          <w:pStyle w:val="Footer"/>
          <w:jc w:val="center"/>
          <w:rPr/>
        </w:pPr>
        <w:r>
          <w:rPr/>
          <w:fldChar w:fldCharType="begin"/>
        </w:r>
        <w:r>
          <w:rPr/>
          <w:instrText xml:space="preserve"> PAGE </w:instrText>
        </w:r>
        <w:r>
          <w:rPr/>
          <w:fldChar w:fldCharType="separate"/>
        </w:r>
        <w:r>
          <w:rPr/>
          <w:t>12</w:t>
        </w:r>
        <w:r>
          <w:rPr/>
          <w:fldChar w:fldCharType="end"/>
        </w:r>
      </w:p>
      <w:p>
        <w:pPr>
          <w:pStyle w:val="Footer"/>
          <w:rPr/>
        </w:pPr>
        <w:r>
          <w:rPr/>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a733d"/>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Heading1">
    <w:name w:val="Heading 1"/>
    <w:basedOn w:val="Normal"/>
    <w:next w:val="Normal"/>
    <w:link w:val="1"/>
    <w:uiPriority w:val="9"/>
    <w:qFormat/>
    <w:rsid w:val="005b00d8"/>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character" w:styleId="DefaultParagraphFont" w:default="1">
    <w:name w:val="Default Paragraph Font"/>
    <w:uiPriority w:val="1"/>
    <w:semiHidden/>
    <w:unhideWhenUsed/>
    <w:qFormat/>
    <w:rPr/>
  </w:style>
  <w:style w:type="character" w:styleId="2" w:customStyle="1">
    <w:name w:val="Основной текст 2 Знак"/>
    <w:basedOn w:val="DefaultParagraphFont"/>
    <w:link w:val="BodyText2"/>
    <w:uiPriority w:val="99"/>
    <w:qFormat/>
    <w:rsid w:val="009a733d"/>
    <w:rPr>
      <w:rFonts w:ascii="Times New Roman" w:hAnsi="Times New Roman" w:eastAsia="Times New Roman" w:cs="Times New Roman"/>
      <w:sz w:val="24"/>
      <w:szCs w:val="24"/>
    </w:rPr>
  </w:style>
  <w:style w:type="character" w:styleId="ConsPlusNormal" w:customStyle="1">
    <w:name w:val="ConsPlusNormal Знак"/>
    <w:link w:val="ConsPlusNormal1"/>
    <w:qFormat/>
    <w:locked/>
    <w:rsid w:val="009a733d"/>
    <w:rPr>
      <w:rFonts w:ascii="Arial" w:hAnsi="Arial" w:eastAsia="Calibri" w:cs="Times New Roman"/>
      <w:lang w:eastAsia="ru-RU"/>
    </w:rPr>
  </w:style>
  <w:style w:type="character" w:styleId="Style13" w:customStyle="1">
    <w:name w:val="Нижний колонтитул Знак"/>
    <w:basedOn w:val="DefaultParagraphFont"/>
    <w:uiPriority w:val="99"/>
    <w:qFormat/>
    <w:rsid w:val="009a733d"/>
    <w:rPr>
      <w:rFonts w:ascii="Times New Roman" w:hAnsi="Times New Roman" w:eastAsia="Times New Roman" w:cs="Times New Roman"/>
      <w:sz w:val="24"/>
      <w:szCs w:val="24"/>
    </w:rPr>
  </w:style>
  <w:style w:type="character" w:styleId="Style14" w:customStyle="1">
    <w:name w:val="Верхний колонтитул Знак"/>
    <w:basedOn w:val="DefaultParagraphFont"/>
    <w:qFormat/>
    <w:rsid w:val="004f60e1"/>
    <w:rPr>
      <w:rFonts w:ascii="Times New Roman" w:hAnsi="Times New Roman" w:eastAsia="Times New Roman" w:cs="Times New Roman"/>
      <w:sz w:val="24"/>
      <w:szCs w:val="24"/>
      <w:lang w:eastAsia="ru-RU"/>
    </w:rPr>
  </w:style>
  <w:style w:type="character" w:styleId="Style15" w:customStyle="1">
    <w:name w:val="Текст выноски Знак"/>
    <w:basedOn w:val="DefaultParagraphFont"/>
    <w:link w:val="BalloonText"/>
    <w:uiPriority w:val="99"/>
    <w:semiHidden/>
    <w:qFormat/>
    <w:rsid w:val="003e43ac"/>
    <w:rPr>
      <w:rFonts w:ascii="Tahoma" w:hAnsi="Tahoma" w:eastAsia="Times New Roman" w:cs="Tahoma"/>
      <w:sz w:val="16"/>
      <w:szCs w:val="16"/>
      <w:lang w:eastAsia="ru-RU"/>
    </w:rPr>
  </w:style>
  <w:style w:type="character" w:styleId="Letter-blockquotename" w:customStyle="1">
    <w:name w:val="letter-blockquote__name"/>
    <w:qFormat/>
    <w:rsid w:val="00ed79f0"/>
    <w:rPr/>
  </w:style>
  <w:style w:type="character" w:styleId="Hyperlink">
    <w:name w:val="Hyperlink"/>
    <w:basedOn w:val="DefaultParagraphFont"/>
    <w:uiPriority w:val="99"/>
    <w:unhideWhenUsed/>
    <w:rsid w:val="003a401e"/>
    <w:rPr>
      <w:color w:themeColor="hyperlink" w:val="0000FF"/>
      <w:u w:val="single"/>
    </w:rPr>
  </w:style>
  <w:style w:type="character" w:styleId="1" w:customStyle="1">
    <w:name w:val="Заголовок 1 Знак"/>
    <w:basedOn w:val="DefaultParagraphFont"/>
    <w:uiPriority w:val="9"/>
    <w:qFormat/>
    <w:rsid w:val="005b00d8"/>
    <w:rPr>
      <w:rFonts w:ascii="Cambria" w:hAnsi="Cambria" w:eastAsia="" w:cs="" w:asciiTheme="majorHAnsi" w:cstheme="majorBidi" w:eastAsiaTheme="majorEastAsia" w:hAnsiTheme="majorHAnsi"/>
      <w:b/>
      <w:bCs/>
      <w:color w:themeColor="accent1" w:themeShade="bf" w:val="365F91"/>
      <w:sz w:val="28"/>
      <w:szCs w:val="28"/>
      <w:lang w:eastAsia="ru-RU"/>
    </w:rPr>
  </w:style>
  <w:style w:type="character" w:styleId="3" w:customStyle="1">
    <w:name w:val="Верхний колонтитул Знак3"/>
    <w:basedOn w:val="DefaultParagraphFont"/>
    <w:uiPriority w:val="99"/>
    <w:qFormat/>
    <w:rsid w:val="00d50456"/>
    <w:rPr>
      <w:rFonts w:ascii="Times New Roman" w:hAnsi="Times New Roman" w:eastAsia="Times New Roman" w:cs="Times New Roman"/>
      <w:bCs/>
      <w:szCs w:val="26"/>
      <w:lang w:eastAsia="ru-RU"/>
    </w:rPr>
  </w:style>
  <w:style w:type="paragraph" w:styleId="Style16">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BodyText2">
    <w:name w:val="Body Text 2"/>
    <w:basedOn w:val="Normal"/>
    <w:link w:val="2"/>
    <w:uiPriority w:val="99"/>
    <w:qFormat/>
    <w:rsid w:val="009a733d"/>
    <w:pPr>
      <w:spacing w:lineRule="auto" w:line="480" w:before="0" w:after="120"/>
    </w:pPr>
    <w:rPr/>
  </w:style>
  <w:style w:type="paragraph" w:styleId="ListParagraph">
    <w:name w:val="List Paragraph"/>
    <w:basedOn w:val="Normal"/>
    <w:uiPriority w:val="34"/>
    <w:qFormat/>
    <w:rsid w:val="009a733d"/>
    <w:pPr>
      <w:suppressAutoHyphens w:val="true"/>
      <w:ind w:left="720"/>
    </w:pPr>
    <w:rPr>
      <w:rFonts w:cs="Calibri"/>
      <w:lang w:eastAsia="ar-SA"/>
    </w:rPr>
  </w:style>
  <w:style w:type="paragraph" w:styleId="ConsPlusNormal1" w:customStyle="1">
    <w:name w:val="ConsPlusNormal"/>
    <w:link w:val="ConsPlusNormal"/>
    <w:qFormat/>
    <w:rsid w:val="009a733d"/>
    <w:pPr>
      <w:widowControl w:val="false"/>
      <w:bidi w:val="0"/>
      <w:spacing w:lineRule="auto" w:line="240" w:before="0" w:after="0"/>
      <w:ind w:firstLine="720"/>
      <w:jc w:val="left"/>
    </w:pPr>
    <w:rPr>
      <w:rFonts w:ascii="Arial" w:hAnsi="Arial" w:eastAsia="Calibri" w:cs="Times New Roman" w:eastAsiaTheme="minorHAnsi"/>
      <w:color w:val="auto"/>
      <w:kern w:val="0"/>
      <w:sz w:val="22"/>
      <w:szCs w:val="22"/>
      <w:lang w:eastAsia="ru-RU" w:val="ru-RU" w:bidi="ar-SA"/>
    </w:rPr>
  </w:style>
  <w:style w:type="paragraph" w:styleId="Standard" w:customStyle="1">
    <w:name w:val="Standard"/>
    <w:qFormat/>
    <w:rsid w:val="009a733d"/>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2"/>
      <w:sz w:val="24"/>
      <w:szCs w:val="24"/>
      <w:lang w:eastAsia="ru-RU" w:bidi="hi-IN" w:val="ru-RU"/>
    </w:rPr>
  </w:style>
  <w:style w:type="paragraph" w:styleId="Style18">
    <w:name w:val="Колонтитул"/>
    <w:basedOn w:val="Normal"/>
    <w:qFormat/>
    <w:pPr/>
    <w:rPr/>
  </w:style>
  <w:style w:type="paragraph" w:styleId="Footer">
    <w:name w:val="Footer"/>
    <w:basedOn w:val="Normal"/>
    <w:link w:val="Style13"/>
    <w:uiPriority w:val="99"/>
    <w:unhideWhenUsed/>
    <w:rsid w:val="009a733d"/>
    <w:pPr>
      <w:tabs>
        <w:tab w:val="clear" w:pos="708"/>
        <w:tab w:val="center" w:pos="4677" w:leader="none"/>
        <w:tab w:val="right" w:pos="9355" w:leader="none"/>
      </w:tabs>
      <w:jc w:val="both"/>
    </w:pPr>
    <w:rPr/>
  </w:style>
  <w:style w:type="paragraph" w:styleId="Header">
    <w:name w:val="Header"/>
    <w:basedOn w:val="Normal"/>
    <w:link w:val="Style14"/>
    <w:rsid w:val="004f60e1"/>
    <w:pPr>
      <w:tabs>
        <w:tab w:val="clear" w:pos="708"/>
        <w:tab w:val="center" w:pos="4677" w:leader="none"/>
        <w:tab w:val="right" w:pos="9355" w:leader="none"/>
      </w:tabs>
    </w:pPr>
    <w:rPr/>
  </w:style>
  <w:style w:type="paragraph" w:styleId="21" w:customStyle="1">
    <w:name w:val="Обычный2"/>
    <w:qFormat/>
    <w:rsid w:val="007617fb"/>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Style19" w:customStyle="1">
    <w:name w:val="Содержимое таблицы"/>
    <w:basedOn w:val="Normal"/>
    <w:qFormat/>
    <w:rsid w:val="007617fb"/>
    <w:pPr>
      <w:suppressLineNumbers/>
    </w:pPr>
    <w:rPr>
      <w:rFonts w:cs="Calibri"/>
      <w:lang w:eastAsia="zh-CN"/>
    </w:rPr>
  </w:style>
  <w:style w:type="paragraph" w:styleId="11" w:customStyle="1">
    <w:name w:val="Без интервала1"/>
    <w:uiPriority w:val="99"/>
    <w:qFormat/>
    <w:rsid w:val="003f6b96"/>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eastAsia="ru-RU" w:val="ru-RU" w:bidi="ar-SA"/>
    </w:rPr>
  </w:style>
  <w:style w:type="paragraph" w:styleId="BalloonText">
    <w:name w:val="Balloon Text"/>
    <w:basedOn w:val="Normal"/>
    <w:link w:val="Style15"/>
    <w:uiPriority w:val="99"/>
    <w:semiHidden/>
    <w:unhideWhenUsed/>
    <w:qFormat/>
    <w:rsid w:val="003e43ac"/>
    <w:pPr/>
    <w:rPr>
      <w:rFonts w:ascii="Tahoma" w:hAnsi="Tahoma" w:cs="Tahoma"/>
      <w:sz w:val="16"/>
      <w:szCs w:val="16"/>
    </w:rPr>
  </w:style>
  <w:style w:type="paragraph" w:styleId="NormalWeb">
    <w:name w:val="Normal (Web)"/>
    <w:basedOn w:val="Normal"/>
    <w:uiPriority w:val="99"/>
    <w:unhideWhenUsed/>
    <w:qFormat/>
    <w:rsid w:val="00191660"/>
    <w:pPr>
      <w:spacing w:beforeAutospacing="1" w:afterAutospacing="1"/>
    </w:pPr>
    <w:rPr/>
  </w:style>
  <w:style w:type="paragraph" w:styleId="Style110" w:customStyle="1">
    <w:name w:val="Style1"/>
    <w:basedOn w:val="Normal"/>
    <w:qFormat/>
    <w:rsid w:val="0051092a"/>
    <w:pPr>
      <w:widowControl w:val="false"/>
    </w:pPr>
    <w:rPr/>
  </w:style>
  <w:style w:type="paragraph" w:styleId="BodyText21" w:customStyle="1">
    <w:name w:val="Body Text 21"/>
    <w:basedOn w:val="Normal"/>
    <w:qFormat/>
    <w:rsid w:val="00dc1cbe"/>
    <w:pPr>
      <w:suppressAutoHyphens w:val="true"/>
      <w:spacing w:lineRule="atLeast" w:line="480" w:before="0" w:after="120"/>
    </w:pPr>
    <w:rPr>
      <w:szCs w:val="20"/>
    </w:rPr>
  </w:style>
  <w:style w:type="paragraph" w:styleId="Style20">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63D56019A198F30428B17F94462A76B68628BA0ABA060258F89F5C05B2F9E3450E546F927A6CE2c608J" TargetMode="External"/><Relationship Id="rId3" Type="http://schemas.openxmlformats.org/officeDocument/2006/relationships/hyperlink" Target="consultantplus://offline/ref=E8F1F0A4F4B5ED4DBB3EACF9D3D4DEA294501E04DAB7311157901B6DB9F5A2370D2F2FDCDE5AD0O9M2O" TargetMode="External"/><Relationship Id="rId4" Type="http://schemas.openxmlformats.org/officeDocument/2006/relationships/hyperlink" Target="mailto:zakupki@r46.fsspgov.ru" TargetMode="Externa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1182E-84A2-427F-8C2B-542C73A0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Application>LibreOffice/7.6.7.2$Linux_X86_64 LibreOffice_project/60$Build-2</Application>
  <AppVersion>15.0000</AppVersion>
  <Pages>12</Pages>
  <Words>3936</Words>
  <Characters>29353</Characters>
  <CharactersWithSpaces>33317</CharactersWithSpaces>
  <Paragraphs>243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2021-12-29T10:56:00Z</dcterms:created>
  <dc:creator>mto1</dc:creator>
  <dc:description/>
  <dc:language>ru-RU</dc:language>
  <cp:lastModifiedBy/>
  <cp:lastPrinted>2021-01-22T07:05:00Z</cp:lastPrinted>
  <dcterms:modified xsi:type="dcterms:W3CDTF">2026-07-27T11:18:25Z</dcterms:modified>
  <cp:revision>363</cp:revision>
  <dc:subject/>
  <dc:title/>
</cp:coreProperties>
</file>

<file path=docProps/custom.xml><?xml version="1.0" encoding="utf-8"?>
<Properties xmlns="http://schemas.openxmlformats.org/officeDocument/2006/custom-properties" xmlns:vt="http://schemas.openxmlformats.org/officeDocument/2006/docPropsVTypes"/>
</file>