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Государственный контракт № </w:t>
      </w:r>
      <w:r>
        <w:rPr>
          <w:b/>
          <w:sz w:val="22"/>
          <w:szCs w:val="22"/>
        </w:rPr>
        <w:t xml:space="preserve">___________________________</w:t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на о</w:t>
      </w:r>
      <w:r>
        <w:rPr>
          <w:b/>
          <w:sz w:val="22"/>
          <w:szCs w:val="22"/>
        </w:rPr>
        <w:t xml:space="preserve">казание услуг по техническому обслуживанию оргтехники (ремонт МФУ и принтеров).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38"/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Идентификационный код закупки </w:t>
      </w:r>
      <w:r>
        <w:rPr>
          <w:b/>
          <w:sz w:val="22"/>
          <w:szCs w:val="22"/>
        </w:rPr>
        <w:t xml:space="preserve">2</w:t>
      </w:r>
      <w:r>
        <w:rPr>
          <w:b/>
          <w:sz w:val="22"/>
          <w:szCs w:val="22"/>
        </w:rPr>
        <w:t xml:space="preserve">6</w:t>
      </w:r>
      <w:r>
        <w:rPr>
          <w:b/>
          <w:sz w:val="22"/>
          <w:szCs w:val="22"/>
        </w:rPr>
        <w:t xml:space="preserve">1110300109311010100100090000000244</w:t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jc w:val="both"/>
        <w:rPr>
          <w:szCs w:val="24"/>
        </w:rPr>
      </w:pPr>
      <w:r>
        <w:rPr>
          <w:szCs w:val="24"/>
        </w:rPr>
        <w:t xml:space="preserve">г. Сыктывкар</w:t>
      </w:r>
      <w:r>
        <w:rPr>
          <w:szCs w:val="24"/>
        </w:rPr>
        <w:tab/>
        <w:t xml:space="preserve">                                                                   «____» _____________2025 года</w:t>
      </w:r>
      <w:r>
        <w:rPr>
          <w:szCs w:val="24"/>
        </w:rPr>
      </w:r>
    </w:p>
    <w:p>
      <w:pPr>
        <w:pBdr/>
        <w:spacing/>
        <w:ind/>
        <w:jc w:val="both"/>
        <w:rPr>
          <w:rFonts w:cs="Tahoma"/>
          <w:szCs w:val="24"/>
        </w:rPr>
      </w:pPr>
      <w:r>
        <w:rPr>
          <w:rFonts w:cs="Tahoma"/>
          <w:szCs w:val="24"/>
        </w:rPr>
      </w:r>
      <w:r>
        <w:rPr>
          <w:rFonts w:cs="Tahoma"/>
          <w:szCs w:val="24"/>
        </w:rPr>
      </w:r>
    </w:p>
    <w:p>
      <w:pPr>
        <w:pStyle w:val="838"/>
        <w:pBdr/>
        <w:spacing/>
        <w:ind w:firstLine="709"/>
        <w:jc w:val="both"/>
        <w:rPr/>
      </w:pPr>
      <w:r>
        <w:rPr>
          <w:rFonts w:cs="Tahoma"/>
          <w:b/>
          <w:szCs w:val="24"/>
        </w:rPr>
        <w:t xml:space="preserve">Печорское управление Федеральной службы по экологическому, технологическому и атомному надзору (Печорское управление Ростехнадзора)</w:t>
      </w:r>
      <w:r>
        <w:rPr>
          <w:rFonts w:cs="Tahoma"/>
          <w:szCs w:val="24"/>
        </w:rPr>
        <w:t xml:space="preserve">, в лице исполняющего обязанности руководителя Медведева Сергея Леонидовича, действующего на основании Положения, именуемое в дальнейшем «</w:t>
      </w:r>
      <w:r>
        <w:rPr>
          <w:rFonts w:cs="Tahoma"/>
          <w:b/>
          <w:szCs w:val="24"/>
        </w:rPr>
        <w:t xml:space="preserve">Заказчик»</w:t>
      </w:r>
      <w:r>
        <w:rPr>
          <w:rFonts w:cs="Tahoma"/>
          <w:szCs w:val="24"/>
        </w:rPr>
        <w:t xml:space="preserve">, с одной стороны, и </w:t>
      </w:r>
      <w:r>
        <w:rPr>
          <w:rFonts w:cs="Tahoma"/>
          <w:szCs w:val="24"/>
        </w:rPr>
        <w:t xml:space="preserve">с одной стороны, и </w:t>
      </w:r>
      <w:r>
        <w:rPr>
          <w:rFonts w:cs="Tahoma"/>
          <w:b/>
          <w:bCs/>
          <w:szCs w:val="24"/>
        </w:rPr>
        <w:t xml:space="preserve">___________________________________________</w:t>
      </w:r>
      <w:r>
        <w:rPr>
          <w:rFonts w:cs="Tahoma"/>
          <w:szCs w:val="24"/>
        </w:rPr>
        <w:t xml:space="preserve">, именуемое в дальнейшем </w:t>
      </w:r>
      <w:r>
        <w:rPr>
          <w:rFonts w:cs="Tahoma"/>
          <w:b/>
          <w:szCs w:val="24"/>
        </w:rPr>
        <w:t xml:space="preserve">«Исполнитель»</w:t>
      </w:r>
      <w:r>
        <w:rPr>
          <w:rFonts w:cs="Tahoma"/>
          <w:szCs w:val="24"/>
        </w:rPr>
        <w:t xml:space="preserve">, в лице _____________________, действующего на основании </w:t>
      </w:r>
      <w:r>
        <w:rPr>
          <w:rFonts w:cs="Tahoma"/>
          <w:szCs w:val="24"/>
          <w:shd w:val="clear" w:color="auto" w:fill="ffffff"/>
        </w:rPr>
        <w:t xml:space="preserve">________,</w:t>
      </w:r>
      <w:r>
        <w:rPr>
          <w:rFonts w:cs="Tahoma"/>
          <w:szCs w:val="24"/>
        </w:rPr>
        <w:t xml:space="preserve"> </w:t>
      </w:r>
      <w:r>
        <w:rPr>
          <w:rFonts w:cs="Tahoma"/>
          <w:szCs w:val="24"/>
        </w:rPr>
        <w:t xml:space="preserve">с другой стороны, а при совместном упоминании именуемые в дальнейшем </w:t>
      </w:r>
      <w:r>
        <w:rPr>
          <w:rFonts w:cs="Tahoma"/>
          <w:b/>
          <w:szCs w:val="24"/>
        </w:rPr>
        <w:t xml:space="preserve">«Стороны»</w:t>
      </w:r>
      <w:r>
        <w:rPr>
          <w:rFonts w:cs="Tahoma"/>
          <w:szCs w:val="24"/>
        </w:rPr>
        <w:t xml:space="preserve">,</w:t>
      </w:r>
      <w:r>
        <w:rPr>
          <w:rFonts w:cs="Tahoma"/>
          <w:szCs w:val="24"/>
        </w:rPr>
        <w:t xml:space="preserve"> </w:t>
      </w:r>
      <w:r>
        <w:rPr>
          <w:rFonts w:cs="Tahoma"/>
          <w:szCs w:val="24"/>
        </w:rPr>
        <w:t xml:space="preserve">в соответствии с</w:t>
      </w:r>
      <w:r>
        <w:rPr>
          <w:rFonts w:cs="Tahoma"/>
          <w:szCs w:val="24"/>
        </w:rPr>
        <w:t xml:space="preserve"> п. 4 ч. 1 ст. 93 Федерального закон</w:t>
      </w:r>
      <w:r>
        <w:rPr>
          <w:rFonts w:cs="Tahoma"/>
          <w:szCs w:val="24"/>
        </w:rPr>
        <w:t xml:space="preserve">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заключили настоящий государственный контракт (далее – Контракт) о нижеследующем:</w:t>
      </w:r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center"/>
        <w:rPr>
          <w:b/>
          <w:bCs/>
        </w:rPr>
      </w:pPr>
      <w:r>
        <w:rPr>
          <w:b/>
          <w:szCs w:val="22"/>
        </w:rPr>
        <w:t xml:space="preserve">1. Предмет контракта</w:t>
      </w:r>
      <w:r>
        <w:rPr>
          <w:b/>
          <w:bCs/>
        </w:rPr>
      </w:r>
    </w:p>
    <w:p>
      <w:pPr>
        <w:pStyle w:val="842"/>
        <w:numPr>
          <w:ilvl w:val="1"/>
          <w:numId w:val="1"/>
        </w:numPr>
        <w:pBdr/>
        <w:spacing/>
        <w:ind w:firstLine="709" w:left="0"/>
        <w:jc w:val="both"/>
        <w:rPr/>
      </w:pPr>
      <w:r>
        <w:t xml:space="preserve">Исполнитель по заявкам Заказчика обязуется </w:t>
      </w:r>
      <w:r>
        <w:rPr>
          <w:rFonts w:cs="Tahoma"/>
          <w:szCs w:val="24"/>
        </w:rPr>
        <w:t xml:space="preserve">оказать услуги по  техническому обслуживанию оргтехники (ремонт МФУ и принтеров)</w:t>
      </w:r>
      <w:r>
        <w:rPr>
          <w:bCs/>
        </w:rPr>
        <w:t xml:space="preserve"> (далее – услуги)</w:t>
      </w:r>
      <w:r>
        <w:t xml:space="preserve"> на условиях, в порядке и в сроки, которые определены Сторонами в Контракте, а Заказчик обязуется </w:t>
      </w:r>
      <w:r>
        <w:t xml:space="preserve">принять и оплатить</w:t>
      </w:r>
      <w:r>
        <w:t xml:space="preserve"> оказанные услуги.</w:t>
      </w:r>
      <w:r/>
    </w:p>
    <w:p>
      <w:pPr>
        <w:pStyle w:val="842"/>
        <w:numPr>
          <w:ilvl w:val="1"/>
          <w:numId w:val="1"/>
        </w:numPr>
        <w:pBdr/>
        <w:spacing/>
        <w:ind w:firstLine="709" w:left="0"/>
        <w:jc w:val="both"/>
        <w:rPr/>
      </w:pPr>
      <w:r>
        <w:rPr>
          <w:bCs/>
        </w:rPr>
        <w:t xml:space="preserve">Наименование и характеристики услуг, оказываемых по Контракту, указаны в Техническом задании (Приложение к контракту), </w:t>
      </w:r>
      <w:r>
        <w:rPr>
          <w:bCs/>
        </w:rPr>
        <w:t xml:space="preserve">являющемся</w:t>
      </w:r>
      <w:r>
        <w:rPr>
          <w:bCs/>
        </w:rPr>
        <w:t xml:space="preserve"> неотъемлемой частью Контракта. </w:t>
      </w:r>
      <w:r>
        <w:t xml:space="preserve">Услуги, оказываемые Исполнителем по каждой заявке должны соответствовать общим требованиям к оказанию услуг, если в самой заявке не будет предусмотрено иное.</w:t>
      </w:r>
      <w:r/>
    </w:p>
    <w:p>
      <w:pPr>
        <w:pStyle w:val="842"/>
        <w:numPr>
          <w:ilvl w:val="1"/>
          <w:numId w:val="1"/>
        </w:numPr>
        <w:pBdr/>
        <w:spacing/>
        <w:ind w:firstLine="709" w:left="0"/>
        <w:jc w:val="both"/>
        <w:rPr/>
      </w:pPr>
      <w:r>
        <w:t xml:space="preserve">Наименование, объем и иные характеристики услуг, а также сроки оказания услуг согласовываются Сторонами в заявках.  </w:t>
      </w:r>
      <w:r/>
    </w:p>
    <w:p>
      <w:pPr>
        <w:pStyle w:val="842"/>
        <w:numPr>
          <w:ilvl w:val="1"/>
          <w:numId w:val="1"/>
        </w:numPr>
        <w:pBdr/>
        <w:spacing/>
        <w:ind w:firstLine="709" w:left="0"/>
        <w:jc w:val="both"/>
        <w:rPr/>
      </w:pPr>
      <w:r>
        <w:t xml:space="preserve">Общий срок оказания услуг по Контракту – с даты под</w:t>
      </w:r>
      <w:r>
        <w:t xml:space="preserve">писания Сторонами Контракта по 30 ноября </w:t>
      </w:r>
      <w:r>
        <w:t xml:space="preserve">202</w:t>
      </w:r>
      <w:r>
        <w:t xml:space="preserve">6 </w:t>
      </w:r>
      <w:r>
        <w:t xml:space="preserve">года включительно. Заказчик вправе направлять Исполнителю заявки в течение указанного срока оказания Услуг с таким расчетом, чтобы заявка могла быть </w:t>
      </w:r>
      <w:r>
        <w:t xml:space="preserve">исполнена</w:t>
      </w:r>
      <w:r>
        <w:t xml:space="preserve"> Исполнителем в пределах общего срока оказания Услуг.</w:t>
      </w:r>
      <w:r/>
    </w:p>
    <w:p>
      <w:pPr>
        <w:pStyle w:val="842"/>
        <w:numPr>
          <w:ilvl w:val="1"/>
          <w:numId w:val="1"/>
        </w:numPr>
        <w:pBdr/>
        <w:spacing/>
        <w:ind w:firstLine="567" w:left="0"/>
        <w:jc w:val="both"/>
        <w:rPr/>
      </w:pPr>
      <w:r>
        <w:rPr>
          <w:bCs/>
        </w:rPr>
        <w:t xml:space="preserve">Место оказания услуг: </w:t>
      </w:r>
      <w:r>
        <w:rPr>
          <w:rFonts w:cs="Tahoma"/>
          <w:szCs w:val="24"/>
        </w:rPr>
      </w:r>
      <w:r>
        <w:rPr>
          <w:rFonts w:eastAsia="Calibri"/>
          <w:b/>
          <w:bCs/>
        </w:rPr>
      </w:r>
      <w:r>
        <w:rPr>
          <w:rFonts w:eastAsia="Calibri"/>
        </w:rPr>
        <w:t xml:space="preserve">Республика Коми</w:t>
      </w:r>
      <w:r>
        <w:rPr>
          <w:rFonts w:eastAsia="Calibri"/>
        </w:rPr>
        <w:t xml:space="preserve">, г. Сыктывкар ул. Советская д. 67, г. Ухта,</w:t>
      </w:r>
      <w:r>
        <w:rPr>
          <w:rFonts w:eastAsia="Calibri"/>
        </w:rPr>
      </w:r>
      <w:r>
        <w:rPr>
          <w:rFonts w:eastAsia="Calibri"/>
        </w:rPr>
        <w:t xml:space="preserve">Оказание услуг (выполнение работ) осуществляется по заявкам Заказчика Пн-Чт: с 09:00 по 16:00, перерыв на обед: с 12:30 по 13:30 Пт: с 09:00 по 12:30</w:t>
      </w:r>
      <w:r>
        <w:rPr>
          <w:rFonts w:eastAsia="Calibri"/>
        </w:rPr>
        <w:t xml:space="preserve"> г. Усинск ул. Парковая д. 9/1, г. Воркута, ул. Мира, д. 3-Б</w:t>
      </w:r>
      <w:r>
        <w:rPr>
          <w:rFonts w:eastAsia="Calibri"/>
        </w:rPr>
        <w:t xml:space="preserve">.</w:t>
      </w:r>
      <w:r/>
      <w:r>
        <w:rPr>
          <w:rFonts w:cs="Tahoma"/>
          <w:szCs w:val="24"/>
        </w:rPr>
      </w:r>
      <w:r/>
    </w:p>
    <w:p>
      <w:pPr>
        <w:pBdr/>
        <w:spacing/>
        <w:ind/>
        <w:jc w:val="center"/>
        <w:rPr>
          <w:b/>
          <w:szCs w:val="24"/>
        </w:rPr>
      </w:pPr>
      <w:r>
        <w:rPr>
          <w:b/>
          <w:szCs w:val="24"/>
        </w:rPr>
        <w:t xml:space="preserve">2. Обязанности сторон</w:t>
      </w:r>
      <w:r>
        <w:rPr>
          <w:b/>
          <w:szCs w:val="24"/>
        </w:rPr>
      </w:r>
    </w:p>
    <w:p>
      <w:pPr>
        <w:pBdr/>
        <w:spacing/>
        <w:ind w:firstLine="709"/>
        <w:jc w:val="both"/>
        <w:rPr>
          <w:rFonts w:cs="Tahoma"/>
          <w:szCs w:val="24"/>
        </w:rPr>
      </w:pPr>
      <w:r>
        <w:rPr>
          <w:rFonts w:cs="Tahoma"/>
          <w:szCs w:val="24"/>
        </w:rPr>
        <w:t xml:space="preserve">2.1.</w:t>
      </w:r>
      <w:r>
        <w:rPr>
          <w:rFonts w:cs="Tahoma"/>
          <w:szCs w:val="24"/>
        </w:rPr>
        <w:tab/>
        <w:t xml:space="preserve">Исполнитель обязуется:</w:t>
      </w:r>
      <w:r>
        <w:rPr>
          <w:rFonts w:cs="Tahoma"/>
          <w:szCs w:val="24"/>
        </w:rPr>
      </w:r>
    </w:p>
    <w:p>
      <w:pPr>
        <w:pBdr/>
        <w:spacing/>
        <w:ind w:firstLine="709"/>
        <w:jc w:val="both"/>
        <w:rPr>
          <w:rFonts w:cs="Tahoma"/>
          <w:szCs w:val="24"/>
        </w:rPr>
      </w:pPr>
      <w:r>
        <w:rPr>
          <w:rFonts w:cs="Tahoma"/>
          <w:szCs w:val="24"/>
        </w:rPr>
        <w:t xml:space="preserve">2.1.1. Оказывать услуги по заявкам заказчика </w:t>
      </w:r>
      <w:r>
        <w:rPr>
          <w:rFonts w:cs="Tahoma"/>
          <w:szCs w:val="24"/>
        </w:rPr>
      </w:r>
    </w:p>
    <w:p>
      <w:pPr>
        <w:pBdr/>
        <w:spacing/>
        <w:ind w:firstLine="709"/>
        <w:jc w:val="both"/>
        <w:rPr>
          <w:rFonts w:cs="Tahoma"/>
          <w:szCs w:val="24"/>
        </w:rPr>
      </w:pPr>
      <w:r>
        <w:rPr>
          <w:rFonts w:cs="Tahoma"/>
          <w:szCs w:val="24"/>
        </w:rPr>
        <w:t xml:space="preserve">2.1.2. Оказать услуги в полном объёме. </w:t>
      </w:r>
      <w:r>
        <w:rPr>
          <w:rFonts w:cs="Tahoma"/>
          <w:szCs w:val="24"/>
        </w:rPr>
      </w:r>
    </w:p>
    <w:p>
      <w:pPr>
        <w:pBdr/>
        <w:spacing/>
        <w:ind w:firstLine="709"/>
        <w:jc w:val="both"/>
        <w:rPr>
          <w:rFonts w:cs="Tahoma"/>
          <w:szCs w:val="24"/>
        </w:rPr>
      </w:pPr>
      <w:r>
        <w:rPr>
          <w:rFonts w:cs="Tahoma"/>
          <w:szCs w:val="24"/>
        </w:rPr>
        <w:t xml:space="preserve">2.1.2. Для оказания услуг привлекать специалистов с необходимой квалификацией и использовать соответствующее оборудование.</w:t>
      </w:r>
      <w:r>
        <w:rPr>
          <w:rFonts w:cs="Tahoma"/>
          <w:szCs w:val="24"/>
        </w:rPr>
      </w:r>
    </w:p>
    <w:p>
      <w:pPr>
        <w:pBdr/>
        <w:spacing/>
        <w:ind w:firstLine="709"/>
        <w:jc w:val="both"/>
        <w:rPr>
          <w:rFonts w:cs="Tahoma"/>
          <w:szCs w:val="24"/>
        </w:rPr>
      </w:pPr>
      <w:r>
        <w:rPr>
          <w:rFonts w:cs="Tahoma"/>
          <w:szCs w:val="24"/>
        </w:rPr>
        <w:t xml:space="preserve">2.1.3. При оказании  услуг использовать комплектующие и расходные материалы, с требуемыми техническими характеристиками.</w:t>
      </w:r>
      <w:r>
        <w:rPr>
          <w:rFonts w:cs="Tahoma"/>
          <w:szCs w:val="24"/>
        </w:rPr>
      </w:r>
    </w:p>
    <w:p>
      <w:pPr>
        <w:pBdr/>
        <w:spacing/>
        <w:ind w:firstLine="709"/>
        <w:jc w:val="both"/>
        <w:rPr>
          <w:rFonts w:cs="Tahoma"/>
          <w:szCs w:val="24"/>
        </w:rPr>
      </w:pPr>
      <w:r>
        <w:rPr>
          <w:rFonts w:cs="Tahoma"/>
          <w:szCs w:val="24"/>
        </w:rPr>
        <w:t xml:space="preserve">2.1.4. Исполнитель предоставляет гарантию на услуги на срок 3 месяца.</w:t>
      </w:r>
      <w:r>
        <w:rPr>
          <w:rFonts w:cs="Tahoma"/>
          <w:szCs w:val="24"/>
        </w:rPr>
      </w:r>
    </w:p>
    <w:p>
      <w:pPr>
        <w:pBdr/>
        <w:spacing/>
        <w:ind w:firstLine="709"/>
        <w:jc w:val="both"/>
        <w:rPr>
          <w:rFonts w:cs="Tahoma"/>
          <w:szCs w:val="24"/>
        </w:rPr>
      </w:pPr>
      <w:r>
        <w:rPr>
          <w:rFonts w:cs="Tahoma"/>
          <w:szCs w:val="24"/>
        </w:rPr>
        <w:t xml:space="preserve">2.2. Заказчик обязуется:</w:t>
      </w:r>
      <w:r>
        <w:rPr>
          <w:rFonts w:cs="Tahoma"/>
          <w:szCs w:val="24"/>
        </w:rPr>
      </w:r>
    </w:p>
    <w:p>
      <w:pPr>
        <w:pBdr/>
        <w:spacing/>
        <w:ind w:firstLine="709"/>
        <w:jc w:val="both"/>
        <w:rPr>
          <w:rFonts w:cs="Tahoma"/>
          <w:szCs w:val="24"/>
        </w:rPr>
      </w:pPr>
      <w:r>
        <w:rPr>
          <w:rFonts w:cs="Tahoma"/>
          <w:szCs w:val="24"/>
        </w:rPr>
        <w:t xml:space="preserve">2.2.1. Оплачивать оказанные услуги в установленные сроки и в установленном размере.</w:t>
      </w:r>
      <w:r>
        <w:rPr>
          <w:rFonts w:cs="Tahoma"/>
          <w:szCs w:val="24"/>
        </w:rPr>
      </w:r>
    </w:p>
    <w:p>
      <w:pPr>
        <w:pBdr/>
        <w:spacing/>
        <w:ind w:firstLine="709"/>
        <w:jc w:val="both"/>
        <w:rPr>
          <w:rFonts w:cs="Tahoma"/>
        </w:rPr>
      </w:pPr>
      <w:r>
        <w:rPr>
          <w:rFonts w:cs="Tahoma"/>
          <w:szCs w:val="24"/>
        </w:rPr>
        <w:t xml:space="preserve">2.2.2. Соблюдать требования к эксплуатации оргтехники, предусмотренные документами изготовителя.</w:t>
      </w:r>
      <w:r>
        <w:rPr>
          <w:rFonts w:cs="Tahoma"/>
        </w:rPr>
      </w:r>
    </w:p>
    <w:p>
      <w:pPr>
        <w:pBdr/>
        <w:spacing/>
        <w:ind w:firstLine="709"/>
        <w:jc w:val="both"/>
        <w:rPr>
          <w:rFonts w:cs="Tahoma"/>
        </w:rPr>
      </w:pPr>
      <w:r>
        <w:rPr>
          <w:rFonts w:cs="Tahoma"/>
        </w:rPr>
      </w:r>
      <w:r>
        <w:rPr>
          <w:rFonts w:cs="Tahoma"/>
        </w:rPr>
      </w:r>
    </w:p>
    <w:p>
      <w:pPr>
        <w:pBdr/>
        <w:spacing/>
        <w:ind/>
        <w:jc w:val="center"/>
        <w:rPr>
          <w:b/>
          <w:szCs w:val="24"/>
        </w:rPr>
      </w:pPr>
      <w:r>
        <w:rPr>
          <w:b/>
          <w:szCs w:val="24"/>
        </w:rPr>
        <w:t xml:space="preserve">3. Срок действия контракта</w:t>
      </w:r>
      <w:r>
        <w:rPr>
          <w:b/>
          <w:szCs w:val="24"/>
        </w:rPr>
      </w:r>
    </w:p>
    <w:p>
      <w:pPr>
        <w:pBdr/>
        <w:spacing/>
        <w:ind w:firstLine="709"/>
        <w:jc w:val="both"/>
        <w:rPr>
          <w:szCs w:val="24"/>
        </w:rPr>
      </w:pPr>
      <w:r>
        <w:rPr>
          <w:szCs w:val="24"/>
        </w:rPr>
        <w:t xml:space="preserve">3.1. </w:t>
      </w:r>
      <w:r>
        <w:rPr>
          <w:szCs w:val="24"/>
        </w:rPr>
        <w:tab/>
        <w:t xml:space="preserve">Настоящий Контра</w:t>
      </w:r>
      <w:r>
        <w:rPr>
          <w:szCs w:val="24"/>
        </w:rPr>
        <w:t xml:space="preserve">кт вст</w:t>
      </w:r>
      <w:r>
        <w:rPr>
          <w:szCs w:val="24"/>
        </w:rPr>
        <w:t xml:space="preserve">упает в силу с  момента его подписания и действует до 3</w:t>
      </w:r>
      <w:r>
        <w:rPr>
          <w:szCs w:val="24"/>
        </w:rPr>
        <w:t xml:space="preserve">1 декабря 202</w:t>
      </w:r>
      <w:r>
        <w:rPr>
          <w:szCs w:val="24"/>
        </w:rPr>
        <w:t xml:space="preserve">6</w:t>
      </w:r>
      <w:r>
        <w:rPr>
          <w:szCs w:val="24"/>
        </w:rPr>
        <w:t xml:space="preserve"> года, а в части взаиморасчетов – до полного исполнения обязательств сторонами.</w:t>
      </w:r>
      <w:r>
        <w:rPr>
          <w:szCs w:val="24"/>
        </w:rPr>
      </w:r>
    </w:p>
    <w:p>
      <w:pPr>
        <w:pBdr/>
        <w:spacing/>
        <w:ind w:firstLine="709"/>
        <w:jc w:val="both"/>
        <w:rPr>
          <w:szCs w:val="24"/>
        </w:rPr>
      </w:pPr>
      <w:r>
        <w:rPr>
          <w:szCs w:val="24"/>
        </w:rPr>
        <w:t xml:space="preserve">3.2. Окончание срока действия Контракта не освобождает стороны от исполнения </w:t>
      </w:r>
      <w:r>
        <w:rPr>
          <w:szCs w:val="24"/>
        </w:rPr>
        <w:t xml:space="preserve">принятых на себя обязательств.</w:t>
      </w:r>
      <w:r>
        <w:rPr>
          <w:szCs w:val="24"/>
        </w:rPr>
      </w:r>
    </w:p>
    <w:p>
      <w:pPr>
        <w:pBdr/>
        <w:spacing/>
        <w:ind w:firstLine="709"/>
        <w:jc w:val="both"/>
        <w:rPr>
          <w:szCs w:val="24"/>
        </w:rPr>
      </w:pPr>
      <w:r>
        <w:rPr>
          <w:szCs w:val="24"/>
        </w:rPr>
        <w:t xml:space="preserve">3.3. Любая из Сторон вправе расторгнуть настоящий Контракт в одностороннем порядке, уведомив другую сторону за один месяц до такого расторжения.</w:t>
      </w:r>
      <w:r>
        <w:rPr>
          <w:szCs w:val="24"/>
        </w:rPr>
      </w:r>
    </w:p>
    <w:p>
      <w:pPr>
        <w:pBdr/>
        <w:spacing/>
        <w:ind w:firstLine="709"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Bdr/>
        <w:spacing/>
        <w:ind/>
        <w:jc w:val="center"/>
        <w:rPr>
          <w:b/>
          <w:szCs w:val="24"/>
        </w:rPr>
      </w:pPr>
      <w:r>
        <w:rPr>
          <w:b/>
          <w:szCs w:val="24"/>
        </w:rPr>
        <w:t xml:space="preserve">4. Стоимость работ и порядок расчётов</w:t>
      </w:r>
      <w:r>
        <w:rPr>
          <w:b/>
          <w:szCs w:val="24"/>
        </w:rPr>
      </w:r>
    </w:p>
    <w:p>
      <w:pPr>
        <w:pBdr/>
        <w:spacing/>
        <w:ind w:firstLine="709"/>
        <w:jc w:val="both"/>
        <w:rPr>
          <w:b/>
          <w:bCs/>
          <w:szCs w:val="24"/>
          <w:shd w:val="clear" w:color="auto" w:fill="ffffff"/>
        </w:rPr>
      </w:pPr>
      <w:r>
        <w:rPr>
          <w:szCs w:val="24"/>
        </w:rPr>
        <w:t xml:space="preserve">4.1. </w:t>
      </w:r>
      <w:r>
        <w:rPr>
          <w:b/>
          <w:bCs/>
          <w:szCs w:val="24"/>
        </w:rPr>
        <w:t xml:space="preserve">Максимальная цена контракта составляет </w:t>
      </w:r>
      <w:r>
        <w:rPr>
          <w:b/>
          <w:bCs/>
          <w:szCs w:val="24"/>
        </w:rPr>
        <w:t xml:space="preserve">___________________</w:t>
      </w:r>
      <w:r>
        <w:rPr>
          <w:b/>
          <w:bCs/>
          <w:szCs w:val="24"/>
          <w:shd w:val="clear" w:color="auto" w:fill="ffffff"/>
        </w:rPr>
        <w:t xml:space="preserve"> с НДС (без НДС). </w:t>
      </w:r>
      <w:r>
        <w:rPr>
          <w:b/>
          <w:bCs/>
          <w:szCs w:val="24"/>
          <w:shd w:val="clear" w:color="auto" w:fill="ffffff"/>
        </w:rPr>
      </w:r>
    </w:p>
    <w:p>
      <w:pPr>
        <w:pBdr/>
        <w:spacing/>
        <w:ind w:firstLine="709"/>
        <w:jc w:val="both"/>
        <w:rPr/>
      </w:pPr>
      <w:r>
        <w:t xml:space="preserve">Источник финансирования: Федеральный бюджет.</w:t>
      </w:r>
      <w:r/>
    </w:p>
    <w:p>
      <w:pPr>
        <w:pBdr/>
        <w:spacing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КБК 498 0401 10403900 20 242</w:t>
      </w:r>
      <w:r>
        <w:rPr>
          <w:bCs/>
          <w:szCs w:val="24"/>
        </w:rPr>
      </w:r>
    </w:p>
    <w:p>
      <w:pPr>
        <w:pBdr/>
        <w:spacing/>
        <w:ind w:firstLine="709"/>
        <w:jc w:val="both"/>
        <w:rPr/>
      </w:pPr>
      <w:r>
        <w:rPr>
          <w:szCs w:val="24"/>
          <w:shd w:val="clear" w:color="auto" w:fill="ffffff"/>
        </w:rPr>
        <w:t xml:space="preserve">Цена Контракта включает в себя затраты, св</w:t>
      </w:r>
      <w:r>
        <w:rPr>
          <w:szCs w:val="24"/>
        </w:rPr>
        <w:t xml:space="preserve">язанные с его исполнением, в том числе страхование, уплату всех налогов, сборов и других обязательных платежей. </w:t>
      </w:r>
      <w:r/>
    </w:p>
    <w:p>
      <w:pPr>
        <w:pStyle w:val="842"/>
        <w:pBdr/>
        <w:spacing/>
        <w:ind w:firstLine="709" w:left="0"/>
        <w:jc w:val="both"/>
        <w:rPr/>
      </w:pPr>
      <w:r>
        <w:t xml:space="preserve">Ц</w:t>
      </w:r>
      <w:r>
        <w:rPr>
          <w:rFonts w:ascii="Times New Roman" w:hAnsi="Times New Roman" w:eastAsia="Times New Roman"/>
          <w:color w:val="00000a"/>
          <w:lang w:eastAsia="ru-RU"/>
        </w:rPr>
        <w:t xml:space="preserve">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10" w:tooltip="consultantplus://offline/ref=F5F2053BCC26CE6257DDDCADFB1694A96A5410CDA2A3C1B0E918E9EAACBD53AA60246B5F787132CDB74A99AA45A7p3L" w:history="1">
        <w:r>
          <w:rPr>
            <w:rFonts w:ascii="Times New Roman" w:hAnsi="Times New Roman" w:eastAsia="Times New Roman"/>
            <w:lang w:eastAsia="ru-RU"/>
          </w:rPr>
          <w:t xml:space="preserve">законом</w:t>
        </w:r>
      </w:hyperlink>
      <w:r>
        <w:rPr>
          <w:rFonts w:ascii="Times New Roman" w:hAnsi="Times New Roman" w:eastAsia="Times New Roman"/>
          <w:color w:val="00000a"/>
          <w:lang w:eastAsia="ru-RU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 и настоящим Контрактом.</w:t>
      </w:r>
      <w:r/>
      <w:r>
        <w:t xml:space="preserve"> </w:t>
      </w:r>
      <w:r/>
    </w:p>
    <w:p>
      <w:pPr>
        <w:pStyle w:val="842"/>
        <w:pBdr/>
        <w:spacing/>
        <w:ind w:firstLine="709" w:left="0"/>
        <w:jc w:val="both"/>
        <w:rPr/>
      </w:pPr>
      <w:r>
        <w:t xml:space="preserve">4.2. </w:t>
      </w:r>
      <w:r>
        <w:rPr>
          <w:bCs/>
        </w:rPr>
        <w:t xml:space="preserve">Исполнитель не вправе </w:t>
      </w:r>
      <w:r>
        <w:t xml:space="preserve">приступать к оказанию услуг по заявке Заказчика в случае,</w:t>
      </w:r>
      <w:r>
        <w:t xml:space="preserve"> если ее выполнение приведет к тому, что стоимость фактически оказанных услуг превысит общую максимальную цену Контракта. При обнаружении указанных обстоятельств Исполнитель обязан незамедлительно уведомить об этом Заказчика и приостановить оказание услуг.</w:t>
      </w:r>
      <w:r/>
    </w:p>
    <w:p>
      <w:pPr>
        <w:pBdr/>
        <w:spacing/>
        <w:ind/>
        <w:jc w:val="both"/>
        <w:rPr/>
      </w:pPr>
      <w:r>
        <w:rPr>
          <w:bCs/>
        </w:rPr>
        <w:t xml:space="preserve">           4.3. Заказчик при получении от Исполнителя уведомления, предусмотренного пунктом 4.2. Контракта, направляет Исполнителю:</w:t>
      </w:r>
      <w:r/>
    </w:p>
    <w:p>
      <w:pPr>
        <w:pBdr/>
        <w:spacing/>
        <w:ind/>
        <w:jc w:val="both"/>
        <w:rPr/>
      </w:pPr>
      <w:r>
        <w:t xml:space="preserve">        4.3.1. скорректированную заявку - в случае, если объем услуг по заявке может быть уменьшен таким образом, чтобы его выполнение не приводило к превышению общей максимальной цены Контракта;</w:t>
      </w:r>
      <w:r/>
    </w:p>
    <w:p>
      <w:pPr>
        <w:pBdr/>
        <w:spacing/>
        <w:ind/>
        <w:jc w:val="both"/>
        <w:rPr/>
      </w:pPr>
      <w:r>
        <w:t xml:space="preserve">     4.3.2. подписанное со своей стороны соглашение о расторжении Контракта или уведомление об одностороннем отказе от Контракта – во всех остальных случаях.</w:t>
      </w:r>
      <w:r/>
    </w:p>
    <w:p>
      <w:pPr>
        <w:pBdr/>
        <w:spacing/>
        <w:ind/>
        <w:jc w:val="both"/>
        <w:rPr/>
      </w:pPr>
      <w:r>
        <w:rPr>
          <w:bCs/>
        </w:rPr>
        <w:t xml:space="preserve">     4.4. Заказчик не </w:t>
      </w:r>
      <w:r>
        <w:t xml:space="preserve">обязан оплачивать Исполнителю услуги, которые были оказаны Исполнителем в нарушение пунктов 4.2. и 4.3. Контракта.</w:t>
      </w:r>
      <w:r/>
    </w:p>
    <w:p>
      <w:pPr>
        <w:pBdr/>
        <w:spacing/>
        <w:ind/>
        <w:jc w:val="both"/>
        <w:rPr/>
      </w:pPr>
      <w:r>
        <w:t xml:space="preserve">       4.5. </w:t>
      </w:r>
      <w:r>
        <w:rPr>
          <w:bCs/>
        </w:rPr>
        <w:t xml:space="preserve">Исполнитель не вправе в одностороннем порядке увеличивать общую максимальную цену Контракта в течение срока его действия</w:t>
      </w:r>
      <w:r>
        <w:t xml:space="preserve">, а также в одностороннем порядке изменять стоимость услуг по заявке, вступившей в силу.</w:t>
      </w:r>
      <w:r/>
    </w:p>
    <w:p>
      <w:pPr>
        <w:pBdr/>
        <w:spacing/>
        <w:ind/>
        <w:jc w:val="both"/>
        <w:rPr/>
      </w:pPr>
      <w:r>
        <w:rPr>
          <w:bCs/>
        </w:rPr>
        <w:t xml:space="preserve">         4.6. Оплата производится безналичным расчетом по </w:t>
      </w:r>
      <w:r>
        <w:rPr>
          <w:bCs/>
        </w:rPr>
        <w:t xml:space="preserve">окончании</w:t>
      </w:r>
      <w:r>
        <w:rPr>
          <w:bCs/>
        </w:rPr>
        <w:t xml:space="preserve"> срока оказания услуг по каждой заявке Заказчика в течение 7 (семи) рабочих дней с даты подписания Сторонами акта сдачи-приемки услуг по соответствующей заявке и выставлением счета (счет/фактуры) Исполнителем. </w:t>
      </w:r>
      <w:r/>
    </w:p>
    <w:p>
      <w:pPr>
        <w:pBdr/>
        <w:tabs>
          <w:tab w:val="left" w:leader="none" w:pos="570"/>
        </w:tabs>
        <w:spacing/>
        <w:ind w:left="-57"/>
        <w:jc w:val="both"/>
        <w:rPr/>
      </w:pPr>
      <w:r>
        <w:rPr>
          <w:bCs/>
        </w:rPr>
        <w:t xml:space="preserve">        4.7. Обязательство Заказчика по оплате оказанных Услуг считается исполненным с даты  списания денежных средств со счета Заказчика.</w:t>
      </w:r>
      <w:r/>
    </w:p>
    <w:p>
      <w:pPr>
        <w:pBdr/>
        <w:spacing/>
        <w:ind/>
        <w:jc w:val="both"/>
        <w:rPr>
          <w:szCs w:val="24"/>
        </w:rPr>
      </w:pPr>
      <w:r>
        <w:rPr>
          <w:szCs w:val="24"/>
        </w:rPr>
      </w:r>
      <w:r>
        <w:rPr>
          <w:szCs w:val="24"/>
        </w:rPr>
      </w:r>
    </w:p>
    <w:p>
      <w:pPr>
        <w:pBdr/>
        <w:spacing/>
        <w:ind/>
        <w:jc w:val="center"/>
        <w:rPr>
          <w:b/>
          <w:szCs w:val="24"/>
        </w:rPr>
      </w:pPr>
      <w:r>
        <w:rPr>
          <w:b/>
          <w:szCs w:val="24"/>
        </w:rPr>
        <w:t xml:space="preserve">5. Порядок изменения и расторжения контракта</w:t>
      </w:r>
      <w:r>
        <w:rPr>
          <w:b/>
          <w:szCs w:val="24"/>
        </w:rPr>
      </w:r>
    </w:p>
    <w:p>
      <w:pPr>
        <w:pBdr/>
        <w:spacing/>
        <w:ind w:firstLine="709"/>
        <w:jc w:val="both"/>
        <w:rPr>
          <w:szCs w:val="24"/>
        </w:rPr>
      </w:pPr>
      <w:r>
        <w:rPr>
          <w:szCs w:val="24"/>
        </w:rPr>
        <w:t xml:space="preserve">5.1. Любые изменения и дополнения к настоящему Контракту оформляются письменно и в соответствии с действующим законодательством.</w:t>
      </w:r>
      <w:r>
        <w:rPr>
          <w:szCs w:val="24"/>
        </w:rPr>
      </w:r>
    </w:p>
    <w:p>
      <w:pPr>
        <w:pBdr/>
        <w:spacing/>
        <w:ind w:firstLine="709"/>
        <w:jc w:val="both"/>
        <w:rPr/>
      </w:pPr>
      <w:r>
        <w:rPr>
          <w:szCs w:val="24"/>
        </w:rPr>
        <w:t xml:space="preserve">5.2. Сторона, решившая расторгнуть настоящий Контракт, должна направить уведомление о своем намерении другой Стороне не позднее, чем за 10 (Десять) дней до предполагаемого дня расторжения.</w:t>
      </w:r>
      <w:r/>
    </w:p>
    <w:p>
      <w:pPr>
        <w:pBdr/>
        <w:spacing/>
        <w:ind w:firstLine="709"/>
        <w:jc w:val="both"/>
        <w:rPr/>
      </w:pPr>
      <w:r/>
      <w:r/>
    </w:p>
    <w:p>
      <w:pPr>
        <w:pBdr/>
        <w:spacing/>
        <w:ind/>
        <w:jc w:val="center"/>
        <w:rPr>
          <w:b/>
          <w:szCs w:val="24"/>
        </w:rPr>
      </w:pPr>
      <w:r>
        <w:rPr>
          <w:b/>
          <w:szCs w:val="24"/>
        </w:rPr>
        <w:t xml:space="preserve">6. Ответственность сторон</w:t>
      </w:r>
      <w:r>
        <w:rPr>
          <w:b/>
          <w:szCs w:val="24"/>
        </w:rPr>
      </w:r>
    </w:p>
    <w:p>
      <w:pPr>
        <w:pBdr/>
        <w:spacing/>
        <w:ind w:firstLine="709"/>
        <w:jc w:val="both"/>
        <w:rPr/>
      </w:pPr>
      <w:r>
        <w:rPr>
          <w:szCs w:val="24"/>
        </w:rPr>
        <w:t xml:space="preserve">6.1. Стороны несут ответственность за ненадлежащее исполнение своих обязательств по настоящему Контракту в соответствии с действующим законодательством.</w:t>
      </w:r>
      <w:r/>
    </w:p>
    <w:p>
      <w:pPr>
        <w:pBdr/>
        <w:spacing/>
        <w:ind w:firstLine="709"/>
        <w:jc w:val="both"/>
        <w:rPr/>
      </w:pPr>
      <w:r/>
      <w:r/>
    </w:p>
    <w:p>
      <w:pPr>
        <w:pBdr/>
        <w:spacing/>
        <w:ind/>
        <w:jc w:val="center"/>
        <w:rPr>
          <w:b/>
          <w:szCs w:val="24"/>
        </w:rPr>
      </w:pPr>
      <w:r>
        <w:rPr>
          <w:b/>
          <w:szCs w:val="24"/>
        </w:rPr>
        <w:t xml:space="preserve">7. Порядок разрешения споров</w:t>
      </w:r>
      <w:r>
        <w:rPr>
          <w:b/>
          <w:szCs w:val="24"/>
        </w:rPr>
      </w:r>
    </w:p>
    <w:p>
      <w:pPr>
        <w:pBdr/>
        <w:spacing/>
        <w:ind w:firstLine="709"/>
        <w:jc w:val="both"/>
        <w:rPr>
          <w:szCs w:val="24"/>
        </w:rPr>
      </w:pPr>
      <w:r>
        <w:rPr>
          <w:szCs w:val="24"/>
        </w:rPr>
        <w:t xml:space="preserve">7.1. Все споры или разногласия, возникающие между Сторонами по настоящему Контракту или в связи с ним, разрешаются путем переговоров между ними.</w:t>
      </w:r>
      <w:r>
        <w:rPr>
          <w:szCs w:val="24"/>
        </w:rPr>
      </w:r>
    </w:p>
    <w:p>
      <w:pPr>
        <w:pBdr/>
        <w:spacing/>
        <w:ind w:firstLine="709"/>
        <w:jc w:val="both"/>
        <w:rPr/>
      </w:pPr>
      <w:r>
        <w:rPr>
          <w:szCs w:val="24"/>
        </w:rPr>
        <w:t xml:space="preserve">7.2. В </w:t>
      </w:r>
      <w:r>
        <w:rPr>
          <w:szCs w:val="24"/>
        </w:rPr>
        <w:t xml:space="preserve">случае</w:t>
      </w:r>
      <w:r>
        <w:rPr>
          <w:szCs w:val="24"/>
        </w:rPr>
        <w:t xml:space="preserve"> невозможности разрешения разногласий путём переговоров они </w:t>
      </w:r>
      <w:r/>
    </w:p>
    <w:p>
      <w:pPr>
        <w:pBdr/>
        <w:spacing/>
        <w:ind/>
        <w:rPr/>
      </w:pPr>
      <w:r>
        <w:rPr>
          <w:szCs w:val="24"/>
        </w:rPr>
        <w:t xml:space="preserve">подлежат рассмотрению в Арбитражном суде Республики Коми. </w:t>
      </w:r>
      <w:r/>
    </w:p>
    <w:p>
      <w:pPr>
        <w:pBdr/>
        <w:spacing/>
        <w:ind/>
        <w:jc w:val="center"/>
        <w:rPr>
          <w:b/>
          <w:bCs/>
        </w:rPr>
      </w:pPr>
      <w:r>
        <w:rPr>
          <w:b/>
          <w:szCs w:val="24"/>
        </w:rPr>
        <w:t xml:space="preserve">8. Реквизиты и подписи сторон</w:t>
      </w:r>
      <w:r>
        <w:rPr>
          <w:b/>
          <w:bCs/>
        </w:rPr>
      </w:r>
    </w:p>
    <w:p>
      <w:pPr>
        <w:pBdr/>
        <w:spacing/>
        <w:ind/>
        <w:jc w:val="center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tbl>
      <w:tblPr>
        <w:tblW w:w="9817" w:type="dxa"/>
        <w:tblInd w:w="109" w:type="dxa"/>
        <w:tblBorders/>
        <w:tblLayout w:type="fixed"/>
        <w:tblLook w:val="0000" w:firstRow="0" w:lastRow="0" w:firstColumn="0" w:lastColumn="0" w:noHBand="0" w:noVBand="0"/>
      </w:tblPr>
      <w:tblGrid>
        <w:gridCol w:w="4252"/>
        <w:gridCol w:w="5565"/>
      </w:tblGrid>
      <w:tr>
        <w:trPr>
          <w:trHeight w:val="4397"/>
        </w:trPr>
        <w:tc>
          <w:tcPr>
            <w:shd w:val="clear" w:color="auto" w:fill="auto"/>
            <w:tcBorders/>
            <w:tcW w:w="425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Исполнитель:</w:t>
            </w:r>
            <w:r>
              <w:rPr>
                <w:rFonts w:cs="Tahoma"/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/>
            <w:r/>
          </w:p>
          <w:p>
            <w:pPr>
              <w:pBdr/>
              <w:spacing/>
              <w:ind/>
              <w:jc w:val="both"/>
              <w:rPr/>
            </w:pPr>
            <w:r>
              <w:rPr>
                <w:rFonts w:eastAsia="Liberation Sans"/>
                <w:color w:val="000000" w:themeColor="text1"/>
                <w:sz w:val="21"/>
                <w:szCs w:val="21"/>
              </w:rPr>
              <w:t xml:space="preserve">______________ /________________/</w:t>
            </w:r>
            <w:r/>
          </w:p>
          <w:p>
            <w:pPr>
              <w:pBdr/>
              <w:spacing/>
              <w:ind/>
              <w:jc w:val="both"/>
              <w:rPr>
                <w:rFonts w:eastAsia="Liberation Sans"/>
                <w:color w:val="000000"/>
              </w:rPr>
            </w:pPr>
            <w:r>
              <w:rPr>
                <w:rFonts w:eastAsia="Liberation Sans"/>
                <w:color w:val="000000" w:themeColor="text1"/>
                <w:sz w:val="21"/>
                <w:szCs w:val="21"/>
              </w:rPr>
              <w:t xml:space="preserve">М.П. </w:t>
            </w:r>
            <w:r>
              <w:rPr>
                <w:rFonts w:eastAsia="Liberation Sans"/>
                <w:color w:val="000000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5565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Заказчик:</w:t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Печорское управление Федеральной службы по экологическому, технологическому и атомному надзору  (Печорское управление Ростехнадзора)</w:t>
            </w:r>
            <w:r>
              <w:rPr>
                <w:b/>
                <w:bCs/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Юридический адрес: 167000, г. Сыктывкар, ул. </w:t>
            </w:r>
            <w:r>
              <w:rPr>
                <w:sz w:val="22"/>
                <w:szCs w:val="22"/>
                <w:lang w:eastAsia="ru-RU"/>
              </w:rPr>
              <w:t xml:space="preserve">Советская</w:t>
            </w:r>
            <w:r>
              <w:rPr>
                <w:sz w:val="22"/>
                <w:szCs w:val="22"/>
                <w:lang w:eastAsia="ru-RU"/>
              </w:rPr>
              <w:t xml:space="preserve">, д. 67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ИНН/КПП: 1103001093/110101001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Номер казначейского счета: 03211643000000013207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Кор</w:t>
            </w:r>
            <w:r>
              <w:rPr>
                <w:sz w:val="22"/>
                <w:szCs w:val="22"/>
                <w:lang w:eastAsia="ru-RU"/>
              </w:rPr>
              <w:t xml:space="preserve">.с</w:t>
            </w:r>
            <w:r>
              <w:rPr>
                <w:sz w:val="22"/>
                <w:szCs w:val="22"/>
                <w:lang w:eastAsia="ru-RU"/>
              </w:rPr>
              <w:t xml:space="preserve">чет</w:t>
            </w:r>
            <w:r>
              <w:rPr>
                <w:sz w:val="22"/>
                <w:szCs w:val="22"/>
                <w:lang w:eastAsia="ru-RU"/>
              </w:rPr>
              <w:t xml:space="preserve">: 40102810745370000024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Банк: ОКЦ № 1 ВВГУ БАНКА РОССИИ//УФК по Нижегородской области, </w:t>
            </w:r>
            <w:r>
              <w:rPr>
                <w:sz w:val="22"/>
                <w:szCs w:val="22"/>
                <w:lang w:eastAsia="ru-RU"/>
              </w:rPr>
              <w:t xml:space="preserve">г</w:t>
            </w:r>
            <w:r>
              <w:rPr>
                <w:sz w:val="22"/>
                <w:szCs w:val="22"/>
                <w:lang w:eastAsia="ru-RU"/>
              </w:rPr>
              <w:t xml:space="preserve">.Н</w:t>
            </w:r>
            <w:r>
              <w:rPr>
                <w:sz w:val="22"/>
                <w:szCs w:val="22"/>
                <w:lang w:eastAsia="ru-RU"/>
              </w:rPr>
              <w:t xml:space="preserve">ижний</w:t>
            </w:r>
            <w:r>
              <w:rPr>
                <w:sz w:val="22"/>
                <w:szCs w:val="22"/>
                <w:lang w:eastAsia="ru-RU"/>
              </w:rPr>
              <w:t xml:space="preserve"> Новгород, Лицевой счет 03071147560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БИК: 012202102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ОКВЭД: 84.11.12, ОКПО: 02844216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ОГРН: 1021100813799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Телефон: 8(8212) 206-284/ 8(8212) 206-287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Код ОПФ 75104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ИКУ 11103001093110101001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И.о. руководителя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___________________ В.А. Мартынов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jc w:val="right"/>
        <w:rPr/>
      </w:pPr>
      <w:r>
        <w:t xml:space="preserve">Приложение </w:t>
      </w:r>
      <w:r/>
    </w:p>
    <w:p>
      <w:pPr>
        <w:pBdr/>
        <w:spacing/>
        <w:ind/>
        <w:jc w:val="right"/>
        <w:rPr/>
      </w:pPr>
      <w:r>
        <w:t xml:space="preserve">к контракту от «_____» ___________ 202</w:t>
      </w:r>
      <w:r>
        <w:t xml:space="preserve">6</w:t>
      </w:r>
      <w:r>
        <w:t xml:space="preserve"> г.</w:t>
      </w:r>
      <w:r/>
    </w:p>
    <w:p>
      <w:pPr>
        <w:pBdr/>
        <w:spacing/>
        <w:ind/>
        <w:jc w:val="right"/>
        <w:rPr/>
      </w:pPr>
      <w:r>
        <w:rPr>
          <w:sz w:val="22"/>
          <w:szCs w:val="22"/>
        </w:rPr>
        <w:t xml:space="preserve">№ _________________</w:t>
      </w:r>
      <w:r/>
    </w:p>
    <w:p>
      <w:pPr>
        <w:pBdr/>
        <w:spacing/>
        <w:ind/>
        <w:jc w:val="right"/>
        <w:rPr/>
      </w:pPr>
      <w:r/>
      <w:r/>
    </w:p>
    <w:p>
      <w:pPr>
        <w:widowControl w:val="false"/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ТЕХНИЧЕСКОЕ ЗАДАНИЕ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на о</w:t>
      </w:r>
      <w:r>
        <w:rPr>
          <w:b/>
          <w:sz w:val="22"/>
          <w:szCs w:val="22"/>
        </w:rPr>
        <w:t xml:space="preserve">казание услуг по техническому обслуживанию оргтехники (ремонт МФУ и принтеров).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1. Наименование оказываемых услуг: 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Техническое обслуживание (ТО)</w:t>
      </w:r>
      <w:r>
        <w:rPr>
          <w:rFonts w:eastAsia="Calibri"/>
        </w:rPr>
        <w:t xml:space="preserve"> и ремонт (далее – Услуги)</w:t>
      </w:r>
      <w:r>
        <w:rPr>
          <w:rFonts w:eastAsia="Calibri"/>
        </w:rPr>
        <w:t xml:space="preserve">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2. Количество оказываемых услуг: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Т</w:t>
      </w:r>
      <w:r>
        <w:rPr>
          <w:rFonts w:eastAsia="Calibri"/>
        </w:rPr>
        <w:t xml:space="preserve">ехническое обслуживание </w:t>
      </w:r>
      <w:r>
        <w:rPr>
          <w:rFonts w:eastAsia="Calibri"/>
        </w:rPr>
        <w:t xml:space="preserve">компьютерной и</w:t>
      </w:r>
      <w:r>
        <w:rPr>
          <w:rFonts w:eastAsia="Calibri"/>
        </w:rPr>
        <w:t xml:space="preserve"> оргтехники, </w:t>
      </w:r>
      <w:r>
        <w:rPr>
          <w:rFonts w:eastAsia="Calibri"/>
        </w:rPr>
        <w:t xml:space="preserve">ремонт и </w:t>
      </w:r>
      <w:r>
        <w:rPr>
          <w:rFonts w:eastAsia="Calibri"/>
        </w:rPr>
        <w:t xml:space="preserve">диагностика</w:t>
      </w:r>
      <w:r>
        <w:rPr>
          <w:rFonts w:eastAsia="Calibri"/>
        </w:rPr>
        <w:t xml:space="preserve">, определяется направляемыми заявками</w:t>
      </w:r>
      <w:r>
        <w:rPr>
          <w:rFonts w:eastAsia="Calibri"/>
        </w:rPr>
        <w:t xml:space="preserve">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3. Место оказания услуг: </w:t>
      </w:r>
      <w:r>
        <w:rPr>
          <w:rFonts w:eastAsia="Calibri"/>
        </w:rPr>
        <w:t xml:space="preserve">Республика Коми</w:t>
      </w:r>
      <w:r>
        <w:rPr>
          <w:rFonts w:eastAsia="Calibri"/>
        </w:rPr>
        <w:t xml:space="preserve">, г. Сыктывкар ул. Советская д. 67, г. Ухта,</w:t>
      </w:r>
      <w:r>
        <w:rPr>
          <w:rFonts w:eastAsia="Calibri"/>
        </w:rPr>
        <w:br/>
        <w:t xml:space="preserve">ул. Пушкина, д. 19, г. Усинск ул. Парковая д. 9/1, г. Воркута, ул. Мира, д. 3-Б</w:t>
      </w:r>
      <w:r>
        <w:rPr>
          <w:rFonts w:eastAsia="Calibri"/>
        </w:rPr>
        <w:t xml:space="preserve">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4. Сроки оказания услуг: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Оказание услуг должно проводиться с момента заключения договора </w:t>
      </w:r>
      <w:r>
        <w:rPr>
          <w:rFonts w:eastAsia="Calibri"/>
        </w:rPr>
        <w:t xml:space="preserve">до 30 ноября 20</w:t>
      </w:r>
      <w:r>
        <w:rPr>
          <w:rFonts w:eastAsia="Calibri"/>
        </w:rPr>
        <w:t xml:space="preserve">2</w:t>
      </w:r>
      <w:r>
        <w:rPr>
          <w:rFonts w:eastAsia="Calibri"/>
        </w:rPr>
        <w:t xml:space="preserve">6</w:t>
      </w:r>
      <w:r>
        <w:rPr>
          <w:rFonts w:eastAsia="Calibri"/>
        </w:rPr>
        <w:t xml:space="preserve"> года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5. Цели использования результатов услуг: 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Поддержание оргтехники Заказчика в работоспособном состоянии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6. Виды оказываемых услуг: 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Техническое обслуживание оргтехники</w:t>
      </w:r>
      <w:r>
        <w:rPr>
          <w:rFonts w:eastAsia="Calibri"/>
        </w:rPr>
        <w:t xml:space="preserve"> (ТО)</w:t>
      </w:r>
      <w:r>
        <w:rPr>
          <w:rFonts w:eastAsia="Calibri"/>
        </w:rPr>
        <w:t xml:space="preserve">, по заявкам Заказчика.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7. Условия оказания услуг: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7.1. Услуги </w:t>
      </w:r>
      <w:r>
        <w:rPr>
          <w:rFonts w:eastAsia="Calibri"/>
        </w:rPr>
        <w:t xml:space="preserve">по ремонту </w:t>
      </w:r>
      <w:r>
        <w:rPr>
          <w:rFonts w:eastAsia="Calibri"/>
        </w:rPr>
        <w:t xml:space="preserve">оказываются </w:t>
      </w:r>
      <w:r>
        <w:rPr>
          <w:rFonts w:eastAsia="Calibri"/>
        </w:rPr>
        <w:t xml:space="preserve">в сервисном центре Исполнителя.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7.2. </w:t>
      </w:r>
      <w:r>
        <w:rPr>
          <w:rFonts w:eastAsia="Calibri"/>
        </w:rPr>
        <w:t xml:space="preserve">Услуги оказываются в соответствии с </w:t>
      </w:r>
      <w:r>
        <w:rPr>
          <w:rFonts w:eastAsia="Calibri"/>
        </w:rPr>
        <w:t xml:space="preserve">необходимыми техническим рекомендациями.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7.3. </w:t>
      </w:r>
      <w:r>
        <w:rPr>
          <w:rFonts w:eastAsia="Calibri"/>
        </w:rPr>
        <w:t xml:space="preserve">Профилактическое обслуживание</w:t>
      </w:r>
      <w:r>
        <w:rPr>
          <w:rFonts w:eastAsia="Calibri"/>
        </w:rPr>
        <w:t xml:space="preserve"> производит</w:t>
      </w:r>
      <w:r>
        <w:rPr>
          <w:rFonts w:eastAsia="Calibri"/>
        </w:rPr>
        <w:t xml:space="preserve">ся</w:t>
      </w:r>
      <w:r>
        <w:rPr>
          <w:rFonts w:eastAsia="Calibri"/>
        </w:rPr>
        <w:t xml:space="preserve"> на территории Заказчика</w:t>
      </w:r>
      <w:r>
        <w:rPr>
          <w:rFonts w:eastAsia="Calibri"/>
        </w:rPr>
        <w:t xml:space="preserve"> или </w:t>
      </w:r>
      <w:r>
        <w:rPr>
          <w:rFonts w:eastAsia="Calibri"/>
        </w:rPr>
        <w:t xml:space="preserve">в сервисном центре Исполнителя.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7.4. Доставка оборудования в ремонт и из ремонта, в том числе и оборудования находящегося на гарант</w:t>
      </w:r>
      <w:r>
        <w:rPr>
          <w:rFonts w:eastAsia="Calibri"/>
        </w:rPr>
        <w:t xml:space="preserve">ийном обслуживании</w:t>
      </w:r>
      <w:r>
        <w:rPr>
          <w:rFonts w:eastAsia="Calibri"/>
        </w:rPr>
        <w:t xml:space="preserve">, осуществляется за </w:t>
      </w:r>
      <w:r>
        <w:rPr>
          <w:rFonts w:eastAsia="Calibri"/>
        </w:rPr>
        <w:t xml:space="preserve">счё</w:t>
      </w:r>
      <w:r>
        <w:rPr>
          <w:rFonts w:eastAsia="Calibri"/>
        </w:rPr>
        <w:t xml:space="preserve">т средств Исполнителя.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7.5. Стоимость ремонтных работ</w:t>
      </w:r>
      <w:r>
        <w:rPr>
          <w:rFonts w:eastAsia="Calibri"/>
        </w:rPr>
        <w:t xml:space="preserve"> и</w:t>
      </w:r>
      <w:r>
        <w:rPr>
          <w:rFonts w:eastAsia="Calibri"/>
        </w:rPr>
        <w:t xml:space="preserve"> запасных частей входит в стоимость </w:t>
      </w:r>
      <w:r>
        <w:rPr>
          <w:rFonts w:eastAsia="Calibri"/>
        </w:rPr>
        <w:t xml:space="preserve">оказания Услуг.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8. Общие требования к оказываемым услугам: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Провести Работы качественно и в установленные сроки, в случае </w:t>
      </w:r>
      <w:r>
        <w:rPr>
          <w:rFonts w:eastAsia="Calibri"/>
        </w:rPr>
        <w:t xml:space="preserve">ТО</w:t>
      </w:r>
      <w:r>
        <w:rPr>
          <w:rFonts w:eastAsia="Calibri"/>
        </w:rPr>
        <w:t xml:space="preserve"> оборудования с заменой узлов и деталей, предоставить Заказчику полную информацию по необходимым запасным частям, в случае необходимости обеспечить поставку запасных ча</w:t>
      </w:r>
      <w:r>
        <w:rPr>
          <w:rFonts w:eastAsia="Calibri"/>
        </w:rPr>
        <w:t xml:space="preserve">стей и комплектующих, необходимых для нормальной эксплуатации оргтехники, предоставлять Заказчику рекомендации и консультации, необходимые для обеспечения бесперебойной эксплуатации оргтехники, информировать без промедления обо всех технических изменениях.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9. Порядок оказания услуг: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rPr>
          <w:rFonts w:eastAsia="Calibri"/>
          <w:bCs/>
        </w:rPr>
      </w:pPr>
      <w:r>
        <w:rPr>
          <w:rFonts w:eastAsia="Calibri"/>
        </w:rPr>
        <w:t xml:space="preserve">Т</w:t>
      </w:r>
      <w:r>
        <w:rPr>
          <w:rFonts w:eastAsia="Calibri"/>
        </w:rPr>
        <w:t xml:space="preserve">ехническое обслуживание </w:t>
      </w:r>
      <w:r>
        <w:rPr>
          <w:rFonts w:eastAsia="Calibri"/>
        </w:rPr>
        <w:t xml:space="preserve">компьютерной и</w:t>
      </w:r>
      <w:r>
        <w:rPr>
          <w:rFonts w:eastAsia="Calibri"/>
        </w:rPr>
        <w:t xml:space="preserve"> оргтехники, </w:t>
      </w:r>
      <w:r>
        <w:rPr>
          <w:rFonts w:eastAsia="Calibri"/>
        </w:rPr>
        <w:t xml:space="preserve">ремонт и </w:t>
      </w:r>
      <w:r>
        <w:rPr>
          <w:rFonts w:eastAsia="Calibri"/>
        </w:rPr>
        <w:t xml:space="preserve">диагностика</w:t>
      </w:r>
      <w:r>
        <w:rPr>
          <w:rFonts w:eastAsia="Calibri"/>
        </w:rPr>
        <w:t xml:space="preserve">,</w:t>
      </w:r>
      <w:r>
        <w:rPr>
          <w:rFonts w:eastAsia="Calibri"/>
          <w:bCs/>
        </w:rPr>
        <w:t xml:space="preserve"> по заявке заказчика.</w:t>
      </w:r>
      <w:r>
        <w:rPr>
          <w:rFonts w:eastAsia="Calibri"/>
          <w:bCs/>
        </w:rPr>
        <w:t xml:space="preserve"> Заявка направляется по электронной почте.</w:t>
      </w:r>
      <w:r>
        <w:rPr>
          <w:rFonts w:eastAsia="Calibri"/>
          <w:bCs/>
        </w:rPr>
      </w:r>
      <w:r>
        <w:rPr>
          <w:rFonts w:eastAsia="Calibri"/>
          <w:bCs/>
        </w:rPr>
      </w:r>
    </w:p>
    <w:p>
      <w:pPr>
        <w:pBdr/>
        <w:spacing/>
        <w:ind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10. Требования к качеству оказываемых услуг: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Оказываемые услуги должны соответствовать требованиям производителя, требованиям действующего законодательства и иным документам, устанавливающим требованиям к качеству услуг являющихся предметом договора.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11. Требования к безопасности оказания услуг и безопасности результатов работ: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Оказание услуг должно осуществляться в соответствии с правилами безопасн</w:t>
      </w:r>
      <w:r>
        <w:rPr>
          <w:rFonts w:eastAsia="Calibri"/>
        </w:rPr>
        <w:t xml:space="preserve">ости, установленными действующими нормативными правовыми актами</w:t>
      </w:r>
      <w:r>
        <w:rPr>
          <w:rFonts w:eastAsia="Calibri"/>
        </w:rPr>
        <w:t xml:space="preserve">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Все оборудование, инструменты и измерительные приборы, используемые при  оказании услуг, должны быть в рабочем и безопасном состоянии. Измерительные приборы должны быть проверены.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12. Порядок сдачи – приемки  оказанных услуг: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Сдача-приемка результатов оказанных услуг производится совместно представ</w:t>
      </w:r>
      <w:r>
        <w:rPr>
          <w:rFonts w:eastAsia="Calibri"/>
        </w:rPr>
        <w:t xml:space="preserve">ителями </w:t>
      </w:r>
      <w:r>
        <w:rPr>
          <w:rFonts w:eastAsia="Calibri"/>
        </w:rPr>
        <w:t xml:space="preserve">Исполнителя и З</w:t>
      </w:r>
      <w:r>
        <w:rPr>
          <w:rFonts w:eastAsia="Calibri"/>
        </w:rPr>
        <w:t xml:space="preserve">аказчика</w:t>
      </w:r>
      <w:r>
        <w:rPr>
          <w:rFonts w:eastAsia="Calibri"/>
        </w:rPr>
        <w:t xml:space="preserve">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13. Требования по передаче заказчику технических и иных документов по завершению и сдаче оказанных услуг: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После сдачи-приемки оказанных услуг исполнитель передает Акты на оказанные услуги, подписанные уполномоченным представителем исполнителя заказчику. Заказчик обязан подписать Акты или представить исполнителю мотивированный отказ в соо</w:t>
      </w:r>
      <w:r>
        <w:rPr>
          <w:rFonts w:eastAsia="Calibri"/>
        </w:rPr>
        <w:t xml:space="preserve">тветствии с условиями договора.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14.Требования по объему гарантий качества оказываемых услуг</w:t>
      </w:r>
      <w:r>
        <w:rPr>
          <w:rFonts w:eastAsia="Calibri"/>
        </w:rPr>
        <w:t xml:space="preserve">: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В течени</w:t>
      </w:r>
      <w:r>
        <w:rPr>
          <w:rFonts w:eastAsia="Calibri"/>
        </w:rPr>
        <w:t xml:space="preserve">и</w:t>
      </w:r>
      <w:r>
        <w:rPr>
          <w:rFonts w:eastAsia="Calibri"/>
        </w:rPr>
        <w:t xml:space="preserve"> гарантийного срока Исполнитель обязан по заявке Заказчика устранить повторную неисправность оборудования без дополнительной оплаты в объеме выполненных работ.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15.Требования по сроку гарантий качества оказываемых услуг:</w:t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jc w:val="both"/>
        <w:rPr>
          <w:rFonts w:eastAsia="Calibri"/>
        </w:rPr>
      </w:pPr>
      <w:r>
        <w:rPr>
          <w:rFonts w:eastAsia="Calibri"/>
        </w:rPr>
        <w:t xml:space="preserve">Срок гарантии на выполняемые Работы определяется  не менее </w:t>
      </w:r>
      <w:r>
        <w:rPr>
          <w:rFonts w:eastAsia="Calibri"/>
        </w:rPr>
        <w:t xml:space="preserve">шести</w:t>
      </w:r>
      <w:r>
        <w:rPr>
          <w:rFonts w:eastAsia="Calibri"/>
        </w:rPr>
        <w:t xml:space="preserve"> месяц</w:t>
      </w:r>
      <w:r>
        <w:rPr>
          <w:rFonts w:eastAsia="Calibri"/>
        </w:rPr>
        <w:t xml:space="preserve">ев</w:t>
      </w:r>
      <w:r>
        <w:rPr>
          <w:rFonts w:eastAsia="Calibri"/>
        </w:rPr>
        <w:t xml:space="preserve">. </w:t>
      </w:r>
      <w:r>
        <w:rPr>
          <w:rFonts w:eastAsia="Calibri"/>
        </w:rPr>
        <w:t xml:space="preserve">Срок гарантии на Комплектующие, имеющие ограниченный эксплуатационный ресурс, определяется изготовителем и указан в технической документации на изделие.</w:t>
      </w:r>
      <w:r>
        <w:rPr>
          <w:rFonts w:eastAsia="Calibri"/>
        </w:rPr>
      </w:r>
      <w:r>
        <w:rPr>
          <w:rFonts w:eastAsia="Calibri"/>
        </w:rPr>
      </w:r>
    </w:p>
    <w:p>
      <w:pPr>
        <w:pBdr/>
        <w:spacing/>
        <w:ind/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pBdr/>
        <w:spacing/>
        <w:ind/>
        <w:rPr>
          <w:b/>
        </w:rPr>
      </w:pPr>
      <w:r>
        <w:rPr>
          <w:rFonts w:eastAsia="Calibri"/>
          <w:b/>
          <w:bCs/>
        </w:rPr>
        <w:t xml:space="preserve">1</w:t>
      </w:r>
      <w:r>
        <w:rPr>
          <w:rFonts w:eastAsia="Calibri"/>
          <w:b/>
          <w:bCs/>
        </w:rPr>
        <w:t xml:space="preserve">6</w:t>
      </w:r>
      <w:r>
        <w:rPr>
          <w:rFonts w:eastAsia="Calibri"/>
          <w:b/>
          <w:bCs/>
        </w:rPr>
        <w:t xml:space="preserve">. </w:t>
      </w:r>
      <w:r>
        <w:rPr>
          <w:rFonts w:eastAsia="Calibri"/>
          <w:b/>
          <w:bCs/>
        </w:rPr>
        <w:t xml:space="preserve">Объем</w:t>
      </w:r>
      <w:r>
        <w:rPr>
          <w:rFonts w:eastAsia="Calibri"/>
          <w:b/>
          <w:bCs/>
        </w:rPr>
        <w:t xml:space="preserve"> услуг</w:t>
      </w:r>
      <w:r>
        <w:rPr>
          <w:rFonts w:eastAsia="Calibri"/>
          <w:b/>
          <w:bCs/>
        </w:rPr>
        <w:t xml:space="preserve">:</w:t>
      </w:r>
      <w:r>
        <w:rPr>
          <w:b/>
        </w:rPr>
      </w:r>
      <w:r>
        <w:rPr>
          <w:b/>
        </w:rPr>
      </w:r>
    </w:p>
    <w:tbl>
      <w:tblPr>
        <w:tblStyle w:val="678"/>
        <w:tblW w:w="9779" w:type="dxa"/>
        <w:tblInd w:w="108" w:type="dxa"/>
        <w:tblBorders/>
        <w:tblLayout w:type="fixed"/>
        <w:tblLook w:val="04A0" w:firstRow="1" w:lastRow="0" w:firstColumn="1" w:lastColumn="0" w:noHBand="0" w:noVBand="1"/>
      </w:tblPr>
      <w:tblGrid>
        <w:gridCol w:w="993"/>
        <w:gridCol w:w="5384"/>
        <w:gridCol w:w="3402"/>
      </w:tblGrid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№ </w:t>
            </w:r>
            <w:r>
              <w:t xml:space="preserve">п</w:t>
            </w:r>
            <w:r>
              <w:t xml:space="preserve">/п</w:t>
            </w:r>
            <w:r/>
            <w:r/>
          </w:p>
        </w:tc>
        <w:tc>
          <w:tcPr>
            <w:tcBorders/>
            <w:tcW w:w="538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Наименование р</w:t>
            </w:r>
            <w:r>
              <w:t xml:space="preserve">абот</w:t>
            </w:r>
            <w:r/>
            <w:r/>
          </w:p>
        </w:tc>
        <w:tc>
          <w:tcPr>
            <w:tcBorders/>
            <w:tcW w:w="34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Цена за единицу услуги</w:t>
            </w:r>
            <w:r>
              <w:rPr>
                <w:color w:val="ff0000"/>
              </w:rPr>
              <w:t xml:space="preserve">*</w:t>
            </w:r>
            <w:r>
              <w:t xml:space="preserve">, руб.</w:t>
            </w:r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Диагностика оргтехники с выдачей заключения о техническом состоянии и необходимого ремонта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Техническое обслуживание и профилактика (чистка оргтехники от следов тонера внутренних узлов, чистка </w:t>
            </w:r>
            <w:r>
              <w:rPr>
                <w:color w:val="000000"/>
              </w:rPr>
              <w:t xml:space="preserve">бумагопротяжных</w:t>
            </w:r>
            <w:r>
              <w:rPr>
                <w:color w:val="000000"/>
              </w:rPr>
              <w:t xml:space="preserve"> механизмов, чистка узла обработки изображения сканера)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с заменой ролика захвата, ролика подачи и ролика отделения бумаги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захвата с заменой ролика захвата/подачи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захвата </w:t>
            </w:r>
            <w:r>
              <w:rPr>
                <w:color w:val="000000"/>
              </w:rPr>
              <w:t xml:space="preserve">автоподачика</w:t>
            </w:r>
            <w:r>
              <w:rPr>
                <w:color w:val="000000"/>
              </w:rPr>
              <w:t xml:space="preserve"> сканера с заменой ролика захвата бумаги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захвата с заменой ролика захвата бумаги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захвата с заменой тормозной площадки подачи бумаги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закрепления изображения с заменой </w:t>
            </w:r>
            <w:r>
              <w:rPr>
                <w:color w:val="000000"/>
              </w:rPr>
              <w:t xml:space="preserve">термопленки</w:t>
            </w:r>
            <w:r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бушингов</w:t>
            </w:r>
            <w:r>
              <w:rPr>
                <w:color w:val="000000"/>
              </w:rPr>
              <w:t xml:space="preserve">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закрепления изображения с заменой </w:t>
            </w:r>
            <w:r>
              <w:rPr>
                <w:color w:val="000000"/>
              </w:rPr>
              <w:t xml:space="preserve">термопленки</w:t>
            </w:r>
            <w:r>
              <w:rPr>
                <w:color w:val="000000"/>
              </w:rPr>
              <w:t xml:space="preserve">, резинового вала и </w:t>
            </w:r>
            <w:r>
              <w:rPr>
                <w:color w:val="000000"/>
              </w:rPr>
              <w:t xml:space="preserve">бушингов</w:t>
            </w:r>
            <w:r>
              <w:rPr>
                <w:color w:val="000000"/>
              </w:rPr>
              <w:t xml:space="preserve">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узла закрепления изображения с заменой узла закрепления изображения в сборе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Ремонт тракта прохождения бумаги (принтер / 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/>
            <w:r/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Перепрошивка</w:t>
            </w:r>
            <w:r>
              <w:rPr>
                <w:color w:val="000000"/>
              </w:rPr>
              <w:t xml:space="preserve"> (восстановление программного обеспечения) МФУ/принтера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узла тормозной площадки ADF в сборе (МФУ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МФУ замена узла сканирования изображения (МФУ А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Многофункциональное устройство M60ade (ремонт/замена нижнего лотка подачи бумаги)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(замена) системной платы на ноутбуке </w:t>
            </w:r>
            <w:r>
              <w:rPr>
                <w:color w:val="000000"/>
              </w:rPr>
              <w:t xml:space="preserve">Lenovo</w:t>
            </w:r>
            <w:r>
              <w:rPr>
                <w:color w:val="000000"/>
              </w:rPr>
              <w:t xml:space="preserve"> Z560 (восстановление </w:t>
            </w:r>
            <w:r>
              <w:rPr>
                <w:color w:val="000000"/>
                <w:lang w:val="en-US"/>
              </w:rPr>
              <w:t xml:space="preserve">USB</w:t>
            </w:r>
            <w:r>
              <w:rPr>
                <w:color w:val="000000"/>
              </w:rPr>
              <w:t xml:space="preserve"> портов)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Монитора 20" </w:t>
            </w:r>
            <w:r>
              <w:rPr>
                <w:color w:val="000000"/>
              </w:rPr>
              <w:t xml:space="preserve">ViewSonic</w:t>
            </w:r>
            <w:r>
              <w:rPr>
                <w:color w:val="000000"/>
              </w:rPr>
              <w:t xml:space="preserve"> (замена подсветки экрана)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моноблока </w:t>
            </w:r>
            <w:r>
              <w:rPr>
                <w:color w:val="000000"/>
              </w:rPr>
              <w:t xml:space="preserve">Life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Tech</w:t>
            </w:r>
            <w:r>
              <w:rPr>
                <w:color w:val="000000"/>
              </w:rPr>
              <w:t xml:space="preserve"> ST-</w:t>
            </w:r>
            <w:r>
              <w:rPr>
                <w:color w:val="000000"/>
              </w:rPr>
              <w:t xml:space="preserve">Line</w:t>
            </w:r>
            <w:r>
              <w:rPr>
                <w:color w:val="000000"/>
              </w:rPr>
              <w:t xml:space="preserve"> K4 V1 (ремонт/замена матрицы экрана)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ИБП SUA1500I (замена аккумулятора 2*12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</w:rPr>
              <w:t xml:space="preserve"> 17 </w:t>
            </w:r>
            <w:r>
              <w:rPr>
                <w:color w:val="000000"/>
              </w:rPr>
              <w:t xml:space="preserve">Ач</w:t>
            </w:r>
            <w:r>
              <w:rPr>
                <w:color w:val="000000"/>
              </w:rPr>
              <w:t xml:space="preserve">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ИБП </w:t>
            </w:r>
            <w:r>
              <w:rPr>
                <w:color w:val="000000"/>
                <w:lang w:val="en-US"/>
              </w:rPr>
              <w:t xml:space="preserve">APC</w:t>
            </w:r>
            <w:r>
              <w:rPr>
                <w:color w:val="000000"/>
              </w:rPr>
              <w:t xml:space="preserve">500 (замена аккумулятора 12</w:t>
            </w:r>
            <w:r>
              <w:rPr>
                <w:color w:val="000000"/>
              </w:rPr>
              <w:t xml:space="preserve"> В</w:t>
            </w:r>
            <w:r>
              <w:rPr>
                <w:color w:val="000000"/>
              </w:rPr>
              <w:t xml:space="preserve"> 7 </w:t>
            </w:r>
            <w:r>
              <w:rPr>
                <w:color w:val="000000"/>
              </w:rPr>
              <w:t xml:space="preserve">Ач</w:t>
            </w:r>
            <w:r>
              <w:rPr>
                <w:color w:val="000000"/>
              </w:rPr>
              <w:t xml:space="preserve">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моноблока HP </w:t>
            </w:r>
            <w:r>
              <w:rPr>
                <w:color w:val="000000"/>
              </w:rPr>
              <w:t xml:space="preserve">Pro</w:t>
            </w:r>
            <w:r>
              <w:rPr>
                <w:color w:val="000000"/>
              </w:rPr>
              <w:t xml:space="preserve"> 3520 (замена </w:t>
            </w:r>
            <w:r>
              <w:rPr>
                <w:color w:val="000000"/>
                <w:lang w:val="en-US"/>
              </w:rPr>
              <w:t xml:space="preserve">HDD</w:t>
            </w:r>
            <w:r>
              <w:rPr>
                <w:color w:val="000000"/>
              </w:rPr>
              <w:t xml:space="preserve"> диска не менее 500 Гб </w:t>
            </w:r>
            <w:r>
              <w:rPr>
                <w:color w:val="000000"/>
                <w:lang w:val="en-US"/>
              </w:rPr>
              <w:t xml:space="preserve">SATA</w:t>
            </w:r>
            <w:r>
              <w:rPr>
                <w:color w:val="000000"/>
              </w:rPr>
              <w:t xml:space="preserve"> 3, замена </w:t>
            </w:r>
            <w:r>
              <w:rPr>
                <w:color w:val="000000"/>
                <w:lang w:val="en-US"/>
              </w:rPr>
              <w:t xml:space="preserve">RAM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DDR</w:t>
            </w:r>
            <w:r>
              <w:rPr>
                <w:color w:val="000000"/>
              </w:rPr>
              <w:t xml:space="preserve">-3, не менее 4 Гб)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моноблока </w:t>
            </w:r>
            <w:r>
              <w:rPr>
                <w:color w:val="000000"/>
                <w:lang w:val="en-US"/>
              </w:rPr>
              <w:t xml:space="preserve">Lenovo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M</w:t>
            </w:r>
            <w:r>
              <w:rPr>
                <w:color w:val="000000"/>
              </w:rPr>
              <w:t xml:space="preserve">73</w:t>
            </w:r>
            <w:r>
              <w:rPr>
                <w:color w:val="000000"/>
                <w:lang w:val="en-US"/>
              </w:rPr>
              <w:t xml:space="preserve">z</w:t>
            </w:r>
            <w:r>
              <w:rPr>
                <w:color w:val="000000"/>
              </w:rPr>
              <w:t xml:space="preserve"> (замена HDD диска не менее 500 Гб SATA 3)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622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системного блока (замена </w:t>
            </w:r>
            <w:r>
              <w:rPr>
                <w:color w:val="000000"/>
                <w:lang w:val="en-US"/>
              </w:rPr>
              <w:t xml:space="preserve">HDD</w:t>
            </w:r>
            <w:r>
              <w:rPr>
                <w:color w:val="000000"/>
              </w:rPr>
              <w:t xml:space="preserve"> диска не менее 500 Гб </w:t>
            </w:r>
            <w:r>
              <w:rPr>
                <w:color w:val="000000"/>
                <w:lang w:val="en-US"/>
              </w:rPr>
              <w:t xml:space="preserve">SATA</w:t>
            </w:r>
            <w:r>
              <w:rPr>
                <w:color w:val="000000"/>
              </w:rPr>
              <w:t xml:space="preserve"> 3)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системного блока (замена блока питания </w:t>
            </w:r>
            <w:r>
              <w:rPr>
                <w:color w:val="000000"/>
                <w:lang w:val="en-US"/>
              </w:rPr>
              <w:t xml:space="preserve">ATX</w:t>
            </w:r>
            <w:r>
              <w:rPr>
                <w:color w:val="000000"/>
              </w:rPr>
              <w:t xml:space="preserve"> [450 Вт, APFC, 20+4 </w:t>
            </w:r>
            <w:r>
              <w:rPr>
                <w:color w:val="000000"/>
              </w:rPr>
              <w:t xml:space="preserve">pin</w:t>
            </w:r>
            <w:r>
              <w:rPr>
                <w:color w:val="000000"/>
              </w:rPr>
              <w:t xml:space="preserve">, 4 </w:t>
            </w:r>
            <w:r>
              <w:rPr>
                <w:color w:val="000000"/>
              </w:rPr>
              <w:t xml:space="preserve">pin</w:t>
            </w:r>
            <w:r>
              <w:rPr>
                <w:color w:val="000000"/>
              </w:rPr>
              <w:t xml:space="preserve"> CPU, 4 SATA, 6+2 </w:t>
            </w:r>
            <w:r>
              <w:rPr>
                <w:color w:val="000000"/>
              </w:rPr>
              <w:t xml:space="preserve">pin</w:t>
            </w:r>
            <w:r>
              <w:rPr>
                <w:color w:val="000000"/>
              </w:rPr>
              <w:t xml:space="preserve"> PCI-E])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системного блока (замена сетевого адаптера [1 x RJ-45, 1000 Мбит/сек, 100 Мбит/сек, PCI-E])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системного блока (замена батареи на системной плате)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>
          <w:trHeight w:val="315"/>
        </w:trPr>
        <w:tc>
          <w:tcPr>
            <w:tcBorders/>
            <w:tcW w:w="993" w:type="dxa"/>
            <w:textDirection w:val="lrTb"/>
            <w:noWrap/>
          </w:tcPr>
          <w:p>
            <w:pPr>
              <w:pStyle w:val="842"/>
              <w:numPr>
                <w:ilvl w:val="0"/>
                <w:numId w:val="3"/>
              </w:numPr>
              <w:pBdr/>
              <w:tabs>
                <w:tab w:val="left" w:leader="none" w:pos="601"/>
              </w:tabs>
              <w:spacing/>
              <w:ind w:right="318" w:firstLine="0" w:left="176"/>
              <w:jc w:val="center"/>
              <w:rPr/>
            </w:pPr>
            <w:r/>
            <w:r/>
            <w:r/>
          </w:p>
        </w:tc>
        <w:tc>
          <w:tcPr>
            <w:tcBorders/>
            <w:tcW w:w="5384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</w:rPr>
            </w:pPr>
            <w:r>
              <w:rPr>
                <w:color w:val="000000"/>
              </w:rPr>
              <w:t xml:space="preserve">Ремонт ноутбука </w:t>
            </w:r>
            <w:r>
              <w:rPr>
                <w:color w:val="000000"/>
                <w:lang w:val="en-US"/>
              </w:rPr>
              <w:t xml:space="preserve">HP</w:t>
            </w:r>
            <w:r>
              <w:rPr>
                <w:color w:val="000000"/>
              </w:rPr>
              <w:t xml:space="preserve"> 4540 / </w:t>
            </w:r>
            <w:r>
              <w:rPr>
                <w:color w:val="000000"/>
                <w:lang w:val="en-US"/>
              </w:rPr>
              <w:t xml:space="preserve">HP</w:t>
            </w:r>
            <w:r>
              <w:rPr>
                <w:color w:val="000000"/>
              </w:rPr>
              <w:t xml:space="preserve"> 450 (замена аккумуляторной батареи)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tcBorders/>
            <w:tcW w:w="34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</w:tbl>
    <w:p>
      <w:pPr>
        <w:pBdr/>
        <w:spacing/>
        <w:ind w:firstLine="0" w:left="709"/>
        <w:rPr>
          <w:b/>
          <w:bCs/>
          <w:i/>
          <w:color w:val="ff0000"/>
        </w:rPr>
      </w:pPr>
      <w:r>
        <w:rPr>
          <w:b/>
          <w:i/>
          <w:iCs/>
          <w:color w:val="ff0000"/>
          <w:highlight w:val="none"/>
        </w:rPr>
      </w:r>
      <w:r>
        <w:rPr>
          <w:b/>
          <w:i/>
          <w:iCs/>
          <w:color w:val="ff0000"/>
          <w:highlight w:val="none"/>
        </w:rPr>
      </w:r>
    </w:p>
    <w:p>
      <w:pPr>
        <w:pBdr/>
        <w:spacing/>
        <w:ind w:firstLine="0" w:left="0"/>
        <w:rPr>
          <w:b/>
          <w:bCs/>
          <w:i/>
          <w:color w:val="ff0000"/>
          <w:highlight w:val="none"/>
        </w:rPr>
      </w:pPr>
      <w:r>
        <w:rPr>
          <w:b/>
          <w:i/>
          <w:iCs/>
          <w:color w:val="ff0000"/>
        </w:rPr>
        <w:t xml:space="preserve">*Определяется на основании поданной заявки</w:t>
      </w:r>
      <w:r>
        <w:rPr>
          <w:b/>
          <w:i/>
          <w:iCs/>
          <w:color w:val="ff0000"/>
        </w:rPr>
      </w:r>
    </w:p>
    <w:p>
      <w:pPr>
        <w:pBdr/>
        <w:spacing/>
        <w:ind w:firstLine="0" w:left="709"/>
        <w:rPr>
          <w:b/>
          <w:bCs/>
          <w:i/>
          <w:color w:val="ff0000"/>
        </w:rPr>
      </w:pPr>
      <w:r>
        <w:rPr>
          <w:b/>
          <w:i/>
          <w:iCs/>
          <w:color w:val="ff0000"/>
          <w:highlight w:val="none"/>
        </w:rPr>
      </w:r>
      <w:r>
        <w:rPr>
          <w:b/>
          <w:i/>
          <w:iCs/>
          <w:color w:val="ff0000"/>
          <w:highlight w:val="none"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/>
      </w:pP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tbl>
      <w:tblPr>
        <w:tblW w:w="9952" w:type="dxa"/>
        <w:tblInd w:w="109" w:type="dxa"/>
        <w:tblBorders/>
        <w:tblLayout w:type="fixed"/>
        <w:tblLook w:val="0000" w:firstRow="0" w:lastRow="0" w:firstColumn="0" w:lastColumn="0" w:noHBand="0" w:noVBand="0"/>
      </w:tblPr>
      <w:tblGrid>
        <w:gridCol w:w="4959"/>
        <w:gridCol w:w="4993"/>
      </w:tblGrid>
      <w:tr>
        <w:trPr>
          <w:trHeight w:val="2508"/>
        </w:trPr>
        <w:tc>
          <w:tcPr>
            <w:shd w:val="clear" w:color="ffffff" w:fill="ffffff"/>
            <w:tcBorders/>
            <w:tcW w:w="495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Исполнитель:</w:t>
            </w:r>
            <w:r>
              <w:rPr>
                <w:rFonts w:cs="Tahoma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</w:r>
            <w:r>
              <w:rPr>
                <w:rFonts w:cs="Tahoma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</w:r>
            <w:r>
              <w:rPr>
                <w:rFonts w:cs="Tahoma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</w:r>
            <w:r>
              <w:rPr>
                <w:rFonts w:cs="Tahoma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</w:r>
            <w:r>
              <w:rPr>
                <w:rFonts w:cs="Tahoma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</w:r>
            <w:r>
              <w:rPr>
                <w:rFonts w:cs="Tahoma"/>
                <w:sz w:val="22"/>
                <w:szCs w:val="22"/>
                <w:lang w:val="en-US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</w:r>
            <w:r>
              <w:rPr>
                <w:rFonts w:cs="Tahoma"/>
                <w:sz w:val="22"/>
                <w:szCs w:val="22"/>
                <w:lang w:val="en-US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  <w:lang w:val="en-US"/>
              </w:rPr>
            </w:pPr>
            <w:r>
              <w:rPr>
                <w:rFonts w:cs="Tahoma"/>
                <w:sz w:val="22"/>
                <w:szCs w:val="22"/>
                <w:lang w:val="en-US"/>
              </w:rPr>
            </w:r>
            <w:r>
              <w:rPr>
                <w:rFonts w:cs="Tahoma"/>
                <w:sz w:val="22"/>
                <w:szCs w:val="22"/>
                <w:lang w:val="en-US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</w:r>
            <w:r>
              <w:rPr>
                <w:rFonts w:cs="Tahoma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</w:r>
            <w:r>
              <w:rPr>
                <w:rFonts w:cs="Tahoma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______________ /________________/</w:t>
            </w:r>
            <w:r>
              <w:rPr>
                <w:rFonts w:cs="Tahoma"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М.П.</w:t>
            </w:r>
            <w:r>
              <w:rPr>
                <w:rFonts w:cs="Tahoma"/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499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Заказчик: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Печорское управление Ростехнадзора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/>
            <w:bookmarkStart w:id="0" w:name="_GoBack"/>
            <w:r/>
            <w:bookmarkEnd w:id="0"/>
            <w:r/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И.о. руководителя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 В.А. Мартынов 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851" w:right="1134" w:bottom="426" w:left="1134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Segoe UI">
    <w:panose1 w:val="020B0503020204020204"/>
  </w:font>
  <w:font w:name="Arial">
    <w:panose1 w:val="020B0604020202020204"/>
  </w:font>
  <w:font w:name="Lucida Sans Unicode">
    <w:panose1 w:val="020B0603030804020204"/>
  </w:font>
  <w:font w:name="WenQuanYi Micro Hei">
    <w:panose1 w:val="020B0606030804020204"/>
  </w:font>
  <w:font w:name="Courier New">
    <w:panose1 w:val="02070309020205020404"/>
  </w:font>
  <w:font w:name="Mangal">
    <w:panose1 w:val="020405030504060302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142"/>
      </w:pPr>
      <w:rPr/>
      <w:start w:val="1"/>
      <w:suff w:val="space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space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space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space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space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space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space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space"/>
    </w:lvl>
  </w:abstractNum>
  <w:abstractNum w:abstractNumId="1">
    <w:lvl w:ilvl="0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1"/>
      <w:suff w:val="space"/>
    </w:lvl>
    <w:lvl w:ilvl="1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1"/>
      <w:suff w:val="space"/>
    </w:lvl>
    <w:lvl w:ilvl="2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1"/>
      <w:suff w:val="space"/>
    </w:lvl>
    <w:lvl w:ilvl="3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1"/>
      <w:suff w:val="space"/>
    </w:lvl>
    <w:lvl w:ilvl="4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1"/>
      <w:suff w:val="space"/>
    </w:lvl>
    <w:lvl w:ilvl="5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1"/>
      <w:suff w:val="space"/>
    </w:lvl>
    <w:lvl w:ilvl="6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1"/>
      <w:suff w:val="space"/>
    </w:lvl>
    <w:lvl w:ilvl="7">
      <w:isLgl w:val="false"/>
      <w:lvlJc w:val="left"/>
      <w:lvlText/>
      <w:numFmt w:val="none"/>
      <w:pPr>
        <w:pBdr/>
        <w:tabs>
          <w:tab w:val="num" w:leader="none" w:pos="360"/>
        </w:tabs>
        <w:spacing/>
        <w:ind/>
      </w:pPr>
      <w:rPr/>
      <w:start w:val="1"/>
      <w:suff w:val="space"/>
    </w:lvl>
    <w:lvl w:ilvl="8">
      <w:isLgl w:val="false"/>
      <w:lvlJc w:val="left"/>
      <w:lvlText w:val="͵耀˥鞀ͧ玪嘂3.%4.%5.%6.%7.%8.%9.䑼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1417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137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857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3577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297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5017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737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457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7177"/>
      </w:pPr>
      <w:rPr>
        <w:rFonts w:hint="default" w:ascii="Wingdings" w:hAnsi="Wingdings" w:eastAsia="Wingdings" w:cs="Wingdings"/>
      </w:rPr>
      <w:start w:val="1"/>
      <w:suff w:val="space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 w:default="1">
    <w:name w:val="Normal"/>
    <w:qFormat/>
    <w:pPr>
      <w:widowControl w:val="false"/>
      <w:pBdr/>
      <w:spacing/>
      <w:ind/>
    </w:pPr>
    <w:rPr>
      <w:rFonts w:eastAsia="Times New Roman" w:cs="Times New Roman"/>
      <w:sz w:val="24"/>
      <w:lang w:eastAsia="ar-SA"/>
    </w:rPr>
  </w:style>
  <w:style w:type="paragraph" w:styleId="658">
    <w:name w:val="Heading 1"/>
    <w:basedOn w:val="65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59">
    <w:name w:val="Heading 2"/>
    <w:basedOn w:val="65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660">
    <w:name w:val="Heading 3"/>
    <w:basedOn w:val="65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61">
    <w:name w:val="Heading 4"/>
    <w:basedOn w:val="65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65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Cs w:val="24"/>
    </w:rPr>
  </w:style>
  <w:style w:type="paragraph" w:styleId="663">
    <w:name w:val="Heading 6"/>
    <w:basedOn w:val="65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4">
    <w:name w:val="Heading 7"/>
    <w:basedOn w:val="65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5">
    <w:name w:val="Heading 8"/>
    <w:basedOn w:val="65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6">
    <w:name w:val="Heading 9"/>
    <w:basedOn w:val="65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 w:default="1">
    <w:name w:val="Default Paragraph Font"/>
    <w:uiPriority w:val="1"/>
    <w:semiHidden/>
    <w:unhideWhenUsed/>
    <w:pPr>
      <w:pBdr/>
      <w:spacing/>
      <w:ind/>
    </w:pPr>
  </w:style>
  <w:style w:type="table" w:styleId="66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9" w:default="1">
    <w:name w:val="No List"/>
    <w:uiPriority w:val="99"/>
    <w:semiHidden/>
    <w:unhideWhenUsed/>
    <w:pPr>
      <w:pBdr/>
      <w:spacing/>
      <w:ind/>
    </w:pPr>
  </w:style>
  <w:style w:type="character" w:styleId="670">
    <w:name w:val="Intense Emphasis"/>
    <w:basedOn w:val="667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671">
    <w:name w:val="Intense Reference"/>
    <w:basedOn w:val="667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672">
    <w:name w:val="Subtle Emphasis"/>
    <w:basedOn w:val="66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673">
    <w:name w:val="Emphasis"/>
    <w:basedOn w:val="667"/>
    <w:uiPriority w:val="20"/>
    <w:qFormat/>
    <w:pPr>
      <w:pBdr/>
      <w:spacing/>
      <w:ind/>
    </w:pPr>
    <w:rPr>
      <w:i/>
      <w:iCs/>
    </w:rPr>
  </w:style>
  <w:style w:type="character" w:styleId="674">
    <w:name w:val="Strong"/>
    <w:basedOn w:val="667"/>
    <w:uiPriority w:val="22"/>
    <w:qFormat/>
    <w:pPr>
      <w:pBdr/>
      <w:spacing/>
      <w:ind/>
    </w:pPr>
    <w:rPr>
      <w:b/>
      <w:bCs/>
    </w:rPr>
  </w:style>
  <w:style w:type="character" w:styleId="675">
    <w:name w:val="Subtle Reference"/>
    <w:basedOn w:val="66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676">
    <w:name w:val="Book Title"/>
    <w:basedOn w:val="66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677">
    <w:name w:val="FollowedHyperlink"/>
    <w:basedOn w:val="667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table" w:styleId="678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 w:customStyle="1">
    <w:name w:val="Plain Table 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 w:customStyle="1">
    <w:name w:val="Plain Table 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 w:customStyle="1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 w:customStyle="1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 w:customStyle="1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 w:customStyle="1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 w:customStyle="1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 w:customStyle="1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 w:customStyle="1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Bordered &amp; Lined - Accent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Bordered &amp; Lined - Accent 1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Bordered &amp; Lined - Accent 2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Bordered &amp; Lined - Accent 3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Bordered &amp; Lined - Accent 4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Bordered &amp; Lined - Accent 5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Bordered &amp; Lined - Accent 6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04" w:customStyle="1">
    <w:name w:val="Heading 1 Char"/>
    <w:basedOn w:val="667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5" w:customStyle="1">
    <w:name w:val="Heading 2 Char"/>
    <w:basedOn w:val="667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806" w:customStyle="1">
    <w:name w:val="Heading 3 Char"/>
    <w:basedOn w:val="667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7" w:customStyle="1">
    <w:name w:val="Heading 4 Char"/>
    <w:basedOn w:val="667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08" w:customStyle="1">
    <w:name w:val="Heading 5 Char"/>
    <w:basedOn w:val="667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09" w:customStyle="1">
    <w:name w:val="Heading 6 Char"/>
    <w:basedOn w:val="667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0" w:customStyle="1">
    <w:name w:val="Heading 7 Char"/>
    <w:basedOn w:val="667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1" w:customStyle="1">
    <w:name w:val="Heading 8 Char"/>
    <w:basedOn w:val="667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2" w:customStyle="1">
    <w:name w:val="Heading 9 Char"/>
    <w:basedOn w:val="667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13" w:customStyle="1">
    <w:name w:val="Title Char"/>
    <w:basedOn w:val="667"/>
    <w:uiPriority w:val="10"/>
    <w:qFormat/>
    <w:pPr>
      <w:pBdr/>
      <w:spacing/>
      <w:ind/>
    </w:pPr>
    <w:rPr>
      <w:sz w:val="48"/>
      <w:szCs w:val="48"/>
    </w:rPr>
  </w:style>
  <w:style w:type="character" w:styleId="814" w:customStyle="1">
    <w:name w:val="Subtitle Char"/>
    <w:basedOn w:val="667"/>
    <w:uiPriority w:val="11"/>
    <w:qFormat/>
    <w:pPr>
      <w:pBdr/>
      <w:spacing/>
      <w:ind/>
    </w:pPr>
    <w:rPr>
      <w:sz w:val="24"/>
      <w:szCs w:val="24"/>
    </w:rPr>
  </w:style>
  <w:style w:type="character" w:styleId="815" w:customStyle="1">
    <w:name w:val="Quote Char"/>
    <w:uiPriority w:val="29"/>
    <w:qFormat/>
    <w:pPr>
      <w:pBdr/>
      <w:spacing/>
      <w:ind/>
    </w:pPr>
    <w:rPr>
      <w:i/>
    </w:rPr>
  </w:style>
  <w:style w:type="character" w:styleId="816" w:customStyle="1">
    <w:name w:val="Intense Quote Char"/>
    <w:uiPriority w:val="30"/>
    <w:qFormat/>
    <w:pPr>
      <w:pBdr/>
      <w:spacing/>
      <w:ind/>
    </w:pPr>
    <w:rPr>
      <w:i/>
    </w:rPr>
  </w:style>
  <w:style w:type="character" w:styleId="817" w:customStyle="1">
    <w:name w:val="Header Char"/>
    <w:basedOn w:val="667"/>
    <w:uiPriority w:val="99"/>
    <w:qFormat/>
    <w:pPr>
      <w:pBdr/>
      <w:spacing/>
      <w:ind/>
    </w:pPr>
  </w:style>
  <w:style w:type="character" w:styleId="818" w:customStyle="1">
    <w:name w:val="Footer Char"/>
    <w:basedOn w:val="667"/>
    <w:uiPriority w:val="99"/>
    <w:qFormat/>
    <w:pPr>
      <w:pBdr/>
      <w:spacing/>
      <w:ind/>
    </w:pPr>
  </w:style>
  <w:style w:type="character" w:styleId="819" w:customStyle="1">
    <w:name w:val="Caption Char"/>
    <w:uiPriority w:val="99"/>
    <w:qFormat/>
    <w:pPr>
      <w:pBdr/>
      <w:spacing/>
      <w:ind/>
    </w:pPr>
  </w:style>
  <w:style w:type="character" w:styleId="82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21" w:customStyle="1">
    <w:name w:val="Footnote Text Char"/>
    <w:uiPriority w:val="99"/>
    <w:qFormat/>
    <w:pPr>
      <w:pBdr/>
      <w:spacing/>
      <w:ind/>
    </w:pPr>
    <w:rPr>
      <w:sz w:val="18"/>
    </w:rPr>
  </w:style>
  <w:style w:type="character" w:styleId="822" w:customStyle="1">
    <w:name w:val="Символ сноски"/>
    <w:uiPriority w:val="99"/>
    <w:unhideWhenUsed/>
    <w:qFormat/>
    <w:pPr>
      <w:pBdr/>
      <w:spacing/>
      <w:ind/>
    </w:pPr>
    <w:rPr>
      <w:vertAlign w:val="superscript"/>
    </w:rPr>
  </w:style>
  <w:style w:type="character" w:styleId="823">
    <w:name w:val="footnote reference"/>
    <w:pPr>
      <w:pBdr/>
      <w:spacing/>
      <w:ind/>
    </w:pPr>
    <w:rPr>
      <w:vertAlign w:val="superscript"/>
    </w:rPr>
  </w:style>
  <w:style w:type="character" w:styleId="824" w:customStyle="1">
    <w:name w:val="Endnote Text Char"/>
    <w:uiPriority w:val="99"/>
    <w:qFormat/>
    <w:pPr>
      <w:pBdr/>
      <w:spacing/>
      <w:ind/>
    </w:pPr>
    <w:rPr>
      <w:sz w:val="20"/>
    </w:rPr>
  </w:style>
  <w:style w:type="character" w:styleId="825" w:customStyle="1">
    <w:name w:val="Символ концевой сноски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26">
    <w:name w:val="endnote reference"/>
    <w:pPr>
      <w:pBdr/>
      <w:spacing/>
      <w:ind/>
    </w:pPr>
    <w:rPr>
      <w:vertAlign w:val="superscript"/>
    </w:rPr>
  </w:style>
  <w:style w:type="character" w:styleId="827" w:customStyle="1">
    <w:name w:val="Absatz-Standardschriftart"/>
    <w:qFormat/>
    <w:pPr>
      <w:pBdr/>
      <w:spacing/>
      <w:ind/>
    </w:pPr>
  </w:style>
  <w:style w:type="character" w:styleId="828" w:customStyle="1">
    <w:name w:val="WW-Absatz-Standardschriftart"/>
    <w:qFormat/>
    <w:pPr>
      <w:pBdr/>
      <w:spacing/>
      <w:ind/>
    </w:pPr>
  </w:style>
  <w:style w:type="character" w:styleId="829" w:customStyle="1">
    <w:name w:val="Основной шрифт абзаца2"/>
    <w:qFormat/>
    <w:pPr>
      <w:pBdr/>
      <w:spacing/>
      <w:ind/>
    </w:pPr>
  </w:style>
  <w:style w:type="character" w:styleId="830" w:customStyle="1">
    <w:name w:val="WW-Absatz-Standardschriftart1"/>
    <w:qFormat/>
    <w:pPr>
      <w:pBdr/>
      <w:spacing/>
      <w:ind/>
    </w:pPr>
  </w:style>
  <w:style w:type="character" w:styleId="831" w:customStyle="1">
    <w:name w:val="Основной шрифт абзаца1"/>
    <w:qFormat/>
    <w:pPr>
      <w:pBdr/>
      <w:spacing/>
      <w:ind/>
    </w:pPr>
  </w:style>
  <w:style w:type="character" w:styleId="832" w:customStyle="1">
    <w:name w:val="Символ нумерации"/>
    <w:qFormat/>
    <w:pPr>
      <w:pBdr/>
      <w:spacing/>
      <w:ind/>
    </w:pPr>
  </w:style>
  <w:style w:type="character" w:styleId="833" w:customStyle="1">
    <w:name w:val="Текст выноски Знак"/>
    <w:uiPriority w:val="99"/>
    <w:semiHidden/>
    <w:qFormat/>
    <w:pPr>
      <w:pBdr/>
      <w:spacing/>
      <w:ind/>
    </w:pPr>
    <w:rPr>
      <w:rFonts w:ascii="Segoe UI" w:hAnsi="Segoe UI" w:cs="Segoe UI"/>
      <w:sz w:val="18"/>
      <w:szCs w:val="18"/>
      <w:lang w:eastAsia="ar-SA"/>
    </w:rPr>
  </w:style>
  <w:style w:type="character" w:styleId="834" w:customStyle="1">
    <w:name w:val="Текст примечания Знак"/>
    <w:basedOn w:val="667"/>
    <w:semiHidden/>
    <w:qFormat/>
    <w:pPr>
      <w:pBdr/>
      <w:spacing/>
      <w:ind/>
    </w:pPr>
  </w:style>
  <w:style w:type="character" w:styleId="835" w:customStyle="1">
    <w:name w:val="Верхний колонтитул Знак"/>
    <w:basedOn w:val="667"/>
    <w:uiPriority w:val="99"/>
    <w:qFormat/>
    <w:pPr>
      <w:pBdr/>
      <w:spacing/>
      <w:ind/>
    </w:pPr>
    <w:rPr>
      <w:sz w:val="24"/>
      <w:lang w:eastAsia="ar-SA"/>
    </w:rPr>
  </w:style>
  <w:style w:type="character" w:styleId="836" w:customStyle="1">
    <w:name w:val="Нижний колонтитул Знак"/>
    <w:basedOn w:val="667"/>
    <w:uiPriority w:val="99"/>
    <w:qFormat/>
    <w:pPr>
      <w:pBdr/>
      <w:spacing/>
      <w:ind/>
    </w:pPr>
    <w:rPr>
      <w:sz w:val="24"/>
      <w:lang w:eastAsia="ar-SA"/>
    </w:rPr>
  </w:style>
  <w:style w:type="paragraph" w:styleId="837" w:customStyle="1">
    <w:name w:val="Заголовок"/>
    <w:basedOn w:val="657"/>
    <w:next w:val="838"/>
    <w:qFormat/>
    <w:pPr>
      <w:keepNext w:val="true"/>
      <w:pBdr/>
      <w:spacing w:after="120" w:before="240"/>
      <w:ind/>
    </w:pPr>
    <w:rPr>
      <w:rFonts w:ascii="Arial" w:hAnsi="Arial" w:eastAsia="Lucida Sans Unicode" w:cs="Tahoma"/>
      <w:sz w:val="28"/>
      <w:szCs w:val="28"/>
    </w:rPr>
  </w:style>
  <w:style w:type="paragraph" w:styleId="838">
    <w:name w:val="Body Text"/>
    <w:basedOn w:val="657"/>
    <w:pPr>
      <w:pBdr/>
      <w:spacing w:after="120"/>
      <w:ind/>
    </w:pPr>
  </w:style>
  <w:style w:type="paragraph" w:styleId="839">
    <w:name w:val="List"/>
    <w:basedOn w:val="838"/>
    <w:pPr>
      <w:pBdr/>
      <w:spacing/>
      <w:ind/>
    </w:pPr>
    <w:rPr>
      <w:rFonts w:cs="Tahoma"/>
    </w:rPr>
  </w:style>
  <w:style w:type="paragraph" w:styleId="840">
    <w:name w:val="Caption"/>
    <w:basedOn w:val="657"/>
    <w:qFormat/>
    <w:pPr>
      <w:suppressLineNumbers w:val="true"/>
      <w:pBdr/>
      <w:spacing w:after="120" w:before="120"/>
      <w:ind/>
    </w:pPr>
    <w:rPr>
      <w:rFonts w:cs="Lohit Devanagari"/>
      <w:i/>
      <w:iCs/>
      <w:szCs w:val="24"/>
    </w:rPr>
  </w:style>
  <w:style w:type="paragraph" w:styleId="841">
    <w:name w:val="index heading"/>
    <w:basedOn w:val="837"/>
    <w:pPr>
      <w:pBdr/>
      <w:spacing/>
      <w:ind/>
    </w:pPr>
  </w:style>
  <w:style w:type="paragraph" w:styleId="842">
    <w:name w:val="List Paragraph"/>
    <w:basedOn w:val="657"/>
    <w:uiPriority w:val="34"/>
    <w:qFormat/>
    <w:pPr>
      <w:pBdr/>
      <w:spacing/>
      <w:ind w:left="720"/>
      <w:contextualSpacing w:val="true"/>
    </w:pPr>
  </w:style>
  <w:style w:type="paragraph" w:styleId="843">
    <w:name w:val="No Spacing"/>
    <w:uiPriority w:val="1"/>
    <w:qFormat/>
    <w:pPr>
      <w:pBdr/>
      <w:spacing/>
      <w:ind/>
    </w:pPr>
  </w:style>
  <w:style w:type="paragraph" w:styleId="844">
    <w:name w:val="Title"/>
    <w:basedOn w:val="65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845">
    <w:name w:val="Subtitle"/>
    <w:basedOn w:val="657"/>
    <w:uiPriority w:val="11"/>
    <w:qFormat/>
    <w:pPr>
      <w:pBdr/>
      <w:spacing w:after="200" w:before="200"/>
      <w:ind/>
    </w:pPr>
    <w:rPr>
      <w:szCs w:val="24"/>
    </w:rPr>
  </w:style>
  <w:style w:type="paragraph" w:styleId="846">
    <w:name w:val="Quote"/>
    <w:basedOn w:val="657"/>
    <w:uiPriority w:val="29"/>
    <w:qFormat/>
    <w:pPr>
      <w:pBdr/>
      <w:spacing/>
      <w:ind w:right="720" w:left="720"/>
    </w:pPr>
    <w:rPr>
      <w:i/>
    </w:rPr>
  </w:style>
  <w:style w:type="paragraph" w:styleId="847">
    <w:name w:val="Intense Quote"/>
    <w:basedOn w:val="65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848">
    <w:name w:val="footnote text"/>
    <w:basedOn w:val="657"/>
    <w:uiPriority w:val="99"/>
    <w:semiHidden/>
    <w:unhideWhenUsed/>
    <w:pPr>
      <w:pBdr/>
      <w:spacing w:after="40"/>
      <w:ind/>
    </w:pPr>
    <w:rPr>
      <w:sz w:val="18"/>
    </w:rPr>
  </w:style>
  <w:style w:type="paragraph" w:styleId="849">
    <w:name w:val="endnote text"/>
    <w:basedOn w:val="657"/>
    <w:uiPriority w:val="99"/>
    <w:semiHidden/>
    <w:unhideWhenUsed/>
    <w:pPr>
      <w:pBdr/>
      <w:spacing/>
      <w:ind/>
    </w:pPr>
    <w:rPr>
      <w:sz w:val="20"/>
    </w:rPr>
  </w:style>
  <w:style w:type="paragraph" w:styleId="850">
    <w:name w:val="toc 1"/>
    <w:basedOn w:val="657"/>
    <w:uiPriority w:val="39"/>
    <w:unhideWhenUsed/>
    <w:pPr>
      <w:pBdr/>
      <w:spacing w:after="57"/>
      <w:ind/>
    </w:pPr>
  </w:style>
  <w:style w:type="paragraph" w:styleId="851">
    <w:name w:val="toc 2"/>
    <w:basedOn w:val="657"/>
    <w:uiPriority w:val="39"/>
    <w:unhideWhenUsed/>
    <w:pPr>
      <w:pBdr/>
      <w:spacing w:after="57"/>
      <w:ind w:left="283"/>
    </w:pPr>
  </w:style>
  <w:style w:type="paragraph" w:styleId="852">
    <w:name w:val="toc 3"/>
    <w:basedOn w:val="657"/>
    <w:uiPriority w:val="39"/>
    <w:unhideWhenUsed/>
    <w:pPr>
      <w:pBdr/>
      <w:spacing w:after="57"/>
      <w:ind w:left="567"/>
    </w:pPr>
  </w:style>
  <w:style w:type="paragraph" w:styleId="853">
    <w:name w:val="toc 4"/>
    <w:basedOn w:val="657"/>
    <w:uiPriority w:val="39"/>
    <w:unhideWhenUsed/>
    <w:pPr>
      <w:pBdr/>
      <w:spacing w:after="57"/>
      <w:ind w:left="850"/>
    </w:pPr>
  </w:style>
  <w:style w:type="paragraph" w:styleId="854">
    <w:name w:val="toc 5"/>
    <w:basedOn w:val="657"/>
    <w:uiPriority w:val="39"/>
    <w:unhideWhenUsed/>
    <w:pPr>
      <w:pBdr/>
      <w:spacing w:after="57"/>
      <w:ind w:left="1134"/>
    </w:pPr>
  </w:style>
  <w:style w:type="paragraph" w:styleId="855">
    <w:name w:val="toc 6"/>
    <w:basedOn w:val="657"/>
    <w:uiPriority w:val="39"/>
    <w:unhideWhenUsed/>
    <w:pPr>
      <w:pBdr/>
      <w:spacing w:after="57"/>
      <w:ind w:left="1417"/>
    </w:pPr>
  </w:style>
  <w:style w:type="paragraph" w:styleId="856">
    <w:name w:val="toc 7"/>
    <w:basedOn w:val="657"/>
    <w:uiPriority w:val="39"/>
    <w:unhideWhenUsed/>
    <w:pPr>
      <w:pBdr/>
      <w:spacing w:after="57"/>
      <w:ind w:left="1701"/>
    </w:pPr>
  </w:style>
  <w:style w:type="paragraph" w:styleId="857">
    <w:name w:val="toc 8"/>
    <w:basedOn w:val="657"/>
    <w:uiPriority w:val="39"/>
    <w:unhideWhenUsed/>
    <w:pPr>
      <w:pBdr/>
      <w:spacing w:after="57"/>
      <w:ind w:left="1984"/>
    </w:pPr>
  </w:style>
  <w:style w:type="paragraph" w:styleId="858">
    <w:name w:val="toc 9"/>
    <w:basedOn w:val="657"/>
    <w:uiPriority w:val="39"/>
    <w:unhideWhenUsed/>
    <w:pPr>
      <w:pBdr/>
      <w:spacing w:after="57"/>
      <w:ind w:left="2268"/>
    </w:pPr>
  </w:style>
  <w:style w:type="paragraph" w:styleId="859">
    <w:name w:val="TOC Heading"/>
    <w:uiPriority w:val="39"/>
    <w:unhideWhenUsed/>
    <w:qFormat/>
    <w:pPr>
      <w:pBdr/>
      <w:spacing/>
      <w:ind/>
    </w:pPr>
  </w:style>
  <w:style w:type="paragraph" w:styleId="860">
    <w:name w:val="table of figures"/>
    <w:basedOn w:val="657"/>
    <w:uiPriority w:val="99"/>
    <w:unhideWhenUsed/>
    <w:pPr>
      <w:pBdr/>
      <w:spacing/>
      <w:ind/>
    </w:pPr>
  </w:style>
  <w:style w:type="paragraph" w:styleId="861" w:customStyle="1">
    <w:name w:val="Название2"/>
    <w:basedOn w:val="657"/>
    <w:qFormat/>
    <w:pPr>
      <w:suppressLineNumbers w:val="true"/>
      <w:pBdr/>
      <w:spacing w:after="120" w:before="120"/>
      <w:ind/>
    </w:pPr>
    <w:rPr>
      <w:rFonts w:cs="Mangal"/>
      <w:i/>
      <w:iCs/>
      <w:szCs w:val="24"/>
    </w:rPr>
  </w:style>
  <w:style w:type="paragraph" w:styleId="862" w:customStyle="1">
    <w:name w:val="Указатель2"/>
    <w:basedOn w:val="657"/>
    <w:qFormat/>
    <w:pPr>
      <w:suppressLineNumbers w:val="true"/>
      <w:pBdr/>
      <w:spacing/>
      <w:ind/>
    </w:pPr>
    <w:rPr>
      <w:rFonts w:cs="Mangal"/>
    </w:rPr>
  </w:style>
  <w:style w:type="paragraph" w:styleId="863" w:customStyle="1">
    <w:name w:val="Название1"/>
    <w:basedOn w:val="657"/>
    <w:qFormat/>
    <w:pPr>
      <w:suppressLineNumbers w:val="true"/>
      <w:pBdr/>
      <w:spacing w:after="120" w:before="120"/>
      <w:ind/>
    </w:pPr>
    <w:rPr>
      <w:rFonts w:cs="Tahoma"/>
      <w:i/>
      <w:iCs/>
      <w:szCs w:val="24"/>
    </w:rPr>
  </w:style>
  <w:style w:type="paragraph" w:styleId="864" w:customStyle="1">
    <w:name w:val="Указатель1"/>
    <w:basedOn w:val="657"/>
    <w:qFormat/>
    <w:pPr>
      <w:suppressLineNumbers w:val="true"/>
      <w:pBdr/>
      <w:spacing/>
      <w:ind/>
    </w:pPr>
    <w:rPr>
      <w:rFonts w:cs="Tahoma"/>
    </w:rPr>
  </w:style>
  <w:style w:type="paragraph" w:styleId="865" w:customStyle="1">
    <w:name w:val="Содержимое таблицы"/>
    <w:basedOn w:val="657"/>
    <w:qFormat/>
    <w:pPr>
      <w:suppressLineNumbers w:val="true"/>
      <w:pBdr/>
      <w:spacing/>
      <w:ind/>
    </w:pPr>
  </w:style>
  <w:style w:type="paragraph" w:styleId="866" w:customStyle="1">
    <w:name w:val="Заголовок таблицы"/>
    <w:basedOn w:val="865"/>
    <w:qFormat/>
    <w:pPr>
      <w:pBdr/>
      <w:spacing/>
      <w:ind/>
      <w:jc w:val="center"/>
    </w:pPr>
    <w:rPr>
      <w:b/>
      <w:bCs/>
    </w:rPr>
  </w:style>
  <w:style w:type="paragraph" w:styleId="867">
    <w:name w:val="Balloon Text"/>
    <w:basedOn w:val="657"/>
    <w:uiPriority w:val="99"/>
    <w:semiHidden/>
    <w:unhideWhenUsed/>
    <w:qFormat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868">
    <w:name w:val="annotation text"/>
    <w:basedOn w:val="657"/>
    <w:semiHidden/>
    <w:qFormat/>
    <w:pPr>
      <w:widowControl w:val="true"/>
      <w:pBdr/>
      <w:spacing/>
      <w:ind/>
    </w:pPr>
    <w:rPr>
      <w:sz w:val="20"/>
      <w:lang w:eastAsia="ru-RU"/>
    </w:rPr>
  </w:style>
  <w:style w:type="paragraph" w:styleId="869" w:customStyle="1">
    <w:name w:val="Колонтитул"/>
    <w:basedOn w:val="657"/>
    <w:qFormat/>
    <w:pPr>
      <w:pBdr/>
      <w:spacing/>
      <w:ind/>
    </w:pPr>
  </w:style>
  <w:style w:type="paragraph" w:styleId="870">
    <w:name w:val="Header"/>
    <w:basedOn w:val="65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871">
    <w:name w:val="Footer"/>
    <w:basedOn w:val="65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consultantplus://offline/ref=F5F2053BCC26CE6257DDDCADFB1694A96A5410CDA2A3C1B0E918E9EAACBD53AA60246B5F787132CDB74A99AA45A7p3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E9CA7-50E6-4DA7-BC70-5F3756FC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Печорское управление Ростехнадзора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 по ремонту оргтехники и заправке (восстановлению) картриджей</dc:title>
  <dc:creator>sav</dc:creator>
  <dc:language>ru-RU</dc:language>
  <cp:revision>6</cp:revision>
  <dcterms:created xsi:type="dcterms:W3CDTF">2025-04-28T12:34:00Z</dcterms:created>
  <dcterms:modified xsi:type="dcterms:W3CDTF">2026-03-27T05:31:45Z</dcterms:modified>
</cp:coreProperties>
</file>