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customXml/itemProps4.xml" ContentType="application/vnd.openxmlformats-officedocument.customXmlProperti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widowControl w:val="false"/>
        <w:pBdr/>
        <w:spacing/>
        <w: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widowControl w:val="false"/>
        <w:pBdr/>
        <w:spacing/>
        <w:ind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ТЕХНИЧЕСКОЕ ЗАДАНИЕ </w:t>
      </w:r>
      <w:r>
        <w:rPr>
          <w:b/>
          <w:bCs/>
          <w:sz w:val="28"/>
          <w:szCs w:val="28"/>
        </w:rPr>
      </w:r>
    </w:p>
    <w:p>
      <w:pPr>
        <w:widowControl w:val="false"/>
        <w:pBdr/>
        <w:spacing/>
        <w:ind/>
        <w:jc w:val="center"/>
        <w:rPr>
          <w:b/>
        </w:rPr>
      </w:pPr>
      <w:r>
        <w:rPr>
          <w:b/>
        </w:rPr>
        <w:t xml:space="preserve">н</w:t>
      </w:r>
      <w:r>
        <w:rPr>
          <w:b/>
        </w:rPr>
        <w:t xml:space="preserve">а </w:t>
      </w:r>
      <w:r>
        <w:rPr>
          <w:b/>
        </w:rPr>
        <w:t xml:space="preserve">оказани</w:t>
      </w:r>
      <w:r>
        <w:rPr>
          <w:b/>
        </w:rPr>
        <w:t xml:space="preserve">е</w:t>
      </w:r>
      <w:r>
        <w:rPr>
          <w:b/>
        </w:rPr>
        <w:t xml:space="preserve"> услуг по техническому обслуживанию и ремонту оргтехники</w:t>
      </w:r>
      <w:r>
        <w:rPr>
          <w:b/>
        </w:rPr>
      </w:r>
    </w:p>
    <w:p>
      <w:pPr>
        <w:pBdr/>
        <w:spacing/>
        <w:ind/>
        <w:jc w:val="center"/>
        <w:rPr>
          <w:b/>
        </w:rPr>
      </w:pPr>
      <w:r>
        <w:rPr>
          <w:b/>
        </w:rPr>
      </w:r>
      <w:r>
        <w:rPr>
          <w:b/>
        </w:rPr>
      </w:r>
    </w:p>
    <w:p>
      <w:pPr>
        <w:pBdr/>
        <w:spacing/>
        <w:ind/>
        <w:jc w:val="both"/>
        <w:rPr>
          <w:rFonts w:eastAsia="Calibri"/>
          <w:b/>
          <w:bCs/>
        </w:rPr>
      </w:pPr>
      <w:r>
        <w:rPr>
          <w:rFonts w:eastAsia="Calibri"/>
          <w:b/>
          <w:bCs/>
        </w:rPr>
        <w:t xml:space="preserve">1. Наименование оказываемых услуг: </w:t>
      </w:r>
      <w:r>
        <w:rPr>
          <w:rFonts w:eastAsia="Calibri"/>
          <w:b/>
          <w:bCs/>
        </w:rPr>
      </w:r>
    </w:p>
    <w:p>
      <w:pPr>
        <w:pBdr/>
        <w:spacing/>
        <w:ind/>
        <w:jc w:val="both"/>
        <w:rPr>
          <w:rFonts w:eastAsia="Calibri"/>
        </w:rPr>
      </w:pPr>
      <w:r>
        <w:rPr>
          <w:rFonts w:eastAsia="Calibri"/>
        </w:rPr>
        <w:t xml:space="preserve">Техническое обслуживание (ТО)</w:t>
      </w:r>
      <w:r>
        <w:rPr>
          <w:rFonts w:eastAsia="Calibri"/>
        </w:rPr>
        <w:t xml:space="preserve"> и ремонт (далее – Услуги)</w:t>
      </w:r>
      <w:r>
        <w:rPr>
          <w:rFonts w:eastAsia="Calibri"/>
        </w:rPr>
        <w:t xml:space="preserve">.</w:t>
      </w:r>
      <w:r>
        <w:rPr>
          <w:rFonts w:eastAsia="Calibri"/>
        </w:rPr>
      </w:r>
    </w:p>
    <w:p>
      <w:pPr>
        <w:pBdr/>
        <w:spacing/>
        <w:ind/>
        <w:jc w:val="both"/>
        <w:rPr>
          <w:rFonts w:eastAsia="Calibri"/>
          <w:b/>
          <w:bCs/>
        </w:rPr>
      </w:pPr>
      <w:r>
        <w:rPr>
          <w:rFonts w:eastAsia="Calibri"/>
          <w:b/>
          <w:bCs/>
        </w:rPr>
      </w:r>
      <w:r>
        <w:rPr>
          <w:rFonts w:eastAsia="Calibri"/>
          <w:b/>
          <w:bCs/>
        </w:rPr>
      </w:r>
    </w:p>
    <w:p>
      <w:pPr>
        <w:pBdr/>
        <w:spacing/>
        <w:ind/>
        <w:jc w:val="both"/>
        <w:rPr>
          <w:rFonts w:eastAsia="Calibri"/>
          <w:b/>
          <w:bCs/>
        </w:rPr>
      </w:pPr>
      <w:r>
        <w:rPr>
          <w:rFonts w:eastAsia="Calibri"/>
          <w:b/>
          <w:bCs/>
        </w:rPr>
        <w:t xml:space="preserve">2. Количество оказываемых услуг:</w:t>
      </w:r>
      <w:r>
        <w:rPr>
          <w:rFonts w:eastAsia="Calibri"/>
          <w:b/>
          <w:bCs/>
        </w:rPr>
      </w:r>
    </w:p>
    <w:p>
      <w:pPr>
        <w:pBdr/>
        <w:spacing/>
        <w:ind/>
        <w:jc w:val="both"/>
        <w:rPr>
          <w:rFonts w:eastAsia="Calibri"/>
        </w:rPr>
      </w:pPr>
      <w:r>
        <w:rPr>
          <w:rFonts w:eastAsia="Calibri"/>
        </w:rPr>
        <w:t xml:space="preserve">Т</w:t>
      </w:r>
      <w:r>
        <w:rPr>
          <w:rFonts w:eastAsia="Calibri"/>
        </w:rPr>
        <w:t xml:space="preserve">ехническое обслуживание </w:t>
      </w:r>
      <w:r>
        <w:rPr>
          <w:rFonts w:eastAsia="Calibri"/>
        </w:rPr>
        <w:t xml:space="preserve">компьютерной и</w:t>
      </w:r>
      <w:r>
        <w:rPr>
          <w:rFonts w:eastAsia="Calibri"/>
        </w:rPr>
        <w:t xml:space="preserve"> оргтехники, </w:t>
      </w:r>
      <w:r>
        <w:rPr>
          <w:rFonts w:eastAsia="Calibri"/>
        </w:rPr>
        <w:t xml:space="preserve">ремонт и </w:t>
      </w:r>
      <w:r>
        <w:rPr>
          <w:rFonts w:eastAsia="Calibri"/>
        </w:rPr>
        <w:t xml:space="preserve">диагностика</w:t>
      </w:r>
      <w:r>
        <w:rPr>
          <w:rFonts w:eastAsia="Calibri"/>
        </w:rPr>
        <w:t xml:space="preserve">, определяется направляемыми заявками</w:t>
      </w:r>
      <w:r>
        <w:rPr>
          <w:rFonts w:eastAsia="Calibri"/>
        </w:rPr>
        <w:t xml:space="preserve">.</w:t>
      </w:r>
      <w:r>
        <w:rPr>
          <w:rFonts w:eastAsia="Calibri"/>
        </w:rPr>
      </w:r>
    </w:p>
    <w:p>
      <w:pPr>
        <w:pBdr/>
        <w:spacing/>
        <w:ind/>
        <w:jc w:val="both"/>
        <w:rPr>
          <w:rFonts w:eastAsia="Calibri"/>
          <w:b/>
          <w:bCs/>
        </w:rPr>
      </w:pPr>
      <w:r>
        <w:rPr>
          <w:rFonts w:eastAsia="Calibri"/>
          <w:b/>
          <w:bCs/>
        </w:rPr>
      </w:r>
      <w:r>
        <w:rPr>
          <w:rFonts w:eastAsia="Calibri"/>
          <w:b/>
          <w:bCs/>
        </w:rPr>
      </w:r>
    </w:p>
    <w:p>
      <w:pPr>
        <w:pBdr/>
        <w:spacing/>
        <w:ind/>
        <w:jc w:val="both"/>
        <w:rPr>
          <w:rFonts w:eastAsia="Calibri"/>
        </w:rPr>
      </w:pPr>
      <w:r>
        <w:rPr>
          <w:rFonts w:eastAsia="Calibri"/>
          <w:b/>
          <w:bCs/>
        </w:rPr>
        <w:t xml:space="preserve">3. Место оказания услуг: </w:t>
      </w:r>
      <w:r>
        <w:rPr>
          <w:rFonts w:eastAsia="Calibri"/>
        </w:rPr>
        <w:t xml:space="preserve">Республика Коми</w:t>
      </w:r>
      <w:r>
        <w:rPr>
          <w:rFonts w:eastAsia="Calibri"/>
        </w:rPr>
        <w:t xml:space="preserve">, г. Сыктывкар ул. Советская д. 67, г. Ухта,</w:t>
      </w:r>
      <w:r>
        <w:rPr>
          <w:rFonts w:eastAsia="Calibri"/>
        </w:rPr>
        <w:br/>
        <w:t xml:space="preserve">ул. Пушкина, д. 19, г. Усинск ул. Парковая д. 9/1, г. Воркута, ул. Мира, д. 3-Б</w:t>
      </w:r>
      <w:r>
        <w:rPr>
          <w:rFonts w:eastAsia="Calibri"/>
        </w:rPr>
        <w:t xml:space="preserve">.</w:t>
      </w:r>
      <w:r>
        <w:rPr>
          <w:rFonts w:eastAsia="Calibri"/>
        </w:rPr>
      </w:r>
    </w:p>
    <w:p>
      <w:pPr>
        <w:pBdr/>
        <w:spacing/>
        <w:ind/>
        <w:jc w:val="both"/>
        <w:rPr>
          <w:rFonts w:eastAsia="Calibri"/>
          <w:b/>
          <w:bCs/>
        </w:rPr>
      </w:pPr>
      <w:r>
        <w:rPr>
          <w:rFonts w:eastAsia="Calibri"/>
          <w:b/>
          <w:bCs/>
        </w:rPr>
      </w:r>
      <w:r>
        <w:rPr>
          <w:rFonts w:eastAsia="Calibri"/>
          <w:b/>
          <w:bCs/>
        </w:rPr>
      </w:r>
    </w:p>
    <w:p>
      <w:pPr>
        <w:pBdr/>
        <w:spacing/>
        <w:ind/>
        <w:jc w:val="both"/>
        <w:rPr>
          <w:rFonts w:eastAsia="Calibri"/>
          <w:b/>
          <w:bCs/>
        </w:rPr>
      </w:pPr>
      <w:r>
        <w:rPr>
          <w:rFonts w:eastAsia="Calibri"/>
          <w:b/>
          <w:bCs/>
        </w:rPr>
        <w:t xml:space="preserve">4. Сроки оказания услуг:</w:t>
      </w:r>
      <w:r>
        <w:rPr>
          <w:rFonts w:eastAsia="Calibri"/>
          <w:b/>
          <w:bCs/>
        </w:rPr>
      </w:r>
    </w:p>
    <w:p>
      <w:pPr>
        <w:pBdr/>
        <w:spacing/>
        <w:ind/>
        <w:jc w:val="both"/>
        <w:rPr>
          <w:rFonts w:eastAsia="Calibri"/>
        </w:rPr>
      </w:pPr>
      <w:r>
        <w:rPr>
          <w:rFonts w:eastAsia="Calibri"/>
        </w:rPr>
        <w:t xml:space="preserve">Оказание услуг должно проводиться с момента заключения договора </w:t>
      </w:r>
      <w:r>
        <w:rPr>
          <w:rFonts w:eastAsia="Calibri"/>
        </w:rPr>
        <w:t xml:space="preserve">до 30 ноября 20</w:t>
      </w:r>
      <w:r>
        <w:rPr>
          <w:rFonts w:eastAsia="Calibri"/>
        </w:rPr>
        <w:t xml:space="preserve">2</w:t>
      </w:r>
      <w:r>
        <w:rPr>
          <w:rFonts w:eastAsia="Calibri"/>
        </w:rPr>
        <w:t xml:space="preserve">6</w:t>
      </w:r>
      <w:r>
        <w:rPr>
          <w:rFonts w:eastAsia="Calibri"/>
        </w:rPr>
        <w:t xml:space="preserve"> года</w:t>
      </w:r>
      <w:r>
        <w:rPr>
          <w:rFonts w:eastAsia="Calibri"/>
        </w:rPr>
      </w:r>
    </w:p>
    <w:p>
      <w:pPr>
        <w:pBdr/>
        <w:spacing/>
        <w:ind/>
        <w:jc w:val="both"/>
        <w:rPr>
          <w:rFonts w:eastAsia="Calibri"/>
          <w:b/>
          <w:bCs/>
        </w:rPr>
      </w:pPr>
      <w:r>
        <w:rPr>
          <w:rFonts w:eastAsia="Calibri"/>
          <w:b/>
          <w:bCs/>
        </w:rPr>
      </w:r>
      <w:r>
        <w:rPr>
          <w:rFonts w:eastAsia="Calibri"/>
          <w:b/>
          <w:bCs/>
        </w:rPr>
      </w:r>
    </w:p>
    <w:p>
      <w:pPr>
        <w:pBdr/>
        <w:spacing/>
        <w:ind/>
        <w:jc w:val="both"/>
        <w:rPr>
          <w:rFonts w:eastAsia="Calibri"/>
          <w:b/>
          <w:bCs/>
        </w:rPr>
      </w:pPr>
      <w:r>
        <w:rPr>
          <w:rFonts w:eastAsia="Calibri"/>
          <w:b/>
          <w:bCs/>
        </w:rPr>
        <w:t xml:space="preserve">5. Цели использования результатов услуг: </w:t>
      </w:r>
      <w:r>
        <w:rPr>
          <w:rFonts w:eastAsia="Calibri"/>
          <w:b/>
          <w:bCs/>
        </w:rPr>
      </w:r>
    </w:p>
    <w:p>
      <w:pPr>
        <w:pBdr/>
        <w:spacing/>
        <w:ind/>
        <w:jc w:val="both"/>
        <w:rPr>
          <w:rFonts w:eastAsia="Calibri"/>
        </w:rPr>
      </w:pPr>
      <w:r>
        <w:rPr>
          <w:rFonts w:eastAsia="Calibri"/>
        </w:rPr>
        <w:t xml:space="preserve">Поддержание оргтехники Заказчика в работоспособном состоянии</w:t>
      </w:r>
      <w:r>
        <w:rPr>
          <w:rFonts w:eastAsia="Calibri"/>
        </w:rPr>
      </w:r>
    </w:p>
    <w:p>
      <w:pPr>
        <w:pBdr/>
        <w:spacing/>
        <w:ind/>
        <w:jc w:val="both"/>
        <w:rPr>
          <w:rFonts w:eastAsia="Calibri"/>
          <w:b/>
          <w:bCs/>
        </w:rPr>
      </w:pPr>
      <w:r>
        <w:rPr>
          <w:rFonts w:eastAsia="Calibri"/>
          <w:b/>
          <w:bCs/>
        </w:rPr>
      </w:r>
      <w:r>
        <w:rPr>
          <w:rFonts w:eastAsia="Calibri"/>
          <w:b/>
          <w:bCs/>
        </w:rPr>
      </w:r>
    </w:p>
    <w:p>
      <w:pPr>
        <w:pBdr/>
        <w:spacing/>
        <w:ind/>
        <w:jc w:val="both"/>
        <w:rPr>
          <w:rFonts w:eastAsia="Calibri"/>
          <w:b/>
          <w:bCs/>
        </w:rPr>
      </w:pPr>
      <w:r>
        <w:rPr>
          <w:rFonts w:eastAsia="Calibri"/>
          <w:b/>
          <w:bCs/>
        </w:rPr>
        <w:t xml:space="preserve">6. Виды оказываемых услуг: </w:t>
      </w:r>
      <w:r>
        <w:rPr>
          <w:rFonts w:eastAsia="Calibri"/>
          <w:b/>
          <w:bCs/>
        </w:rPr>
      </w:r>
    </w:p>
    <w:p>
      <w:pPr>
        <w:pBdr/>
        <w:spacing/>
        <w:ind/>
        <w:jc w:val="both"/>
        <w:rPr>
          <w:rFonts w:eastAsia="Calibri"/>
        </w:rPr>
      </w:pPr>
      <w:r>
        <w:rPr>
          <w:rFonts w:eastAsia="Calibri"/>
        </w:rPr>
        <w:t xml:space="preserve">Техническое обслуживание оргтехники</w:t>
      </w:r>
      <w:r>
        <w:rPr>
          <w:rFonts w:eastAsia="Calibri"/>
        </w:rPr>
        <w:t xml:space="preserve"> (ТО)</w:t>
      </w:r>
      <w:r>
        <w:rPr>
          <w:rFonts w:eastAsia="Calibri"/>
        </w:rPr>
        <w:t xml:space="preserve">, по заявкам Заказчика.</w:t>
      </w:r>
      <w:r>
        <w:rPr>
          <w:rFonts w:eastAsia="Calibri"/>
        </w:rPr>
      </w:r>
    </w:p>
    <w:p>
      <w:pPr>
        <w:pBdr/>
        <w:spacing/>
        <w:ind/>
        <w:jc w:val="both"/>
        <w:rPr>
          <w:rFonts w:eastAsia="Calibri"/>
          <w:b/>
          <w:bCs/>
        </w:rPr>
      </w:pPr>
      <w:r>
        <w:rPr>
          <w:rFonts w:eastAsia="Calibri"/>
          <w:b/>
          <w:bCs/>
        </w:rPr>
      </w:r>
      <w:r>
        <w:rPr>
          <w:rFonts w:eastAsia="Calibri"/>
          <w:b/>
          <w:bCs/>
        </w:rPr>
      </w:r>
    </w:p>
    <w:p>
      <w:pPr>
        <w:pBdr/>
        <w:spacing/>
        <w:ind/>
        <w:jc w:val="both"/>
        <w:rPr>
          <w:rFonts w:eastAsia="Calibri"/>
          <w:b/>
          <w:bCs/>
        </w:rPr>
      </w:pPr>
      <w:r>
        <w:rPr>
          <w:rFonts w:eastAsia="Calibri"/>
          <w:b/>
          <w:bCs/>
        </w:rPr>
        <w:t xml:space="preserve">7. Условия оказания услуг:</w:t>
      </w:r>
      <w:r>
        <w:rPr>
          <w:rFonts w:eastAsia="Calibri"/>
          <w:b/>
          <w:bCs/>
        </w:rPr>
      </w:r>
    </w:p>
    <w:p>
      <w:pPr>
        <w:pBdr/>
        <w:spacing/>
        <w:ind/>
        <w:jc w:val="both"/>
        <w:rPr>
          <w:rFonts w:eastAsia="Calibri"/>
        </w:rPr>
      </w:pPr>
      <w:r>
        <w:rPr>
          <w:rFonts w:eastAsia="Calibri"/>
        </w:rPr>
        <w:t xml:space="preserve">7.1. Услуги </w:t>
      </w:r>
      <w:r>
        <w:rPr>
          <w:rFonts w:eastAsia="Calibri"/>
        </w:rPr>
        <w:t xml:space="preserve">по ремонту </w:t>
      </w:r>
      <w:r>
        <w:rPr>
          <w:rFonts w:eastAsia="Calibri"/>
        </w:rPr>
        <w:t xml:space="preserve">оказываются </w:t>
      </w:r>
      <w:r>
        <w:rPr>
          <w:rFonts w:eastAsia="Calibri"/>
        </w:rPr>
        <w:t xml:space="preserve">в сервисном центре Исполнителя.</w:t>
      </w:r>
      <w:r>
        <w:rPr>
          <w:rFonts w:eastAsia="Calibri"/>
        </w:rPr>
      </w:r>
    </w:p>
    <w:p>
      <w:pPr>
        <w:pBdr/>
        <w:spacing/>
        <w:ind/>
        <w:jc w:val="both"/>
        <w:rPr>
          <w:rFonts w:eastAsia="Calibri"/>
        </w:rPr>
      </w:pPr>
      <w:r>
        <w:rPr>
          <w:rFonts w:eastAsia="Calibri"/>
        </w:rPr>
        <w:t xml:space="preserve">7.2. </w:t>
      </w:r>
      <w:r>
        <w:rPr>
          <w:rFonts w:eastAsia="Calibri"/>
        </w:rPr>
        <w:t xml:space="preserve">Услуги оказываются в соответствии с </w:t>
      </w:r>
      <w:r>
        <w:rPr>
          <w:rFonts w:eastAsia="Calibri"/>
        </w:rPr>
        <w:t xml:space="preserve">необходимыми техническим рекомендациями.</w:t>
      </w:r>
      <w:r>
        <w:rPr>
          <w:rFonts w:eastAsia="Calibri"/>
        </w:rPr>
      </w:r>
    </w:p>
    <w:p>
      <w:pPr>
        <w:pBdr/>
        <w:spacing/>
        <w:ind/>
        <w:jc w:val="both"/>
        <w:rPr>
          <w:rFonts w:eastAsia="Calibri"/>
        </w:rPr>
      </w:pPr>
      <w:r>
        <w:rPr>
          <w:rFonts w:eastAsia="Calibri"/>
        </w:rPr>
        <w:t xml:space="preserve">7.3. </w:t>
      </w:r>
      <w:r>
        <w:rPr>
          <w:rFonts w:eastAsia="Calibri"/>
        </w:rPr>
        <w:t xml:space="preserve">Профилактическое обслуживание</w:t>
      </w:r>
      <w:r>
        <w:rPr>
          <w:rFonts w:eastAsia="Calibri"/>
        </w:rPr>
        <w:t xml:space="preserve"> производит</w:t>
      </w:r>
      <w:r>
        <w:rPr>
          <w:rFonts w:eastAsia="Calibri"/>
        </w:rPr>
        <w:t xml:space="preserve">ся</w:t>
      </w:r>
      <w:r>
        <w:rPr>
          <w:rFonts w:eastAsia="Calibri"/>
        </w:rPr>
        <w:t xml:space="preserve"> на территории Заказчика</w:t>
      </w:r>
      <w:r>
        <w:rPr>
          <w:rFonts w:eastAsia="Calibri"/>
        </w:rPr>
        <w:t xml:space="preserve"> или </w:t>
      </w:r>
      <w:r>
        <w:rPr>
          <w:rFonts w:eastAsia="Calibri"/>
        </w:rPr>
        <w:t xml:space="preserve">в сервисном центре Исполнителя.</w:t>
      </w:r>
      <w:r>
        <w:rPr>
          <w:rFonts w:eastAsia="Calibri"/>
        </w:rPr>
      </w:r>
    </w:p>
    <w:p>
      <w:pPr>
        <w:pBdr/>
        <w:spacing/>
        <w:ind/>
        <w:jc w:val="both"/>
        <w:rPr>
          <w:rFonts w:eastAsia="Calibri"/>
        </w:rPr>
      </w:pPr>
      <w:r>
        <w:rPr>
          <w:rFonts w:eastAsia="Calibri"/>
        </w:rPr>
        <w:t xml:space="preserve">7.4. Доставка оборудования в ремонт и из ремонта, в том числе и оборудования находящегося на гарант</w:t>
      </w:r>
      <w:r>
        <w:rPr>
          <w:rFonts w:eastAsia="Calibri"/>
        </w:rPr>
        <w:t xml:space="preserve">ийном обслуживании</w:t>
      </w:r>
      <w:r>
        <w:rPr>
          <w:rFonts w:eastAsia="Calibri"/>
        </w:rPr>
        <w:t xml:space="preserve">, осуществляется за </w:t>
      </w:r>
      <w:r>
        <w:rPr>
          <w:rFonts w:eastAsia="Calibri"/>
        </w:rPr>
        <w:t xml:space="preserve">счё</w:t>
      </w:r>
      <w:r>
        <w:rPr>
          <w:rFonts w:eastAsia="Calibri"/>
        </w:rPr>
        <w:t xml:space="preserve">т средств Исполнителя.</w:t>
      </w:r>
      <w:r>
        <w:rPr>
          <w:rFonts w:eastAsia="Calibri"/>
        </w:rPr>
      </w:r>
    </w:p>
    <w:p>
      <w:pPr>
        <w:pBdr/>
        <w:spacing/>
        <w:ind/>
        <w:jc w:val="both"/>
        <w:rPr>
          <w:rFonts w:eastAsia="Calibri"/>
        </w:rPr>
      </w:pPr>
      <w:r>
        <w:rPr>
          <w:rFonts w:eastAsia="Calibri"/>
        </w:rPr>
        <w:t xml:space="preserve">7.5. Стоимость ремонтных работ</w:t>
      </w:r>
      <w:r>
        <w:rPr>
          <w:rFonts w:eastAsia="Calibri"/>
        </w:rPr>
        <w:t xml:space="preserve"> и</w:t>
      </w:r>
      <w:r>
        <w:rPr>
          <w:rFonts w:eastAsia="Calibri"/>
        </w:rPr>
        <w:t xml:space="preserve"> запасных частей входит в стоимость </w:t>
      </w:r>
      <w:r>
        <w:rPr>
          <w:rFonts w:eastAsia="Calibri"/>
        </w:rPr>
        <w:t xml:space="preserve">оказания Услуг.</w:t>
      </w:r>
      <w:r>
        <w:rPr>
          <w:rFonts w:eastAsia="Calibri"/>
        </w:rPr>
      </w:r>
    </w:p>
    <w:p>
      <w:pPr>
        <w:pBdr/>
        <w:spacing/>
        <w:ind/>
        <w:rPr>
          <w:rFonts w:eastAsia="Calibri"/>
        </w:rPr>
      </w:pPr>
      <w:r>
        <w:rPr>
          <w:rFonts w:eastAsia="Calibri"/>
        </w:rPr>
      </w:r>
      <w:r>
        <w:rPr>
          <w:rFonts w:eastAsia="Calibri"/>
        </w:rPr>
      </w:r>
    </w:p>
    <w:p>
      <w:pPr>
        <w:pBdr/>
        <w:spacing/>
        <w:ind/>
        <w:rPr>
          <w:rFonts w:eastAsia="Calibri"/>
          <w:b/>
          <w:bCs/>
        </w:rPr>
      </w:pPr>
      <w:r>
        <w:rPr>
          <w:rFonts w:eastAsia="Calibri"/>
          <w:b/>
          <w:bCs/>
        </w:rPr>
        <w:t xml:space="preserve">8. Общие требования к оказываемым услугам:</w:t>
      </w:r>
      <w:r>
        <w:rPr>
          <w:rFonts w:eastAsia="Calibri"/>
          <w:b/>
          <w:bCs/>
        </w:rPr>
      </w:r>
    </w:p>
    <w:p>
      <w:pPr>
        <w:pBdr/>
        <w:spacing/>
        <w:ind/>
        <w:jc w:val="both"/>
        <w:rPr>
          <w:rFonts w:eastAsia="Calibri"/>
        </w:rPr>
      </w:pPr>
      <w:r>
        <w:rPr>
          <w:rFonts w:eastAsia="Calibri"/>
        </w:rPr>
        <w:t xml:space="preserve">Провести Работы качественно и в установленные сроки, в случае </w:t>
      </w:r>
      <w:r>
        <w:rPr>
          <w:rFonts w:eastAsia="Calibri"/>
        </w:rPr>
        <w:t xml:space="preserve">ТО</w:t>
      </w:r>
      <w:r>
        <w:rPr>
          <w:rFonts w:eastAsia="Calibri"/>
        </w:rPr>
        <w:t xml:space="preserve"> оборудования с заменой узлов и деталей, предоставить Заказчику полную информацию по необходимым запасным частям, в случае необходимости обеспечить поставку запасных ча</w:t>
      </w:r>
      <w:r>
        <w:rPr>
          <w:rFonts w:eastAsia="Calibri"/>
        </w:rPr>
        <w:t xml:space="preserve">стей и комплектующих, необходимых для нормальной эксплуатации оргтехники, предоставлять Заказчику рекомендации и консультации, необходимые для обеспечения бесперебойной эксплуатации оргтехники, информировать без промедления обо всех технических изменениях.</w:t>
      </w:r>
      <w:r>
        <w:rPr>
          <w:rFonts w:eastAsia="Calibri"/>
        </w:rPr>
      </w:r>
    </w:p>
    <w:p>
      <w:pPr>
        <w:pBdr/>
        <w:spacing/>
        <w:ind/>
        <w:rPr>
          <w:rFonts w:eastAsia="Calibri"/>
          <w:b/>
          <w:bCs/>
        </w:rPr>
      </w:pPr>
      <w:r>
        <w:rPr>
          <w:rFonts w:eastAsia="Calibri"/>
          <w:b/>
          <w:bCs/>
        </w:rPr>
      </w:r>
      <w:r>
        <w:rPr>
          <w:rFonts w:eastAsia="Calibri"/>
          <w:b/>
          <w:bCs/>
        </w:rPr>
      </w:r>
    </w:p>
    <w:p>
      <w:pPr>
        <w:pBdr/>
        <w:spacing/>
        <w:ind/>
        <w:rPr>
          <w:rFonts w:eastAsia="Calibri"/>
          <w:b/>
          <w:bCs/>
        </w:rPr>
      </w:pPr>
      <w:r>
        <w:rPr>
          <w:rFonts w:eastAsia="Calibri"/>
          <w:b/>
          <w:bCs/>
        </w:rPr>
        <w:t xml:space="preserve">9. Порядок оказания услуг:</w:t>
      </w:r>
      <w:r>
        <w:rPr>
          <w:rFonts w:eastAsia="Calibri"/>
          <w:b/>
          <w:bCs/>
        </w:rPr>
      </w:r>
    </w:p>
    <w:p>
      <w:pPr>
        <w:pBdr/>
        <w:spacing/>
        <w:ind/>
        <w:rPr>
          <w:rFonts w:eastAsia="Calibri"/>
          <w:bCs/>
        </w:rPr>
      </w:pPr>
      <w:r>
        <w:rPr>
          <w:rFonts w:eastAsia="Calibri"/>
        </w:rPr>
        <w:t xml:space="preserve">Т</w:t>
      </w:r>
      <w:r>
        <w:rPr>
          <w:rFonts w:eastAsia="Calibri"/>
        </w:rPr>
        <w:t xml:space="preserve">ехническое обслуживание </w:t>
      </w:r>
      <w:r>
        <w:rPr>
          <w:rFonts w:eastAsia="Calibri"/>
        </w:rPr>
        <w:t xml:space="preserve">компьютерной и</w:t>
      </w:r>
      <w:r>
        <w:rPr>
          <w:rFonts w:eastAsia="Calibri"/>
        </w:rPr>
        <w:t xml:space="preserve"> оргтехники, </w:t>
      </w:r>
      <w:r>
        <w:rPr>
          <w:rFonts w:eastAsia="Calibri"/>
        </w:rPr>
        <w:t xml:space="preserve">ремонт и </w:t>
      </w:r>
      <w:r>
        <w:rPr>
          <w:rFonts w:eastAsia="Calibri"/>
        </w:rPr>
        <w:t xml:space="preserve">диагностика</w:t>
      </w:r>
      <w:r>
        <w:rPr>
          <w:rFonts w:eastAsia="Calibri"/>
        </w:rPr>
        <w:t xml:space="preserve">,</w:t>
      </w:r>
      <w:r>
        <w:rPr>
          <w:rFonts w:eastAsia="Calibri"/>
          <w:bCs/>
        </w:rPr>
        <w:t xml:space="preserve"> по заявке заказчика.</w:t>
      </w:r>
      <w:r>
        <w:rPr>
          <w:rFonts w:eastAsia="Calibri"/>
          <w:bCs/>
        </w:rPr>
        <w:t xml:space="preserve"> Заявка направляется по электронной почте.</w:t>
      </w:r>
      <w:r>
        <w:rPr>
          <w:rFonts w:eastAsia="Calibri"/>
          <w:bCs/>
        </w:rPr>
      </w:r>
    </w:p>
    <w:p>
      <w:pPr>
        <w:pBdr/>
        <w:spacing/>
        <w:ind/>
        <w:rPr>
          <w:rFonts w:eastAsia="Calibri"/>
          <w:b/>
          <w:bCs/>
        </w:rPr>
      </w:pPr>
      <w:r>
        <w:rPr>
          <w:rFonts w:eastAsia="Calibri"/>
          <w:b/>
          <w:bCs/>
        </w:rPr>
      </w:r>
      <w:r>
        <w:rPr>
          <w:rFonts w:eastAsia="Calibri"/>
          <w:b/>
          <w:bCs/>
        </w:rPr>
      </w:r>
    </w:p>
    <w:p>
      <w:pPr>
        <w:pBdr/>
        <w:spacing/>
        <w:ind/>
        <w:rPr>
          <w:rFonts w:eastAsia="Calibri"/>
          <w:b/>
          <w:bCs/>
        </w:rPr>
      </w:pPr>
      <w:r>
        <w:rPr>
          <w:rFonts w:eastAsia="Calibri"/>
          <w:b/>
          <w:bCs/>
        </w:rPr>
        <w:t xml:space="preserve">10. Требования к качеству оказываемых услуг:</w:t>
      </w:r>
      <w:r>
        <w:rPr>
          <w:rFonts w:eastAsia="Calibri"/>
          <w:b/>
          <w:bCs/>
        </w:rPr>
      </w:r>
    </w:p>
    <w:p>
      <w:pPr>
        <w:pBdr/>
        <w:spacing/>
        <w:ind/>
        <w:jc w:val="both"/>
        <w:rPr>
          <w:rFonts w:eastAsia="Calibri"/>
        </w:rPr>
      </w:pPr>
      <w:r>
        <w:rPr>
          <w:rFonts w:eastAsia="Calibri"/>
        </w:rPr>
        <w:t xml:space="preserve">Оказываемые услуги должны соответствовать требованиям производителя, требованиям действующего законодательства и иным документам, устанавливающим требованиям к качеству услуг являющихся предметом договора.</w:t>
      </w:r>
      <w:r>
        <w:rPr>
          <w:rFonts w:eastAsia="Calibri"/>
        </w:rPr>
      </w:r>
    </w:p>
    <w:p>
      <w:pPr>
        <w:pBdr/>
        <w:spacing/>
        <w:ind/>
        <w:jc w:val="both"/>
        <w:rPr>
          <w:rFonts w:eastAsia="Calibri"/>
          <w:b/>
          <w:bCs/>
        </w:rPr>
      </w:pPr>
      <w:r>
        <w:rPr>
          <w:rFonts w:eastAsia="Calibri"/>
          <w:b/>
          <w:bCs/>
        </w:rPr>
      </w:r>
      <w:r>
        <w:rPr>
          <w:rFonts w:eastAsia="Calibri"/>
          <w:b/>
          <w:bCs/>
        </w:rPr>
      </w:r>
    </w:p>
    <w:p>
      <w:pPr>
        <w:pBdr/>
        <w:spacing/>
        <w:ind/>
        <w:jc w:val="both"/>
        <w:rPr>
          <w:rFonts w:eastAsia="Calibri"/>
          <w:b/>
          <w:bCs/>
        </w:rPr>
      </w:pPr>
      <w:r>
        <w:rPr>
          <w:rFonts w:eastAsia="Calibri"/>
          <w:b/>
          <w:bCs/>
        </w:rPr>
        <w:t xml:space="preserve">11. Требования к безопасности оказания услуг и безопасности результатов работ:</w:t>
      </w:r>
      <w:r>
        <w:rPr>
          <w:rFonts w:eastAsia="Calibri"/>
          <w:b/>
          <w:bCs/>
        </w:rPr>
      </w:r>
    </w:p>
    <w:p>
      <w:pPr>
        <w:pBdr/>
        <w:spacing/>
        <w:ind/>
        <w:jc w:val="both"/>
        <w:rPr>
          <w:rFonts w:eastAsia="Calibri"/>
        </w:rPr>
      </w:pPr>
      <w:r>
        <w:rPr>
          <w:rFonts w:eastAsia="Calibri"/>
        </w:rPr>
        <w:t xml:space="preserve">Оказание услуг должно осуществляться в соответствии с правилами безопасн</w:t>
      </w:r>
      <w:r>
        <w:rPr>
          <w:rFonts w:eastAsia="Calibri"/>
        </w:rPr>
        <w:t xml:space="preserve">ости, установленными действующими нормативными правовыми актами</w:t>
      </w:r>
      <w:r>
        <w:rPr>
          <w:rFonts w:eastAsia="Calibri"/>
        </w:rPr>
        <w:t xml:space="preserve">.</w:t>
      </w:r>
      <w:r>
        <w:rPr>
          <w:rFonts w:eastAsia="Calibri"/>
        </w:rPr>
      </w:r>
    </w:p>
    <w:p>
      <w:pPr>
        <w:pBdr/>
        <w:spacing/>
        <w:ind/>
        <w:jc w:val="both"/>
        <w:rPr>
          <w:rFonts w:eastAsia="Calibri"/>
        </w:rPr>
      </w:pPr>
      <w:r>
        <w:rPr>
          <w:rFonts w:eastAsia="Calibri"/>
        </w:rPr>
        <w:t xml:space="preserve">Все оборудование, инструменты и измерительные приборы, используемые при  оказании услуг, должны быть в рабочем и безопасном состоянии. Измерительные приборы должны быть проверены.</w:t>
      </w:r>
      <w:r>
        <w:rPr>
          <w:rFonts w:eastAsia="Calibri"/>
        </w:rPr>
      </w:r>
    </w:p>
    <w:p>
      <w:pPr>
        <w:pBdr/>
        <w:spacing/>
        <w:ind/>
        <w:jc w:val="both"/>
        <w:rPr>
          <w:rFonts w:eastAsia="Calibri"/>
          <w:b/>
          <w:bCs/>
        </w:rPr>
      </w:pPr>
      <w:r>
        <w:rPr>
          <w:rFonts w:eastAsia="Calibri"/>
          <w:b/>
          <w:bCs/>
        </w:rPr>
      </w:r>
      <w:r>
        <w:rPr>
          <w:rFonts w:eastAsia="Calibri"/>
          <w:b/>
          <w:bCs/>
        </w:rPr>
      </w:r>
    </w:p>
    <w:p>
      <w:pPr>
        <w:pBdr/>
        <w:spacing/>
        <w:ind/>
        <w:jc w:val="both"/>
        <w:rPr>
          <w:rFonts w:eastAsia="Calibri"/>
          <w:b/>
          <w:bCs/>
        </w:rPr>
      </w:pPr>
      <w:r>
        <w:rPr>
          <w:rFonts w:eastAsia="Calibri"/>
          <w:b/>
          <w:bCs/>
        </w:rPr>
        <w:t xml:space="preserve">12. Порядок сдачи – приемки  оказанных услуг:</w:t>
      </w:r>
      <w:r>
        <w:rPr>
          <w:rFonts w:eastAsia="Calibri"/>
          <w:b/>
          <w:bCs/>
        </w:rPr>
      </w:r>
    </w:p>
    <w:p>
      <w:pPr>
        <w:pBdr/>
        <w:spacing/>
        <w:ind/>
        <w:jc w:val="both"/>
        <w:rPr>
          <w:rFonts w:eastAsia="Calibri"/>
        </w:rPr>
      </w:pPr>
      <w:r>
        <w:rPr>
          <w:rFonts w:eastAsia="Calibri"/>
        </w:rPr>
        <w:t xml:space="preserve">Сдача-приемка результатов оказанных услуг производится совместно представ</w:t>
      </w:r>
      <w:r>
        <w:rPr>
          <w:rFonts w:eastAsia="Calibri"/>
        </w:rPr>
        <w:t xml:space="preserve">ителями </w:t>
      </w:r>
      <w:r>
        <w:rPr>
          <w:rFonts w:eastAsia="Calibri"/>
        </w:rPr>
        <w:t xml:space="preserve">Исполнителя и З</w:t>
      </w:r>
      <w:r>
        <w:rPr>
          <w:rFonts w:eastAsia="Calibri"/>
        </w:rPr>
        <w:t xml:space="preserve">аказчика</w:t>
      </w:r>
      <w:r>
        <w:rPr>
          <w:rFonts w:eastAsia="Calibri"/>
        </w:rPr>
        <w:t xml:space="preserve">.</w:t>
      </w:r>
      <w:r>
        <w:rPr>
          <w:rFonts w:eastAsia="Calibri"/>
        </w:rPr>
      </w:r>
    </w:p>
    <w:p>
      <w:pPr>
        <w:pBdr/>
        <w:spacing/>
        <w:ind/>
        <w:jc w:val="both"/>
        <w:rPr>
          <w:rFonts w:eastAsia="Calibri"/>
          <w:b/>
          <w:bCs/>
        </w:rPr>
      </w:pPr>
      <w:r>
        <w:rPr>
          <w:rFonts w:eastAsia="Calibri"/>
          <w:b/>
          <w:bCs/>
        </w:rPr>
        <w:t xml:space="preserve">13. Требования по передаче заказчику технических и иных документов по завершению и сдаче оказанных услуг:</w:t>
      </w:r>
      <w:r>
        <w:rPr>
          <w:rFonts w:eastAsia="Calibri"/>
          <w:b/>
          <w:bCs/>
        </w:rPr>
      </w:r>
    </w:p>
    <w:p>
      <w:pPr>
        <w:pBdr/>
        <w:spacing/>
        <w:ind/>
        <w:jc w:val="both"/>
        <w:rPr>
          <w:rFonts w:eastAsia="Calibri"/>
        </w:rPr>
      </w:pPr>
      <w:r>
        <w:rPr>
          <w:rFonts w:eastAsia="Calibri"/>
        </w:rPr>
        <w:t xml:space="preserve">После сдачи-приемки оказанных услуг исполнитель передает Акты на оказанные услуги, подписанные уполномоченным представителем исполнителя заказчику. Заказчик обязан подписать Акты или представить исполнителю мотивированный отказ в соо</w:t>
      </w:r>
      <w:r>
        <w:rPr>
          <w:rFonts w:eastAsia="Calibri"/>
        </w:rPr>
        <w:t xml:space="preserve">тветствии с условиями договора.</w:t>
      </w:r>
      <w:r>
        <w:rPr>
          <w:rFonts w:eastAsia="Calibri"/>
        </w:rPr>
      </w:r>
    </w:p>
    <w:p>
      <w:pPr>
        <w:pBdr/>
        <w:spacing/>
        <w:ind/>
        <w:jc w:val="both"/>
        <w:rPr>
          <w:rFonts w:eastAsia="Calibri"/>
          <w:b/>
          <w:bCs/>
        </w:rPr>
      </w:pPr>
      <w:r>
        <w:rPr>
          <w:rFonts w:eastAsia="Calibri"/>
          <w:b/>
          <w:bCs/>
        </w:rPr>
      </w:r>
      <w:r>
        <w:rPr>
          <w:rFonts w:eastAsia="Calibri"/>
          <w:b/>
          <w:bCs/>
        </w:rPr>
      </w:r>
    </w:p>
    <w:p>
      <w:pPr>
        <w:pBdr/>
        <w:spacing/>
        <w:ind/>
        <w:jc w:val="both"/>
        <w:rPr>
          <w:rFonts w:eastAsia="Calibri"/>
        </w:rPr>
      </w:pPr>
      <w:r>
        <w:rPr>
          <w:rFonts w:eastAsia="Calibri"/>
          <w:b/>
          <w:bCs/>
        </w:rPr>
        <w:t xml:space="preserve">14.Требования по объему гарантий качества оказываемых услуг</w:t>
      </w:r>
      <w:r>
        <w:rPr>
          <w:rFonts w:eastAsia="Calibri"/>
        </w:rPr>
        <w:t xml:space="preserve">:</w:t>
      </w:r>
      <w:r>
        <w:rPr>
          <w:rFonts w:eastAsia="Calibri"/>
        </w:rPr>
      </w:r>
    </w:p>
    <w:p>
      <w:pPr>
        <w:pBdr/>
        <w:spacing/>
        <w:ind/>
        <w:jc w:val="both"/>
        <w:rPr>
          <w:rFonts w:eastAsia="Calibri"/>
        </w:rPr>
      </w:pPr>
      <w:r>
        <w:rPr>
          <w:rFonts w:eastAsia="Calibri"/>
        </w:rPr>
        <w:t xml:space="preserve">В течени</w:t>
      </w:r>
      <w:r>
        <w:rPr>
          <w:rFonts w:eastAsia="Calibri"/>
        </w:rPr>
        <w:t xml:space="preserve">и</w:t>
      </w:r>
      <w:r>
        <w:rPr>
          <w:rFonts w:eastAsia="Calibri"/>
        </w:rPr>
        <w:t xml:space="preserve"> гарантийного срока Исполнитель обязан по заявке Заказчика устранить повторную неисправность оборудования без дополнительной оплаты в объеме выполненных работ.</w:t>
      </w:r>
      <w:r>
        <w:rPr>
          <w:rFonts w:eastAsia="Calibri"/>
        </w:rPr>
      </w:r>
    </w:p>
    <w:p>
      <w:pPr>
        <w:pBdr/>
        <w:spacing/>
        <w:ind/>
        <w:jc w:val="both"/>
        <w:rPr>
          <w:rFonts w:eastAsia="Calibri"/>
          <w:b/>
          <w:bCs/>
        </w:rPr>
      </w:pPr>
      <w:r>
        <w:rPr>
          <w:rFonts w:eastAsia="Calibri"/>
          <w:b/>
          <w:bCs/>
        </w:rPr>
      </w:r>
      <w:r>
        <w:rPr>
          <w:rFonts w:eastAsia="Calibri"/>
          <w:b/>
          <w:bCs/>
        </w:rPr>
      </w:r>
    </w:p>
    <w:p>
      <w:pPr>
        <w:pBdr/>
        <w:spacing/>
        <w:ind/>
        <w:jc w:val="both"/>
        <w:rPr>
          <w:rFonts w:eastAsia="Calibri"/>
          <w:b/>
          <w:bCs/>
        </w:rPr>
      </w:pPr>
      <w:r>
        <w:rPr>
          <w:rFonts w:eastAsia="Calibri"/>
          <w:b/>
          <w:bCs/>
        </w:rPr>
        <w:t xml:space="preserve">15.Требования по сроку гарантий качества оказываемых услуг:</w:t>
      </w:r>
      <w:r>
        <w:rPr>
          <w:rFonts w:eastAsia="Calibri"/>
          <w:b/>
          <w:bCs/>
        </w:rPr>
      </w:r>
    </w:p>
    <w:p>
      <w:pPr>
        <w:pBdr/>
        <w:spacing/>
        <w:ind/>
        <w:jc w:val="both"/>
        <w:rPr>
          <w:rFonts w:eastAsia="Calibri"/>
        </w:rPr>
      </w:pPr>
      <w:r>
        <w:rPr>
          <w:rFonts w:eastAsia="Calibri"/>
        </w:rPr>
        <w:t xml:space="preserve">Срок гарантии на выполняемые Работы определяется  не менее </w:t>
      </w:r>
      <w:r>
        <w:rPr>
          <w:rFonts w:eastAsia="Calibri"/>
        </w:rPr>
        <w:t xml:space="preserve">шести</w:t>
      </w:r>
      <w:r>
        <w:rPr>
          <w:rFonts w:eastAsia="Calibri"/>
        </w:rPr>
        <w:t xml:space="preserve"> месяц</w:t>
      </w:r>
      <w:r>
        <w:rPr>
          <w:rFonts w:eastAsia="Calibri"/>
        </w:rPr>
        <w:t xml:space="preserve">ев</w:t>
      </w:r>
      <w:r>
        <w:rPr>
          <w:rFonts w:eastAsia="Calibri"/>
        </w:rPr>
        <w:t xml:space="preserve">. </w:t>
      </w:r>
      <w:r>
        <w:rPr>
          <w:rFonts w:eastAsia="Calibri"/>
        </w:rPr>
        <w:t xml:space="preserve">Срок гарантии на Комплектующие, имеющие ограниченный эксплуатационный ресурс, определяется изготовителем и указан в технической документации на изделие.</w:t>
      </w:r>
      <w:r>
        <w:rPr>
          <w:rFonts w:eastAsia="Calibri"/>
        </w:rPr>
      </w:r>
    </w:p>
    <w:p>
      <w:pPr>
        <w:pBdr/>
        <w:spacing/>
        <w:ind/>
        <w:jc w:val="both"/>
        <w:rPr>
          <w:rFonts w:eastAsia="Calibri"/>
          <w:b/>
          <w:bCs/>
        </w:rPr>
      </w:pPr>
      <w:r>
        <w:rPr>
          <w:rFonts w:eastAsia="Calibri"/>
          <w:b/>
          <w:bCs/>
        </w:rPr>
      </w:r>
      <w:r>
        <w:rPr>
          <w:rFonts w:eastAsia="Calibri"/>
          <w:b/>
          <w:bCs/>
        </w:rPr>
      </w:r>
    </w:p>
    <w:p>
      <w:pPr>
        <w:pBdr/>
        <w:spacing/>
        <w:ind/>
        <w:rPr>
          <w:b/>
        </w:rPr>
      </w:pPr>
      <w:r>
        <w:rPr>
          <w:rFonts w:eastAsia="Calibri"/>
          <w:b/>
          <w:bCs/>
        </w:rPr>
        <w:t xml:space="preserve">1</w:t>
      </w:r>
      <w:r>
        <w:rPr>
          <w:rFonts w:eastAsia="Calibri"/>
          <w:b/>
          <w:bCs/>
        </w:rPr>
        <w:t xml:space="preserve">6</w:t>
      </w:r>
      <w:r>
        <w:rPr>
          <w:rFonts w:eastAsia="Calibri"/>
          <w:b/>
          <w:bCs/>
        </w:rPr>
        <w:t xml:space="preserve">. </w:t>
      </w:r>
      <w:r>
        <w:rPr>
          <w:rFonts w:eastAsia="Calibri"/>
          <w:b/>
          <w:bCs/>
        </w:rPr>
        <w:t xml:space="preserve">Объем</w:t>
      </w:r>
      <w:r>
        <w:rPr>
          <w:rFonts w:eastAsia="Calibri"/>
          <w:b/>
          <w:bCs/>
        </w:rPr>
        <w:t xml:space="preserve"> услуг</w:t>
      </w:r>
      <w:r>
        <w:rPr>
          <w:rFonts w:eastAsia="Calibri"/>
          <w:b/>
          <w:bCs/>
        </w:rPr>
        <w:t xml:space="preserve">:</w:t>
      </w:r>
      <w:r>
        <w:rPr>
          <w:b/>
        </w:rPr>
      </w:r>
    </w:p>
    <w:tbl>
      <w:tblPr>
        <w:tblStyle w:val="746"/>
        <w:tblW w:w="9781" w:type="dxa"/>
        <w:tblInd w:w="108" w:type="dxa"/>
        <w:tblBorders/>
        <w:tblLook w:val="04A0" w:firstRow="1" w:lastRow="0" w:firstColumn="1" w:lastColumn="0" w:noHBand="0" w:noVBand="1"/>
      </w:tblPr>
      <w:tblGrid>
        <w:gridCol w:w="993"/>
        <w:gridCol w:w="6378"/>
        <w:gridCol w:w="2410"/>
      </w:tblGrid>
      <w:tr>
        <w:trPr>
          <w:trHeight w:val="315"/>
        </w:trPr>
        <w:tc>
          <w:tcPr>
            <w:tcBorders/>
            <w:tcW w:w="993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№ </w:t>
            </w:r>
            <w:r>
              <w:t xml:space="preserve">п</w:t>
            </w:r>
            <w:r>
              <w:t xml:space="preserve">/п</w:t>
            </w:r>
            <w:bookmarkStart w:id="0" w:name="_GoBack"/>
            <w:r/>
            <w:bookmarkEnd w:id="0"/>
            <w:r/>
            <w:r/>
          </w:p>
        </w:tc>
        <w:tc>
          <w:tcPr>
            <w:tcBorders/>
            <w:tcW w:w="637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Наименование р</w:t>
            </w:r>
            <w:r>
              <w:t xml:space="preserve">абот</w:t>
            </w:r>
            <w:r/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Кол-во, ед. (определяется количеством заявок)</w:t>
            </w:r>
            <w:r/>
          </w:p>
        </w:tc>
      </w:tr>
      <w:tr>
        <w:trPr>
          <w:trHeight w:val="315"/>
        </w:trPr>
        <w:tc>
          <w:tcPr>
            <w:tcBorders/>
            <w:tcW w:w="993" w:type="dxa"/>
            <w:textDirection w:val="lrTb"/>
            <w:noWrap/>
          </w:tcPr>
          <w:p>
            <w:pPr>
              <w:pStyle w:val="747"/>
              <w:numPr>
                <w:ilvl w:val="0"/>
                <w:numId w:val="5"/>
              </w:numPr>
              <w:pBdr/>
              <w:tabs>
                <w:tab w:val="left" w:leader="none" w:pos="601"/>
              </w:tabs>
              <w:spacing/>
              <w:ind w:right="318" w:firstLine="0" w:left="176"/>
              <w:jc w:val="center"/>
              <w:rPr/>
            </w:pPr>
            <w:r/>
            <w:r/>
          </w:p>
        </w:tc>
        <w:tc>
          <w:tcPr>
            <w:tcBorders/>
            <w:tcW w:w="6378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Диагностика оргтехники с выдачей заключения о техническом состоянии и необходимого ремонта</w:t>
            </w:r>
            <w:r/>
          </w:p>
        </w:tc>
        <w:tc>
          <w:tcPr>
            <w:tcBorders/>
            <w:tcW w:w="241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315"/>
        </w:trPr>
        <w:tc>
          <w:tcPr>
            <w:tcBorders/>
            <w:tcW w:w="993" w:type="dxa"/>
            <w:textDirection w:val="lrTb"/>
            <w:noWrap/>
          </w:tcPr>
          <w:p>
            <w:pPr>
              <w:pStyle w:val="747"/>
              <w:numPr>
                <w:ilvl w:val="0"/>
                <w:numId w:val="5"/>
              </w:numPr>
              <w:pBdr/>
              <w:tabs>
                <w:tab w:val="left" w:leader="none" w:pos="601"/>
              </w:tabs>
              <w:spacing/>
              <w:ind w:right="318" w:firstLine="0" w:left="176"/>
              <w:jc w:val="center"/>
              <w:rPr/>
            </w:pPr>
            <w:r/>
            <w:r/>
          </w:p>
        </w:tc>
        <w:tc>
          <w:tcPr>
            <w:tcBorders/>
            <w:tcW w:w="6378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Техническое обслуживание и профилактика (чистка оргтехники от следов тонера внутренних узлов, чистка </w:t>
            </w:r>
            <w:r>
              <w:rPr>
                <w:color w:val="000000"/>
              </w:rPr>
              <w:t xml:space="preserve">бумагопротяжных</w:t>
            </w:r>
            <w:r>
              <w:rPr>
                <w:color w:val="000000"/>
              </w:rPr>
              <w:t xml:space="preserve"> механизмов, чистка узла обработки изображения сканера)</w:t>
            </w:r>
            <w:r/>
          </w:p>
        </w:tc>
        <w:tc>
          <w:tcPr>
            <w:tcBorders/>
            <w:tcW w:w="241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315"/>
        </w:trPr>
        <w:tc>
          <w:tcPr>
            <w:tcBorders/>
            <w:tcW w:w="993" w:type="dxa"/>
            <w:textDirection w:val="lrTb"/>
            <w:noWrap/>
          </w:tcPr>
          <w:p>
            <w:pPr>
              <w:pStyle w:val="747"/>
              <w:numPr>
                <w:ilvl w:val="0"/>
                <w:numId w:val="5"/>
              </w:numPr>
              <w:pBdr/>
              <w:tabs>
                <w:tab w:val="left" w:leader="none" w:pos="601"/>
              </w:tabs>
              <w:spacing/>
              <w:ind w:right="318" w:firstLine="0" w:left="176"/>
              <w:jc w:val="center"/>
              <w:rPr/>
            </w:pPr>
            <w:r/>
            <w:r/>
          </w:p>
        </w:tc>
        <w:tc>
          <w:tcPr>
            <w:tcBorders/>
            <w:tcW w:w="6378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Ремонт узла с заменой ролика захвата, ролика подачи и ролика отделения бумаги (принтер / МФУ А</w:t>
            </w: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  <w:t xml:space="preserve">)</w:t>
            </w:r>
            <w:r/>
          </w:p>
        </w:tc>
        <w:tc>
          <w:tcPr>
            <w:tcBorders/>
            <w:tcW w:w="241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315"/>
        </w:trPr>
        <w:tc>
          <w:tcPr>
            <w:tcBorders/>
            <w:tcW w:w="993" w:type="dxa"/>
            <w:textDirection w:val="lrTb"/>
            <w:noWrap/>
          </w:tcPr>
          <w:p>
            <w:pPr>
              <w:pStyle w:val="747"/>
              <w:numPr>
                <w:ilvl w:val="0"/>
                <w:numId w:val="5"/>
              </w:numPr>
              <w:pBdr/>
              <w:tabs>
                <w:tab w:val="left" w:leader="none" w:pos="601"/>
              </w:tabs>
              <w:spacing/>
              <w:ind w:right="318" w:firstLine="0" w:left="176"/>
              <w:jc w:val="center"/>
              <w:rPr/>
            </w:pPr>
            <w:r/>
            <w:r/>
          </w:p>
        </w:tc>
        <w:tc>
          <w:tcPr>
            <w:tcBorders/>
            <w:tcW w:w="6378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Ремонт узла захвата с заменой ролика захвата/подачи (принтер / МФУ А</w:t>
            </w: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  <w:t xml:space="preserve">)</w:t>
            </w:r>
            <w:r/>
          </w:p>
        </w:tc>
        <w:tc>
          <w:tcPr>
            <w:tcBorders/>
            <w:tcW w:w="241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315"/>
        </w:trPr>
        <w:tc>
          <w:tcPr>
            <w:tcBorders/>
            <w:tcW w:w="993" w:type="dxa"/>
            <w:textDirection w:val="lrTb"/>
            <w:noWrap/>
          </w:tcPr>
          <w:p>
            <w:pPr>
              <w:pStyle w:val="747"/>
              <w:numPr>
                <w:ilvl w:val="0"/>
                <w:numId w:val="5"/>
              </w:numPr>
              <w:pBdr/>
              <w:tabs>
                <w:tab w:val="left" w:leader="none" w:pos="601"/>
              </w:tabs>
              <w:spacing/>
              <w:ind w:right="318" w:firstLine="0" w:left="176"/>
              <w:jc w:val="center"/>
              <w:rPr/>
            </w:pPr>
            <w:r/>
            <w:r/>
          </w:p>
        </w:tc>
        <w:tc>
          <w:tcPr>
            <w:tcBorders/>
            <w:tcW w:w="6378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Ремонт узла захвата </w:t>
            </w:r>
            <w:r>
              <w:rPr>
                <w:color w:val="000000"/>
              </w:rPr>
              <w:t xml:space="preserve">автоподачика</w:t>
            </w:r>
            <w:r>
              <w:rPr>
                <w:color w:val="000000"/>
              </w:rPr>
              <w:t xml:space="preserve"> сканера с заменой ролика захвата бумаги (принтер / МФУ А</w:t>
            </w: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  <w:t xml:space="preserve">)</w:t>
            </w:r>
            <w:r/>
          </w:p>
        </w:tc>
        <w:tc>
          <w:tcPr>
            <w:tcBorders/>
            <w:tcW w:w="241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315"/>
        </w:trPr>
        <w:tc>
          <w:tcPr>
            <w:tcBorders/>
            <w:tcW w:w="993" w:type="dxa"/>
            <w:textDirection w:val="lrTb"/>
            <w:noWrap/>
          </w:tcPr>
          <w:p>
            <w:pPr>
              <w:pStyle w:val="747"/>
              <w:numPr>
                <w:ilvl w:val="0"/>
                <w:numId w:val="5"/>
              </w:numPr>
              <w:pBdr/>
              <w:tabs>
                <w:tab w:val="left" w:leader="none" w:pos="601"/>
              </w:tabs>
              <w:spacing/>
              <w:ind w:right="318" w:firstLine="0" w:left="176"/>
              <w:jc w:val="center"/>
              <w:rPr/>
            </w:pPr>
            <w:r/>
            <w:r/>
          </w:p>
        </w:tc>
        <w:tc>
          <w:tcPr>
            <w:tcBorders/>
            <w:tcW w:w="6378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Ремонт узла захвата с заменой ролика захвата бумаги (принтер / МФУ А</w:t>
            </w: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  <w:t xml:space="preserve">)</w:t>
            </w:r>
            <w:r/>
          </w:p>
        </w:tc>
        <w:tc>
          <w:tcPr>
            <w:tcBorders/>
            <w:tcW w:w="241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315"/>
        </w:trPr>
        <w:tc>
          <w:tcPr>
            <w:tcBorders/>
            <w:tcW w:w="993" w:type="dxa"/>
            <w:textDirection w:val="lrTb"/>
            <w:noWrap/>
          </w:tcPr>
          <w:p>
            <w:pPr>
              <w:pStyle w:val="747"/>
              <w:numPr>
                <w:ilvl w:val="0"/>
                <w:numId w:val="5"/>
              </w:numPr>
              <w:pBdr/>
              <w:tabs>
                <w:tab w:val="left" w:leader="none" w:pos="601"/>
              </w:tabs>
              <w:spacing/>
              <w:ind w:right="318" w:firstLine="0" w:left="176"/>
              <w:jc w:val="center"/>
              <w:rPr/>
            </w:pPr>
            <w:r/>
            <w:r/>
          </w:p>
        </w:tc>
        <w:tc>
          <w:tcPr>
            <w:tcBorders/>
            <w:tcW w:w="6378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Ремонт узла захвата с заменой тормозной площадки подачи бумаги (принтер / МФУ А</w:t>
            </w: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  <w:t xml:space="preserve">)</w:t>
            </w:r>
            <w:r/>
          </w:p>
        </w:tc>
        <w:tc>
          <w:tcPr>
            <w:tcBorders/>
            <w:tcW w:w="241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315"/>
        </w:trPr>
        <w:tc>
          <w:tcPr>
            <w:tcBorders/>
            <w:tcW w:w="993" w:type="dxa"/>
            <w:textDirection w:val="lrTb"/>
            <w:noWrap/>
          </w:tcPr>
          <w:p>
            <w:pPr>
              <w:pStyle w:val="747"/>
              <w:numPr>
                <w:ilvl w:val="0"/>
                <w:numId w:val="5"/>
              </w:numPr>
              <w:pBdr/>
              <w:tabs>
                <w:tab w:val="left" w:leader="none" w:pos="601"/>
              </w:tabs>
              <w:spacing/>
              <w:ind w:right="318" w:firstLine="0" w:left="176"/>
              <w:jc w:val="center"/>
              <w:rPr/>
            </w:pPr>
            <w:r/>
            <w:r/>
          </w:p>
        </w:tc>
        <w:tc>
          <w:tcPr>
            <w:tcBorders/>
            <w:tcW w:w="6378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Ремонт узла закрепления изображения с заменой </w:t>
            </w:r>
            <w:r>
              <w:rPr>
                <w:color w:val="000000"/>
              </w:rPr>
              <w:t xml:space="preserve">термопленки</w:t>
            </w:r>
            <w:r>
              <w:rPr>
                <w:color w:val="000000"/>
              </w:rPr>
              <w:t xml:space="preserve"> и </w:t>
            </w:r>
            <w:r>
              <w:rPr>
                <w:color w:val="000000"/>
              </w:rPr>
              <w:t xml:space="preserve">бушингов</w:t>
            </w:r>
            <w:r>
              <w:rPr>
                <w:color w:val="000000"/>
              </w:rPr>
              <w:t xml:space="preserve"> (принтер / МФУ А</w:t>
            </w: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  <w:t xml:space="preserve">)</w:t>
            </w:r>
            <w:r/>
          </w:p>
        </w:tc>
        <w:tc>
          <w:tcPr>
            <w:tcBorders/>
            <w:tcW w:w="241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315"/>
        </w:trPr>
        <w:tc>
          <w:tcPr>
            <w:tcBorders/>
            <w:tcW w:w="993" w:type="dxa"/>
            <w:textDirection w:val="lrTb"/>
            <w:noWrap/>
          </w:tcPr>
          <w:p>
            <w:pPr>
              <w:pStyle w:val="747"/>
              <w:numPr>
                <w:ilvl w:val="0"/>
                <w:numId w:val="5"/>
              </w:numPr>
              <w:pBdr/>
              <w:tabs>
                <w:tab w:val="left" w:leader="none" w:pos="601"/>
              </w:tabs>
              <w:spacing/>
              <w:ind w:right="318" w:firstLine="0" w:left="176"/>
              <w:jc w:val="center"/>
              <w:rPr/>
            </w:pPr>
            <w:r/>
            <w:r/>
          </w:p>
        </w:tc>
        <w:tc>
          <w:tcPr>
            <w:tcBorders/>
            <w:tcW w:w="6378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Ремонт узла закрепления изображения с заменой </w:t>
            </w:r>
            <w:r>
              <w:rPr>
                <w:color w:val="000000"/>
              </w:rPr>
              <w:t xml:space="preserve">термопленки</w:t>
            </w:r>
            <w:r>
              <w:rPr>
                <w:color w:val="000000"/>
              </w:rPr>
              <w:t xml:space="preserve">, резинового вала и </w:t>
            </w:r>
            <w:r>
              <w:rPr>
                <w:color w:val="000000"/>
              </w:rPr>
              <w:t xml:space="preserve">бушингов</w:t>
            </w:r>
            <w:r>
              <w:rPr>
                <w:color w:val="000000"/>
              </w:rPr>
              <w:t xml:space="preserve"> (принтер / МФУ А</w:t>
            </w: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  <w:t xml:space="preserve">)</w:t>
            </w:r>
            <w:r/>
          </w:p>
        </w:tc>
        <w:tc>
          <w:tcPr>
            <w:tcBorders/>
            <w:tcW w:w="241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315"/>
        </w:trPr>
        <w:tc>
          <w:tcPr>
            <w:tcBorders/>
            <w:tcW w:w="993" w:type="dxa"/>
            <w:textDirection w:val="lrTb"/>
            <w:noWrap/>
          </w:tcPr>
          <w:p>
            <w:pPr>
              <w:pStyle w:val="747"/>
              <w:numPr>
                <w:ilvl w:val="0"/>
                <w:numId w:val="5"/>
              </w:numPr>
              <w:pBdr/>
              <w:tabs>
                <w:tab w:val="left" w:leader="none" w:pos="601"/>
              </w:tabs>
              <w:spacing/>
              <w:ind w:right="318" w:firstLine="0" w:left="176"/>
              <w:jc w:val="center"/>
              <w:rPr/>
            </w:pPr>
            <w:r/>
            <w:r/>
          </w:p>
        </w:tc>
        <w:tc>
          <w:tcPr>
            <w:tcBorders/>
            <w:tcW w:w="6378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Ремонт узла закрепления изображения с заменой узла закрепления изображения в сборе (принтер / МФУ А</w:t>
            </w: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  <w:t xml:space="preserve">)</w:t>
            </w:r>
            <w:r/>
          </w:p>
        </w:tc>
        <w:tc>
          <w:tcPr>
            <w:tcBorders/>
            <w:tcW w:w="241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315"/>
        </w:trPr>
        <w:tc>
          <w:tcPr>
            <w:tcBorders/>
            <w:tcW w:w="993" w:type="dxa"/>
            <w:textDirection w:val="lrTb"/>
            <w:noWrap/>
          </w:tcPr>
          <w:p>
            <w:pPr>
              <w:pStyle w:val="747"/>
              <w:numPr>
                <w:ilvl w:val="0"/>
                <w:numId w:val="5"/>
              </w:numPr>
              <w:pBdr/>
              <w:tabs>
                <w:tab w:val="left" w:leader="none" w:pos="601"/>
              </w:tabs>
              <w:spacing/>
              <w:ind w:right="318" w:firstLine="0" w:left="176"/>
              <w:jc w:val="center"/>
              <w:rPr/>
            </w:pPr>
            <w:r/>
            <w:r/>
          </w:p>
        </w:tc>
        <w:tc>
          <w:tcPr>
            <w:tcBorders/>
            <w:tcW w:w="6378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Ремонт тракта прохождения бумаги (принтер / МФУ А</w:t>
            </w: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  <w:t xml:space="preserve">)</w:t>
            </w:r>
            <w:r/>
          </w:p>
        </w:tc>
        <w:tc>
          <w:tcPr>
            <w:tcBorders/>
            <w:tcW w:w="241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315"/>
        </w:trPr>
        <w:tc>
          <w:tcPr>
            <w:tcBorders/>
            <w:tcW w:w="993" w:type="dxa"/>
            <w:textDirection w:val="lrTb"/>
            <w:noWrap/>
          </w:tcPr>
          <w:p>
            <w:pPr>
              <w:pStyle w:val="747"/>
              <w:numPr>
                <w:ilvl w:val="0"/>
                <w:numId w:val="5"/>
              </w:numPr>
              <w:pBdr/>
              <w:tabs>
                <w:tab w:val="left" w:leader="none" w:pos="601"/>
              </w:tabs>
              <w:spacing/>
              <w:ind w:right="318" w:firstLine="0" w:left="176"/>
              <w:jc w:val="center"/>
              <w:rPr/>
            </w:pPr>
            <w:r/>
            <w:r/>
          </w:p>
        </w:tc>
        <w:tc>
          <w:tcPr>
            <w:tcBorders/>
            <w:tcW w:w="6378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</w:rPr>
            </w:pPr>
            <w:r>
              <w:rPr>
                <w:color w:val="000000"/>
              </w:rPr>
              <w:t xml:space="preserve">Перепрошивка</w:t>
            </w:r>
            <w:r>
              <w:rPr>
                <w:color w:val="000000"/>
              </w:rPr>
              <w:t xml:space="preserve"> (восстановление программного обеспечения) МФУ/принтера</w:t>
            </w:r>
            <w:r>
              <w:rPr>
                <w:sz w:val="22"/>
              </w:rPr>
            </w:r>
          </w:p>
        </w:tc>
        <w:tc>
          <w:tcPr>
            <w:tcBorders/>
            <w:tcW w:w="241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315"/>
        </w:trPr>
        <w:tc>
          <w:tcPr>
            <w:tcBorders/>
            <w:tcW w:w="993" w:type="dxa"/>
            <w:textDirection w:val="lrTb"/>
            <w:noWrap/>
          </w:tcPr>
          <w:p>
            <w:pPr>
              <w:pStyle w:val="747"/>
              <w:numPr>
                <w:ilvl w:val="0"/>
                <w:numId w:val="5"/>
              </w:numPr>
              <w:pBdr/>
              <w:tabs>
                <w:tab w:val="left" w:leader="none" w:pos="601"/>
              </w:tabs>
              <w:spacing/>
              <w:ind w:right="318" w:firstLine="0" w:left="176"/>
              <w:jc w:val="center"/>
              <w:rPr/>
            </w:pPr>
            <w:r/>
            <w:r/>
          </w:p>
        </w:tc>
        <w:tc>
          <w:tcPr>
            <w:tcBorders/>
            <w:tcW w:w="6378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</w:rPr>
            </w:pPr>
            <w:r>
              <w:rPr>
                <w:color w:val="000000"/>
              </w:rPr>
              <w:t xml:space="preserve">Ремонт узла тормозной площадки ADF в сборе (МФУ А</w:t>
            </w: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  <w:t xml:space="preserve">)</w:t>
            </w:r>
            <w:r>
              <w:rPr>
                <w:sz w:val="22"/>
              </w:rPr>
            </w:r>
          </w:p>
        </w:tc>
        <w:tc>
          <w:tcPr>
            <w:tcBorders/>
            <w:tcW w:w="241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315"/>
        </w:trPr>
        <w:tc>
          <w:tcPr>
            <w:tcBorders/>
            <w:tcW w:w="993" w:type="dxa"/>
            <w:textDirection w:val="lrTb"/>
            <w:noWrap/>
          </w:tcPr>
          <w:p>
            <w:pPr>
              <w:pStyle w:val="747"/>
              <w:numPr>
                <w:ilvl w:val="0"/>
                <w:numId w:val="5"/>
              </w:numPr>
              <w:pBdr/>
              <w:tabs>
                <w:tab w:val="left" w:leader="none" w:pos="601"/>
              </w:tabs>
              <w:spacing/>
              <w:ind w:right="318" w:firstLine="0" w:left="176"/>
              <w:jc w:val="center"/>
              <w:rPr/>
            </w:pPr>
            <w:r/>
            <w:r/>
          </w:p>
        </w:tc>
        <w:tc>
          <w:tcPr>
            <w:tcBorders/>
            <w:tcW w:w="6378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</w:rPr>
            </w:pPr>
            <w:r>
              <w:rPr>
                <w:color w:val="000000"/>
              </w:rPr>
              <w:t xml:space="preserve">Ремонт МФУ замена узла сканирования изображения (МФУ А</w:t>
            </w: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  <w:t xml:space="preserve">)</w:t>
            </w:r>
            <w:r>
              <w:rPr>
                <w:sz w:val="22"/>
              </w:rPr>
            </w:r>
          </w:p>
        </w:tc>
        <w:tc>
          <w:tcPr>
            <w:tcBorders/>
            <w:tcW w:w="241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315"/>
        </w:trPr>
        <w:tc>
          <w:tcPr>
            <w:tcBorders/>
            <w:tcW w:w="993" w:type="dxa"/>
            <w:textDirection w:val="lrTb"/>
            <w:noWrap/>
          </w:tcPr>
          <w:p>
            <w:pPr>
              <w:pStyle w:val="747"/>
              <w:numPr>
                <w:ilvl w:val="0"/>
                <w:numId w:val="5"/>
              </w:numPr>
              <w:pBdr/>
              <w:tabs>
                <w:tab w:val="left" w:leader="none" w:pos="601"/>
              </w:tabs>
              <w:spacing/>
              <w:ind w:right="318" w:firstLine="0" w:left="176"/>
              <w:jc w:val="center"/>
              <w:rPr/>
            </w:pPr>
            <w:r/>
            <w:r/>
          </w:p>
        </w:tc>
        <w:tc>
          <w:tcPr>
            <w:tcBorders/>
            <w:tcW w:w="6378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</w:rPr>
            </w:pPr>
            <w:r>
              <w:rPr>
                <w:color w:val="000000"/>
              </w:rPr>
              <w:t xml:space="preserve">Многофункциональное устройство M60ade (ремонт/замена нижнего лотка подачи бумаги)</w:t>
            </w:r>
            <w:r>
              <w:rPr>
                <w:sz w:val="22"/>
              </w:rPr>
            </w:r>
          </w:p>
        </w:tc>
        <w:tc>
          <w:tcPr>
            <w:tcBorders/>
            <w:tcW w:w="241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315"/>
        </w:trPr>
        <w:tc>
          <w:tcPr>
            <w:tcBorders/>
            <w:tcW w:w="993" w:type="dxa"/>
            <w:textDirection w:val="lrTb"/>
            <w:noWrap/>
          </w:tcPr>
          <w:p>
            <w:pPr>
              <w:pStyle w:val="747"/>
              <w:numPr>
                <w:ilvl w:val="0"/>
                <w:numId w:val="5"/>
              </w:numPr>
              <w:pBdr/>
              <w:tabs>
                <w:tab w:val="left" w:leader="none" w:pos="601"/>
              </w:tabs>
              <w:spacing/>
              <w:ind w:right="318" w:firstLine="0" w:left="176"/>
              <w:jc w:val="center"/>
              <w:rPr/>
            </w:pPr>
            <w:r/>
            <w:r/>
          </w:p>
        </w:tc>
        <w:tc>
          <w:tcPr>
            <w:tcBorders/>
            <w:tcW w:w="6378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</w:rPr>
            </w:pPr>
            <w:r>
              <w:rPr>
                <w:color w:val="000000"/>
              </w:rPr>
              <w:t xml:space="preserve">Ремонт (замена) системной платы на ноутбуке </w:t>
            </w:r>
            <w:r>
              <w:rPr>
                <w:color w:val="000000"/>
              </w:rPr>
              <w:t xml:space="preserve">Lenovo</w:t>
            </w:r>
            <w:r>
              <w:rPr>
                <w:color w:val="000000"/>
              </w:rPr>
              <w:t xml:space="preserve"> Z560 (восстановление </w:t>
            </w:r>
            <w:r>
              <w:rPr>
                <w:color w:val="000000"/>
                <w:lang w:val="en-US"/>
              </w:rPr>
              <w:t xml:space="preserve">USB</w:t>
            </w:r>
            <w:r>
              <w:rPr>
                <w:color w:val="000000"/>
              </w:rPr>
              <w:t xml:space="preserve"> портов)</w:t>
            </w:r>
            <w:r>
              <w:rPr>
                <w:sz w:val="22"/>
              </w:rPr>
            </w:r>
          </w:p>
        </w:tc>
        <w:tc>
          <w:tcPr>
            <w:tcBorders/>
            <w:tcW w:w="241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315"/>
        </w:trPr>
        <w:tc>
          <w:tcPr>
            <w:tcBorders/>
            <w:tcW w:w="993" w:type="dxa"/>
            <w:textDirection w:val="lrTb"/>
            <w:noWrap/>
          </w:tcPr>
          <w:p>
            <w:pPr>
              <w:pStyle w:val="747"/>
              <w:numPr>
                <w:ilvl w:val="0"/>
                <w:numId w:val="5"/>
              </w:numPr>
              <w:pBdr/>
              <w:tabs>
                <w:tab w:val="left" w:leader="none" w:pos="601"/>
              </w:tabs>
              <w:spacing/>
              <w:ind w:right="318" w:firstLine="0" w:left="176"/>
              <w:jc w:val="center"/>
              <w:rPr/>
            </w:pPr>
            <w:r/>
            <w:r/>
          </w:p>
        </w:tc>
        <w:tc>
          <w:tcPr>
            <w:tcBorders/>
            <w:tcW w:w="6378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</w:rPr>
            </w:pPr>
            <w:r>
              <w:rPr>
                <w:color w:val="000000"/>
              </w:rPr>
              <w:t xml:space="preserve">Ремонт Монитора 20" </w:t>
            </w:r>
            <w:r>
              <w:rPr>
                <w:color w:val="000000"/>
              </w:rPr>
              <w:t xml:space="preserve">ViewSonic</w:t>
            </w:r>
            <w:r>
              <w:rPr>
                <w:color w:val="000000"/>
              </w:rPr>
              <w:t xml:space="preserve"> (замена подсветки экрана)</w:t>
            </w:r>
            <w:r>
              <w:rPr>
                <w:sz w:val="22"/>
              </w:rPr>
            </w:r>
          </w:p>
        </w:tc>
        <w:tc>
          <w:tcPr>
            <w:tcBorders/>
            <w:tcW w:w="241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315"/>
        </w:trPr>
        <w:tc>
          <w:tcPr>
            <w:tcBorders/>
            <w:tcW w:w="993" w:type="dxa"/>
            <w:textDirection w:val="lrTb"/>
            <w:noWrap/>
          </w:tcPr>
          <w:p>
            <w:pPr>
              <w:pStyle w:val="747"/>
              <w:numPr>
                <w:ilvl w:val="0"/>
                <w:numId w:val="5"/>
              </w:numPr>
              <w:pBdr/>
              <w:tabs>
                <w:tab w:val="left" w:leader="none" w:pos="601"/>
              </w:tabs>
              <w:spacing/>
              <w:ind w:right="318" w:firstLine="0" w:left="176"/>
              <w:jc w:val="center"/>
              <w:rPr/>
            </w:pPr>
            <w:r/>
            <w:r/>
          </w:p>
        </w:tc>
        <w:tc>
          <w:tcPr>
            <w:tcBorders/>
            <w:tcW w:w="6378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</w:rPr>
            </w:pPr>
            <w:r>
              <w:rPr>
                <w:color w:val="000000"/>
              </w:rPr>
              <w:t xml:space="preserve">Ремонт моноблока </w:t>
            </w:r>
            <w:r>
              <w:rPr>
                <w:color w:val="000000"/>
              </w:rPr>
              <w:t xml:space="preserve">Life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Tech</w:t>
            </w:r>
            <w:r>
              <w:rPr>
                <w:color w:val="000000"/>
              </w:rPr>
              <w:t xml:space="preserve"> ST-</w:t>
            </w:r>
            <w:r>
              <w:rPr>
                <w:color w:val="000000"/>
              </w:rPr>
              <w:t xml:space="preserve">Line</w:t>
            </w:r>
            <w:r>
              <w:rPr>
                <w:color w:val="000000"/>
              </w:rPr>
              <w:t xml:space="preserve"> K4 V1 (ремонт/замена матрицы экрана)</w:t>
            </w:r>
            <w:r>
              <w:rPr>
                <w:sz w:val="22"/>
              </w:rPr>
            </w:r>
          </w:p>
        </w:tc>
        <w:tc>
          <w:tcPr>
            <w:tcBorders/>
            <w:tcW w:w="241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315"/>
        </w:trPr>
        <w:tc>
          <w:tcPr>
            <w:tcBorders/>
            <w:tcW w:w="993" w:type="dxa"/>
            <w:textDirection w:val="lrTb"/>
            <w:noWrap/>
          </w:tcPr>
          <w:p>
            <w:pPr>
              <w:pStyle w:val="747"/>
              <w:numPr>
                <w:ilvl w:val="0"/>
                <w:numId w:val="5"/>
              </w:numPr>
              <w:pBdr/>
              <w:tabs>
                <w:tab w:val="left" w:leader="none" w:pos="601"/>
              </w:tabs>
              <w:spacing/>
              <w:ind w:right="318" w:firstLine="0" w:left="176"/>
              <w:jc w:val="center"/>
              <w:rPr/>
            </w:pPr>
            <w:r/>
            <w:r/>
          </w:p>
        </w:tc>
        <w:tc>
          <w:tcPr>
            <w:tcBorders/>
            <w:tcW w:w="6378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</w:rPr>
            </w:pPr>
            <w:r>
              <w:rPr>
                <w:color w:val="000000"/>
              </w:rPr>
              <w:t xml:space="preserve">Ремонт ИБП SUA1500I (замена аккумулятора 2*12</w:t>
            </w:r>
            <w:r>
              <w:rPr>
                <w:color w:val="000000"/>
              </w:rPr>
              <w:t xml:space="preserve"> В</w:t>
            </w:r>
            <w:r>
              <w:rPr>
                <w:color w:val="000000"/>
              </w:rPr>
              <w:t xml:space="preserve"> 17 </w:t>
            </w:r>
            <w:r>
              <w:rPr>
                <w:color w:val="000000"/>
              </w:rPr>
              <w:t xml:space="preserve">Ач</w:t>
            </w:r>
            <w:r>
              <w:rPr>
                <w:color w:val="000000"/>
              </w:rPr>
              <w:t xml:space="preserve">)</w:t>
            </w:r>
            <w:r>
              <w:rPr>
                <w:sz w:val="22"/>
              </w:rPr>
            </w:r>
          </w:p>
        </w:tc>
        <w:tc>
          <w:tcPr>
            <w:tcBorders/>
            <w:tcW w:w="241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315"/>
        </w:trPr>
        <w:tc>
          <w:tcPr>
            <w:tcBorders/>
            <w:tcW w:w="993" w:type="dxa"/>
            <w:textDirection w:val="lrTb"/>
            <w:noWrap/>
          </w:tcPr>
          <w:p>
            <w:pPr>
              <w:pStyle w:val="747"/>
              <w:numPr>
                <w:ilvl w:val="0"/>
                <w:numId w:val="5"/>
              </w:numPr>
              <w:pBdr/>
              <w:tabs>
                <w:tab w:val="left" w:leader="none" w:pos="601"/>
              </w:tabs>
              <w:spacing/>
              <w:ind w:right="318" w:firstLine="0" w:left="176"/>
              <w:jc w:val="center"/>
              <w:rPr/>
            </w:pPr>
            <w:r/>
            <w:r/>
          </w:p>
        </w:tc>
        <w:tc>
          <w:tcPr>
            <w:tcBorders/>
            <w:tcW w:w="6378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</w:rPr>
            </w:pPr>
            <w:r>
              <w:rPr>
                <w:color w:val="000000"/>
              </w:rPr>
              <w:t xml:space="preserve">Ремонт ИБП </w:t>
            </w:r>
            <w:r>
              <w:rPr>
                <w:color w:val="000000"/>
                <w:lang w:val="en-US"/>
              </w:rPr>
              <w:t xml:space="preserve">APC</w:t>
            </w:r>
            <w:r>
              <w:rPr>
                <w:color w:val="000000"/>
              </w:rPr>
              <w:t xml:space="preserve">500 (замена аккумулятора 12</w:t>
            </w:r>
            <w:r>
              <w:rPr>
                <w:color w:val="000000"/>
              </w:rPr>
              <w:t xml:space="preserve"> В</w:t>
            </w:r>
            <w:r>
              <w:rPr>
                <w:color w:val="000000"/>
              </w:rPr>
              <w:t xml:space="preserve"> 7 </w:t>
            </w:r>
            <w:r>
              <w:rPr>
                <w:color w:val="000000"/>
              </w:rPr>
              <w:t xml:space="preserve">Ач</w:t>
            </w:r>
            <w:r>
              <w:rPr>
                <w:color w:val="000000"/>
              </w:rPr>
              <w:t xml:space="preserve">)</w:t>
            </w:r>
            <w:r>
              <w:rPr>
                <w:sz w:val="22"/>
              </w:rPr>
            </w:r>
          </w:p>
        </w:tc>
        <w:tc>
          <w:tcPr>
            <w:tcBorders/>
            <w:tcW w:w="241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315"/>
        </w:trPr>
        <w:tc>
          <w:tcPr>
            <w:tcBorders/>
            <w:tcW w:w="993" w:type="dxa"/>
            <w:textDirection w:val="lrTb"/>
            <w:noWrap/>
          </w:tcPr>
          <w:p>
            <w:pPr>
              <w:pStyle w:val="747"/>
              <w:numPr>
                <w:ilvl w:val="0"/>
                <w:numId w:val="5"/>
              </w:numPr>
              <w:pBdr/>
              <w:tabs>
                <w:tab w:val="left" w:leader="none" w:pos="601"/>
              </w:tabs>
              <w:spacing/>
              <w:ind w:right="318" w:firstLine="0" w:left="176"/>
              <w:jc w:val="center"/>
              <w:rPr/>
            </w:pPr>
            <w:r/>
            <w:r/>
          </w:p>
        </w:tc>
        <w:tc>
          <w:tcPr>
            <w:tcBorders/>
            <w:tcW w:w="6378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</w:rPr>
            </w:pPr>
            <w:r>
              <w:rPr>
                <w:color w:val="000000"/>
              </w:rPr>
              <w:t xml:space="preserve">Ремонт моноблока HP </w:t>
            </w:r>
            <w:r>
              <w:rPr>
                <w:color w:val="000000"/>
              </w:rPr>
              <w:t xml:space="preserve">Pro</w:t>
            </w:r>
            <w:r>
              <w:rPr>
                <w:color w:val="000000"/>
              </w:rPr>
              <w:t xml:space="preserve"> 3520 (замена </w:t>
            </w:r>
            <w:r>
              <w:rPr>
                <w:color w:val="000000"/>
                <w:lang w:val="en-US"/>
              </w:rPr>
              <w:t xml:space="preserve">HDD</w:t>
            </w:r>
            <w:r>
              <w:rPr>
                <w:color w:val="000000"/>
              </w:rPr>
              <w:t xml:space="preserve"> диска не менее 500 Гб </w:t>
            </w:r>
            <w:r>
              <w:rPr>
                <w:color w:val="000000"/>
                <w:lang w:val="en-US"/>
              </w:rPr>
              <w:t xml:space="preserve">SATA</w:t>
            </w:r>
            <w:r>
              <w:rPr>
                <w:color w:val="000000"/>
              </w:rPr>
              <w:t xml:space="preserve"> 3, замена </w:t>
            </w:r>
            <w:r>
              <w:rPr>
                <w:color w:val="000000"/>
                <w:lang w:val="en-US"/>
              </w:rPr>
              <w:t xml:space="preserve">RAM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 xml:space="preserve">DDR</w:t>
            </w:r>
            <w:r>
              <w:rPr>
                <w:color w:val="000000"/>
              </w:rPr>
              <w:t xml:space="preserve">-3, не менее 4 Гб)</w:t>
            </w:r>
            <w:r>
              <w:rPr>
                <w:sz w:val="22"/>
              </w:rPr>
            </w:r>
          </w:p>
        </w:tc>
        <w:tc>
          <w:tcPr>
            <w:tcBorders/>
            <w:tcW w:w="241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315"/>
        </w:trPr>
        <w:tc>
          <w:tcPr>
            <w:tcBorders/>
            <w:tcW w:w="993" w:type="dxa"/>
            <w:textDirection w:val="lrTb"/>
            <w:noWrap/>
          </w:tcPr>
          <w:p>
            <w:pPr>
              <w:pStyle w:val="747"/>
              <w:numPr>
                <w:ilvl w:val="0"/>
                <w:numId w:val="5"/>
              </w:numPr>
              <w:pBdr/>
              <w:tabs>
                <w:tab w:val="left" w:leader="none" w:pos="601"/>
              </w:tabs>
              <w:spacing/>
              <w:ind w:right="318" w:firstLine="0" w:left="176"/>
              <w:jc w:val="center"/>
              <w:rPr/>
            </w:pPr>
            <w:r/>
            <w:r/>
          </w:p>
        </w:tc>
        <w:tc>
          <w:tcPr>
            <w:tcBorders/>
            <w:tcW w:w="6378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</w:rPr>
            </w:pPr>
            <w:r>
              <w:rPr>
                <w:color w:val="000000"/>
              </w:rPr>
              <w:t xml:space="preserve">Ремонт моноблока </w:t>
            </w:r>
            <w:r>
              <w:rPr>
                <w:color w:val="000000"/>
                <w:lang w:val="en-US"/>
              </w:rPr>
              <w:t xml:space="preserve">Lenovo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 xml:space="preserve">M</w:t>
            </w:r>
            <w:r>
              <w:rPr>
                <w:color w:val="000000"/>
              </w:rPr>
              <w:t xml:space="preserve">73</w:t>
            </w:r>
            <w:r>
              <w:rPr>
                <w:color w:val="000000"/>
                <w:lang w:val="en-US"/>
              </w:rPr>
              <w:t xml:space="preserve">z</w:t>
            </w:r>
            <w:r>
              <w:rPr>
                <w:color w:val="000000"/>
              </w:rPr>
              <w:t xml:space="preserve"> (замена HDD диска не менее 500 Гб SATA 3)</w:t>
            </w:r>
            <w:r>
              <w:rPr>
                <w:sz w:val="22"/>
              </w:rPr>
            </w:r>
          </w:p>
        </w:tc>
        <w:tc>
          <w:tcPr>
            <w:tcBorders/>
            <w:tcW w:w="241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315"/>
        </w:trPr>
        <w:tc>
          <w:tcPr>
            <w:tcBorders/>
            <w:tcW w:w="993" w:type="dxa"/>
            <w:textDirection w:val="lrTb"/>
            <w:noWrap/>
          </w:tcPr>
          <w:p>
            <w:pPr>
              <w:pStyle w:val="747"/>
              <w:numPr>
                <w:ilvl w:val="0"/>
                <w:numId w:val="5"/>
              </w:numPr>
              <w:pBdr/>
              <w:tabs>
                <w:tab w:val="left" w:leader="none" w:pos="601"/>
              </w:tabs>
              <w:spacing/>
              <w:ind w:right="318" w:firstLine="0" w:left="176"/>
              <w:jc w:val="center"/>
              <w:rPr/>
            </w:pPr>
            <w:r/>
            <w:r/>
          </w:p>
        </w:tc>
        <w:tc>
          <w:tcPr>
            <w:tcBorders/>
            <w:tcW w:w="6378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</w:rPr>
            </w:pPr>
            <w:r>
              <w:rPr>
                <w:color w:val="000000"/>
              </w:rPr>
              <w:t xml:space="preserve">Ремонт системного блока (замена </w:t>
            </w:r>
            <w:r>
              <w:rPr>
                <w:color w:val="000000"/>
                <w:lang w:val="en-US"/>
              </w:rPr>
              <w:t xml:space="preserve">HDD</w:t>
            </w:r>
            <w:r>
              <w:rPr>
                <w:color w:val="000000"/>
              </w:rPr>
              <w:t xml:space="preserve"> диска не менее 500 Гб </w:t>
            </w:r>
            <w:r>
              <w:rPr>
                <w:color w:val="000000"/>
                <w:lang w:val="en-US"/>
              </w:rPr>
              <w:t xml:space="preserve">SATA</w:t>
            </w:r>
            <w:r>
              <w:rPr>
                <w:color w:val="000000"/>
              </w:rPr>
              <w:t xml:space="preserve"> 3)</w:t>
            </w:r>
            <w:r>
              <w:rPr>
                <w:sz w:val="22"/>
              </w:rPr>
            </w:r>
          </w:p>
        </w:tc>
        <w:tc>
          <w:tcPr>
            <w:tcBorders/>
            <w:tcW w:w="241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315"/>
        </w:trPr>
        <w:tc>
          <w:tcPr>
            <w:tcBorders/>
            <w:tcW w:w="993" w:type="dxa"/>
            <w:textDirection w:val="lrTb"/>
            <w:noWrap/>
          </w:tcPr>
          <w:p>
            <w:pPr>
              <w:pStyle w:val="747"/>
              <w:numPr>
                <w:ilvl w:val="0"/>
                <w:numId w:val="5"/>
              </w:numPr>
              <w:pBdr/>
              <w:tabs>
                <w:tab w:val="left" w:leader="none" w:pos="601"/>
              </w:tabs>
              <w:spacing/>
              <w:ind w:right="318" w:firstLine="0" w:left="176"/>
              <w:jc w:val="center"/>
              <w:rPr/>
            </w:pPr>
            <w:r/>
            <w:r/>
          </w:p>
        </w:tc>
        <w:tc>
          <w:tcPr>
            <w:tcBorders/>
            <w:tcW w:w="6378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</w:rPr>
            </w:pPr>
            <w:r>
              <w:rPr>
                <w:color w:val="000000"/>
              </w:rPr>
              <w:t xml:space="preserve">Ремонт системного блока (замена блока питания </w:t>
            </w:r>
            <w:r>
              <w:rPr>
                <w:color w:val="000000"/>
                <w:lang w:val="en-US"/>
              </w:rPr>
              <w:t xml:space="preserve">ATX</w:t>
            </w:r>
            <w:r>
              <w:rPr>
                <w:color w:val="000000"/>
              </w:rPr>
              <w:t xml:space="preserve"> [450 Вт, APFC, 20+4 </w:t>
            </w:r>
            <w:r>
              <w:rPr>
                <w:color w:val="000000"/>
              </w:rPr>
              <w:t xml:space="preserve">pin</w:t>
            </w:r>
            <w:r>
              <w:rPr>
                <w:color w:val="000000"/>
              </w:rPr>
              <w:t xml:space="preserve">, 4 </w:t>
            </w:r>
            <w:r>
              <w:rPr>
                <w:color w:val="000000"/>
              </w:rPr>
              <w:t xml:space="preserve">pin</w:t>
            </w:r>
            <w:r>
              <w:rPr>
                <w:color w:val="000000"/>
              </w:rPr>
              <w:t xml:space="preserve"> CPU, 4 SATA, 6+2 </w:t>
            </w:r>
            <w:r>
              <w:rPr>
                <w:color w:val="000000"/>
              </w:rPr>
              <w:t xml:space="preserve">pin</w:t>
            </w:r>
            <w:r>
              <w:rPr>
                <w:color w:val="000000"/>
              </w:rPr>
              <w:t xml:space="preserve"> PCI-E])</w:t>
            </w:r>
            <w:r>
              <w:rPr>
                <w:sz w:val="22"/>
              </w:rPr>
            </w:r>
          </w:p>
        </w:tc>
        <w:tc>
          <w:tcPr>
            <w:tcBorders/>
            <w:tcW w:w="241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315"/>
        </w:trPr>
        <w:tc>
          <w:tcPr>
            <w:tcBorders/>
            <w:tcW w:w="993" w:type="dxa"/>
            <w:textDirection w:val="lrTb"/>
            <w:noWrap/>
          </w:tcPr>
          <w:p>
            <w:pPr>
              <w:pStyle w:val="747"/>
              <w:numPr>
                <w:ilvl w:val="0"/>
                <w:numId w:val="5"/>
              </w:numPr>
              <w:pBdr/>
              <w:tabs>
                <w:tab w:val="left" w:leader="none" w:pos="601"/>
              </w:tabs>
              <w:spacing/>
              <w:ind w:right="318" w:firstLine="0" w:left="176"/>
              <w:jc w:val="center"/>
              <w:rPr/>
            </w:pPr>
            <w:r/>
            <w:r/>
          </w:p>
        </w:tc>
        <w:tc>
          <w:tcPr>
            <w:tcBorders/>
            <w:tcW w:w="6378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</w:rPr>
            </w:pPr>
            <w:r>
              <w:rPr>
                <w:color w:val="000000"/>
              </w:rPr>
              <w:t xml:space="preserve">Ремонт системного блока (замена сетевого адаптера [1 x RJ-45, 1000 Мбит/сек, 100 Мбит/сек, PCI-E])</w:t>
            </w:r>
            <w:r>
              <w:rPr>
                <w:sz w:val="22"/>
              </w:rPr>
            </w:r>
          </w:p>
        </w:tc>
        <w:tc>
          <w:tcPr>
            <w:tcBorders/>
            <w:tcW w:w="241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315"/>
        </w:trPr>
        <w:tc>
          <w:tcPr>
            <w:tcBorders/>
            <w:tcW w:w="993" w:type="dxa"/>
            <w:textDirection w:val="lrTb"/>
            <w:noWrap/>
          </w:tcPr>
          <w:p>
            <w:pPr>
              <w:pStyle w:val="747"/>
              <w:numPr>
                <w:ilvl w:val="0"/>
                <w:numId w:val="5"/>
              </w:numPr>
              <w:pBdr/>
              <w:tabs>
                <w:tab w:val="left" w:leader="none" w:pos="601"/>
              </w:tabs>
              <w:spacing/>
              <w:ind w:right="318" w:firstLine="0" w:left="176"/>
              <w:jc w:val="center"/>
              <w:rPr/>
            </w:pPr>
            <w:r/>
            <w:r/>
          </w:p>
        </w:tc>
        <w:tc>
          <w:tcPr>
            <w:tcBorders/>
            <w:tcW w:w="6378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</w:rPr>
            </w:pPr>
            <w:r>
              <w:rPr>
                <w:color w:val="000000"/>
              </w:rPr>
              <w:t xml:space="preserve">Ремонт системного блока (замена батареи на системной плате)</w:t>
            </w:r>
            <w:r>
              <w:rPr>
                <w:sz w:val="22"/>
              </w:rPr>
            </w:r>
          </w:p>
        </w:tc>
        <w:tc>
          <w:tcPr>
            <w:tcBorders/>
            <w:tcW w:w="241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315"/>
        </w:trPr>
        <w:tc>
          <w:tcPr>
            <w:tcBorders/>
            <w:tcW w:w="993" w:type="dxa"/>
            <w:textDirection w:val="lrTb"/>
            <w:noWrap/>
          </w:tcPr>
          <w:p>
            <w:pPr>
              <w:pStyle w:val="747"/>
              <w:numPr>
                <w:ilvl w:val="0"/>
                <w:numId w:val="5"/>
              </w:numPr>
              <w:pBdr/>
              <w:tabs>
                <w:tab w:val="left" w:leader="none" w:pos="601"/>
              </w:tabs>
              <w:spacing/>
              <w:ind w:right="318" w:firstLine="0" w:left="176"/>
              <w:jc w:val="center"/>
              <w:rPr/>
            </w:pPr>
            <w:r/>
            <w:r/>
          </w:p>
        </w:tc>
        <w:tc>
          <w:tcPr>
            <w:tcBorders/>
            <w:tcW w:w="6378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</w:rPr>
            </w:pPr>
            <w:r>
              <w:rPr>
                <w:color w:val="000000"/>
              </w:rPr>
              <w:t xml:space="preserve">Ремонт ноутбука </w:t>
            </w:r>
            <w:r>
              <w:rPr>
                <w:color w:val="000000"/>
                <w:lang w:val="en-US"/>
              </w:rPr>
              <w:t xml:space="preserve">HP</w:t>
            </w:r>
            <w:r>
              <w:rPr>
                <w:color w:val="000000"/>
              </w:rPr>
              <w:t xml:space="preserve"> 4540 / </w:t>
            </w:r>
            <w:r>
              <w:rPr>
                <w:color w:val="000000"/>
                <w:lang w:val="en-US"/>
              </w:rPr>
              <w:t xml:space="preserve">HP</w:t>
            </w:r>
            <w:r>
              <w:rPr>
                <w:color w:val="000000"/>
              </w:rPr>
              <w:t xml:space="preserve"> 450 (замена аккумуляторной батареи)</w:t>
            </w:r>
            <w:r>
              <w:rPr>
                <w:sz w:val="22"/>
              </w:rPr>
            </w:r>
          </w:p>
        </w:tc>
        <w:tc>
          <w:tcPr>
            <w:tcBorders/>
            <w:tcW w:w="241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</w:tbl>
    <w:p>
      <w:pPr>
        <w:pBdr/>
        <w:spacing/>
        <w:ind/>
        <w:rPr>
          <w:b/>
        </w:rPr>
      </w:pPr>
      <w:r>
        <w:rPr>
          <w:b/>
        </w:rPr>
      </w:r>
      <w:r>
        <w:rPr>
          <w:b/>
        </w:rPr>
      </w:r>
    </w:p>
    <w:p>
      <w:pPr>
        <w:pBdr/>
        <w:spacing/>
        <w:ind/>
        <w:rPr>
          <w:b/>
        </w:rPr>
      </w:pPr>
      <w:r>
        <w:rPr>
          <w:b/>
        </w:rPr>
      </w:r>
      <w:r>
        <w:rPr>
          <w:b/>
        </w:rPr>
      </w:r>
    </w:p>
    <w:p>
      <w:pPr>
        <w:pBdr/>
        <w:spacing/>
        <w:ind/>
        <w:rPr>
          <w:b/>
        </w:rPr>
      </w:pPr>
      <w:r>
        <w:rPr>
          <w:b/>
        </w:rPr>
      </w:r>
      <w:r>
        <w:rPr>
          <w:b/>
        </w:rPr>
      </w:r>
    </w:p>
    <w:p>
      <w:pPr>
        <w:pBdr/>
        <w:spacing/>
        <w:ind/>
        <w:rPr>
          <w:b/>
        </w:rPr>
      </w:pPr>
      <w:r>
        <w:rPr>
          <w:b/>
        </w:rPr>
      </w:r>
      <w:r>
        <w:rPr>
          <w:b/>
        </w:rPr>
      </w:r>
    </w:p>
    <w:p>
      <w:pPr>
        <w:pBdr/>
        <w:spacing/>
        <w:ind/>
        <w:rPr>
          <w:b/>
        </w:rPr>
      </w:pPr>
      <w:r>
        <w:rPr>
          <w:b/>
        </w:rPr>
      </w:r>
      <w:r>
        <w:rPr>
          <w:b/>
        </w:rPr>
      </w:r>
    </w:p>
    <w:tbl>
      <w:tblPr>
        <w:tblStyle w:val="746"/>
        <w:tblW w:w="9923" w:type="dxa"/>
        <w:tblInd w:w="-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812"/>
        <w:gridCol w:w="1985"/>
        <w:gridCol w:w="2126"/>
      </w:tblGrid>
      <w:tr>
        <w:trPr>
          <w:trHeight w:val="892"/>
        </w:trPr>
        <w:tc>
          <w:tcPr>
            <w:tcBorders/>
            <w:tcW w:w="5812" w:type="dxa"/>
            <w:textDirection w:val="lrTb"/>
            <w:noWrap w:val="false"/>
          </w:tcPr>
          <w:p>
            <w:pPr>
              <w:pBdr/>
              <w:tabs>
                <w:tab w:val="left" w:leader="none" w:pos="7371"/>
              </w:tabs>
              <w:spacing/>
              <w:ind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Bdr/>
              <w:tabs>
                <w:tab w:val="left" w:leader="none" w:pos="7371"/>
              </w:tabs>
              <w:spacing/>
              <w:ind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Главный специалист-эксперт </w:t>
            </w:r>
            <w:r>
              <w:rPr>
                <w:sz w:val="26"/>
                <w:szCs w:val="26"/>
              </w:rPr>
            </w:r>
          </w:p>
          <w:p>
            <w:pPr>
              <w:pStyle w:val="747"/>
              <w:pBdr/>
              <w:tabs>
                <w:tab w:val="left" w:leader="none" w:pos="7371"/>
              </w:tabs>
              <w:spacing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Отдела предоставления государственных услуг, планирования и отчетности, правового и информационного обеспечения</w:t>
            </w:r>
            <w:r>
              <w:rPr>
                <w:sz w:val="26"/>
                <w:szCs w:val="26"/>
              </w:rPr>
            </w:r>
          </w:p>
        </w:tc>
        <w:tc>
          <w:tcPr>
            <w:tcBorders/>
            <w:tcW w:w="1985" w:type="dxa"/>
            <w:textDirection w:val="lrTb"/>
            <w:noWrap w:val="false"/>
          </w:tcPr>
          <w:p>
            <w:pPr>
              <w:pStyle w:val="747"/>
              <w:pBdr/>
              <w:tabs>
                <w:tab w:val="left" w:leader="none" w:pos="7371"/>
              </w:tabs>
              <w:spacing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Style w:val="747"/>
              <w:pBdr/>
              <w:tabs>
                <w:tab w:val="left" w:leader="none" w:pos="7371"/>
              </w:tabs>
              <w:spacing/>
              <w:ind w:left="0"/>
              <w:jc w:val="right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 xml:space="preserve">П.И. Козельский</w:t>
            </w:r>
            <w:r>
              <w:rPr>
                <w:sz w:val="26"/>
                <w:szCs w:val="26"/>
                <w:lang w:val="en-US"/>
              </w:rPr>
            </w:r>
          </w:p>
        </w:tc>
      </w:tr>
    </w:tbl>
    <w:p>
      <w:pPr>
        <w:pBdr/>
        <w:spacing/>
        <w:ind/>
        <w:rPr>
          <w:b/>
        </w:rPr>
      </w:pPr>
      <w:r>
        <w:rPr>
          <w:b/>
        </w:rPr>
      </w:r>
      <w:r>
        <w:rPr>
          <w:b/>
        </w:rPr>
      </w:r>
    </w:p>
    <w:sectPr>
      <w:headerReference w:type="first" r:id="rId9"/>
      <w:footnotePr/>
      <w:endnotePr/>
      <w:type w:val="nextPage"/>
      <w:pgSz w:h="16838" w:orient="landscape" w:w="11906"/>
      <w:pgMar w:top="737" w:right="851" w:bottom="426" w:left="1418" w:header="709" w:footer="0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SimSun">
    <w:panose1 w:val="02000603000000000000"/>
  </w:font>
  <w:font w:name="Times New Roman">
    <w:panose1 w:val="02020603050405020304"/>
  </w:font>
  <w:font w:name="Cambria">
    <w:panose1 w:val="02040803050406030204"/>
  </w:font>
  <w:font w:name="QuantAntiquaC">
    <w:panose1 w:val="02000603000000000000"/>
  </w:font>
  <w:font w:name="Courier New">
    <w:panose1 w:val="02070309020205020404"/>
  </w:font>
  <w:font w:name="Calibri">
    <w:panose1 w:val="020F0502020204030204"/>
  </w:font>
  <w:font w:name="MS Mincho">
    <w:panose1 w:val="02020603050405090304"/>
  </w:font>
  <w:font w:name="Tahoma">
    <w:panose1 w:val="020B0604030504040204"/>
  </w:font>
  <w:font w:name="TimesDL">
    <w:panose1 w:val="020206030604050203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7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"/>
      <w:numFmt w:val="bullet"/>
      <w:pPr>
        <w:pBdr/>
        <w:tabs>
          <w:tab w:val="num" w:leader="none" w:pos="643"/>
        </w:tabs>
        <w:spacing/>
        <w:ind w:hanging="360" w:left="643"/>
      </w:pPr>
      <w:pStyle w:val="724"/>
      <w:rPr>
        <w:rFonts w:hint="default" w:ascii="Symbol" w:hAnsi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space"/>
    </w:lvl>
  </w:abstractNum>
  <w:abstractNum w:abstractNumId="1">
    <w:lvl w:ilvl="0">
      <w:isLgl w:val="false"/>
      <w:lvlJc w:val="left"/>
      <w:lvlText w:val=""/>
      <w:numFmt w:val="bullet"/>
      <w:pPr>
        <w:pBdr/>
        <w:tabs>
          <w:tab w:val="num" w:leader="none" w:pos="360"/>
        </w:tabs>
        <w:spacing/>
        <w:ind w:hanging="360" w:left="360"/>
      </w:pPr>
      <w:pStyle w:val="727"/>
      <w:rPr>
        <w:rFonts w:hint="default" w:ascii="Symbol" w:hAnsi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space"/>
    </w:lvl>
  </w:abstractNum>
  <w:abstractNum w:abstractNumId="2">
    <w:lvl w:ilvl="0">
      <w:isLgl w:val="false"/>
      <w:lvlJc w:val="left"/>
      <w:lvlText w:val=""/>
      <w:numFmt w:val="bullet"/>
      <w:pPr>
        <w:pBdr/>
        <w:tabs>
          <w:tab w:val="num" w:leader="none" w:pos="360"/>
        </w:tabs>
        <w:spacing/>
        <w:ind w:hanging="216" w:left="216"/>
      </w:pPr>
      <w:pStyle w:val="709"/>
      <w:rPr>
        <w:rFonts w:hint="default" w:ascii="Wingdings" w:hAnsi="Wingdings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space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space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space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space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space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space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space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space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space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space"/>
    </w:lvl>
  </w:abstractNum>
  <w:abstractNum w:abstractNumId="4">
    <w:lvl w:ilvl="0">
      <w:isLgl w:val="false"/>
      <w:lvlJc w:val="left"/>
      <w:lvlText w:val="%1."/>
      <w:numFmt w:val="decimal"/>
      <w:pPr>
        <w:pBdr/>
        <w:tabs>
          <w:tab w:val="num" w:leader="none" w:pos="432"/>
        </w:tabs>
        <w:spacing/>
        <w:ind w:hanging="432" w:left="432"/>
      </w:pPr>
      <w:pStyle w:val="793"/>
      <w:rPr/>
      <w:start w:val="1"/>
      <w:suff w:val="space"/>
    </w:lvl>
    <w:lvl w:ilvl="1">
      <w:isLgl w:val="false"/>
      <w:lvlJc w:val="left"/>
      <w:lvlText w:val="%1.%2"/>
      <w:numFmt w:val="decimal"/>
      <w:pPr>
        <w:pBdr/>
        <w:tabs>
          <w:tab w:val="num" w:leader="none" w:pos="576"/>
        </w:tabs>
        <w:spacing/>
        <w:ind w:hanging="576" w:left="576"/>
      </w:pPr>
      <w:pStyle w:val="794"/>
      <w:rPr/>
      <w:start w:val="1"/>
      <w:suff w:val="space"/>
    </w:lvl>
    <w:lvl w:ilvl="2">
      <w:isLgl w:val="false"/>
      <w:lvlJc w:val="left"/>
      <w:lvlText w:val="%1.%2.%3"/>
      <w:numFmt w:val="decimal"/>
      <w:pPr>
        <w:pBdr/>
        <w:tabs>
          <w:tab w:val="num" w:leader="none" w:pos="947"/>
        </w:tabs>
        <w:spacing/>
        <w:ind w:firstLine="0" w:left="720"/>
      </w:pPr>
      <w:pStyle w:val="795"/>
      <w:rPr>
        <w:b w:val="0"/>
        <w:bCs w:val="0"/>
        <w:sz w:val="24"/>
        <w:szCs w:val="24"/>
      </w:rPr>
      <w:start w:val="1"/>
      <w:suff w:val="space"/>
    </w:lvl>
    <w:lvl w:ilvl="3">
      <w:isLgl w:val="false"/>
      <w:lvlJc w:val="left"/>
      <w:lvlText w:val="%1.%2.%3.%4"/>
      <w:numFmt w:val="decimal"/>
      <w:pPr>
        <w:pBdr/>
        <w:tabs>
          <w:tab w:val="num" w:leader="none" w:pos="864"/>
        </w:tabs>
        <w:spacing/>
        <w:ind w:hanging="864" w:left="864"/>
      </w:pPr>
      <w:rPr/>
      <w:start w:val="1"/>
      <w:suff w:val="space"/>
    </w:lvl>
    <w:lvl w:ilvl="4">
      <w:isLgl w:val="false"/>
      <w:lvlJc w:val="left"/>
      <w:lvlText w:val="%1.%2.%3.%4.%5"/>
      <w:numFmt w:val="decimal"/>
      <w:pPr>
        <w:pBdr/>
        <w:tabs>
          <w:tab w:val="num" w:leader="none" w:pos="1008"/>
        </w:tabs>
        <w:spacing/>
        <w:ind w:hanging="1008" w:left="1008"/>
      </w:pPr>
      <w:rPr/>
      <w:start w:val="1"/>
      <w:suff w:val="space"/>
    </w:lvl>
    <w:lvl w:ilvl="5">
      <w:isLgl w:val="false"/>
      <w:lvlJc w:val="left"/>
      <w:lvlText w:val="%1.%2.%3.%4.%5.%6"/>
      <w:numFmt w:val="decimal"/>
      <w:pPr>
        <w:pBdr/>
        <w:tabs>
          <w:tab w:val="num" w:leader="none" w:pos="1152"/>
        </w:tabs>
        <w:spacing/>
        <w:ind w:hanging="1152" w:left="1152"/>
      </w:pPr>
      <w:rPr/>
      <w:start w:val="1"/>
      <w:suff w:val="space"/>
    </w:lvl>
    <w:lvl w:ilvl="6">
      <w:isLgl w:val="false"/>
      <w:lvlJc w:val="left"/>
      <w:lvlText w:val="%1.%2.%3.%4.%5.%6.%7"/>
      <w:numFmt w:val="decimal"/>
      <w:pPr>
        <w:pBdr/>
        <w:tabs>
          <w:tab w:val="num" w:leader="none" w:pos="1296"/>
        </w:tabs>
        <w:spacing/>
        <w:ind w:hanging="1296" w:left="1296"/>
      </w:pPr>
      <w:rPr/>
      <w:start w:val="1"/>
      <w:suff w:val="space"/>
    </w:lvl>
    <w:lvl w:ilvl="7">
      <w:isLgl w:val="false"/>
      <w:lvlJc w:val="left"/>
      <w:lvlText w:val="%1.%2.%3.%4.%5.%6.%7.%8"/>
      <w:numFmt w:val="decimal"/>
      <w:pPr>
        <w:pBdr/>
        <w:tabs>
          <w:tab w:val="num" w:leader="none" w:pos="1440"/>
        </w:tabs>
        <w:spacing/>
        <w:ind w:hanging="1440" w:left="1440"/>
      </w:pPr>
      <w:rPr/>
      <w:start w:val="1"/>
      <w:suff w:val="space"/>
    </w:lvl>
    <w:lvl w:ilvl="8">
      <w:isLgl w:val="false"/>
      <w:lvlJc w:val="left"/>
      <w:lvlText w:val="%1.%2.%3.%4.%5.%6.%7.%8.%9"/>
      <w:numFmt w:val="decimal"/>
      <w:pPr>
        <w:pBdr/>
        <w:tabs>
          <w:tab w:val="num" w:leader="none" w:pos="1584"/>
        </w:tabs>
        <w:spacing/>
        <w:ind w:hanging="1584" w:left="1584"/>
      </w:pPr>
      <w:rPr/>
      <w:start w:val="1"/>
      <w:suff w:val="space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89"/>
    <w:link w:val="680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89"/>
    <w:link w:val="681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18">
    <w:name w:val="Heading 3 Char"/>
    <w:basedOn w:val="689"/>
    <w:link w:val="682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89"/>
    <w:link w:val="683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89"/>
    <w:link w:val="684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89"/>
    <w:link w:val="685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689"/>
    <w:link w:val="686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689"/>
    <w:link w:val="68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689"/>
    <w:link w:val="688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character" w:styleId="35">
    <w:name w:val="Title Char"/>
    <w:basedOn w:val="689"/>
    <w:link w:val="698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679"/>
    <w:next w:val="679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689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79"/>
    <w:next w:val="679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679"/>
    <w:next w:val="679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character" w:styleId="43">
    <w:name w:val="Header Char"/>
    <w:basedOn w:val="689"/>
    <w:link w:val="697"/>
    <w:uiPriority w:val="99"/>
    <w:pPr>
      <w:pBdr/>
      <w:spacing/>
      <w:ind/>
    </w:pPr>
  </w:style>
  <w:style w:type="character" w:styleId="45">
    <w:name w:val="Footer Char"/>
    <w:basedOn w:val="689"/>
    <w:link w:val="700"/>
    <w:uiPriority w:val="99"/>
    <w:pPr>
      <w:pBdr/>
      <w:spacing/>
      <w:ind/>
    </w:pPr>
  </w:style>
  <w:style w:type="paragraph" w:styleId="46">
    <w:name w:val="Caption"/>
    <w:basedOn w:val="679"/>
    <w:next w:val="679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700"/>
    <w:uiPriority w:val="99"/>
    <w:pPr>
      <w:pBdr/>
      <w:spacing/>
      <w:ind/>
    </w:pPr>
  </w:style>
  <w:style w:type="table" w:styleId="49">
    <w:name w:val="Table Grid Light"/>
    <w:basedOn w:val="69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69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69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69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69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69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69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69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69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69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6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6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6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6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6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6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6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6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6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6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6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6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6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6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6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76">
    <w:name w:val="Footnote Text Char"/>
    <w:link w:val="748"/>
    <w:uiPriority w:val="99"/>
    <w:pPr>
      <w:pBdr/>
      <w:spacing/>
      <w:ind/>
    </w:pPr>
    <w:rPr>
      <w:sz w:val="18"/>
    </w:rPr>
  </w:style>
  <w:style w:type="character" w:styleId="179">
    <w:name w:val="Endnote Text Char"/>
    <w:link w:val="785"/>
    <w:uiPriority w:val="99"/>
    <w:pPr>
      <w:pBdr/>
      <w:spacing/>
      <w:ind/>
    </w:pPr>
    <w:rPr>
      <w:sz w:val="20"/>
    </w:rPr>
  </w:style>
  <w:style w:type="paragraph" w:styleId="191">
    <w:name w:val="table of figures"/>
    <w:basedOn w:val="679"/>
    <w:next w:val="679"/>
    <w:uiPriority w:val="99"/>
    <w:unhideWhenUsed/>
    <w:pPr>
      <w:pBdr/>
      <w:spacing w:after="0" w:afterAutospacing="0"/>
      <w:ind/>
    </w:pPr>
  </w:style>
  <w:style w:type="paragraph" w:styleId="679" w:default="1">
    <w:name w:val="Normal"/>
    <w:qFormat/>
    <w:pPr>
      <w:pBdr/>
      <w:spacing/>
      <w:ind/>
    </w:pPr>
    <w:rPr>
      <w:sz w:val="24"/>
      <w:szCs w:val="24"/>
      <w:lang w:eastAsia="ru-RU"/>
    </w:rPr>
  </w:style>
  <w:style w:type="paragraph" w:styleId="680">
    <w:name w:val="Heading 1"/>
    <w:basedOn w:val="679"/>
    <w:next w:val="679"/>
    <w:link w:val="756"/>
    <w:qFormat/>
    <w:pPr>
      <w:keepNext w:val="true"/>
      <w:pBdr/>
      <w:spacing/>
      <w:ind/>
      <w:jc w:val="center"/>
      <w:outlineLvl w:val="0"/>
    </w:pPr>
    <w:rPr>
      <w:b/>
      <w:sz w:val="28"/>
      <w:szCs w:val="20"/>
      <w:lang w:val="en-GB"/>
    </w:rPr>
  </w:style>
  <w:style w:type="paragraph" w:styleId="681">
    <w:name w:val="Heading 2"/>
    <w:basedOn w:val="679"/>
    <w:next w:val="679"/>
    <w:link w:val="757"/>
    <w:qFormat/>
    <w:pPr>
      <w:keepNext w:val="true"/>
      <w:pBdr/>
      <w:spacing w:after="60" w:before="120"/>
      <w:ind/>
      <w:jc w:val="center"/>
      <w:outlineLvl w:val="1"/>
    </w:pPr>
    <w:rPr>
      <w:b/>
      <w:szCs w:val="20"/>
      <w:lang w:val="en-GB"/>
    </w:rPr>
  </w:style>
  <w:style w:type="paragraph" w:styleId="682">
    <w:name w:val="Heading 3"/>
    <w:basedOn w:val="679"/>
    <w:next w:val="679"/>
    <w:link w:val="758"/>
    <w:qFormat/>
    <w:pPr>
      <w:keepNext w:val="true"/>
      <w:pBdr/>
      <w:spacing/>
      <w:ind/>
      <w:outlineLvl w:val="2"/>
    </w:pPr>
    <w:rPr>
      <w:bCs/>
      <w:i/>
      <w:caps/>
    </w:rPr>
  </w:style>
  <w:style w:type="paragraph" w:styleId="683">
    <w:name w:val="Heading 4"/>
    <w:basedOn w:val="679"/>
    <w:next w:val="679"/>
    <w:link w:val="759"/>
    <w:qFormat/>
    <w:pPr>
      <w:keepNext w:val="true"/>
      <w:pBdr/>
      <w:spacing/>
      <w:ind/>
      <w:outlineLvl w:val="3"/>
    </w:pPr>
    <w:rPr>
      <w:b/>
      <w:bCs/>
      <w:sz w:val="22"/>
      <w:szCs w:val="20"/>
    </w:rPr>
  </w:style>
  <w:style w:type="paragraph" w:styleId="684">
    <w:name w:val="Heading 5"/>
    <w:basedOn w:val="679"/>
    <w:next w:val="679"/>
    <w:link w:val="760"/>
    <w:qFormat/>
    <w:pPr>
      <w:keepNext w:val="true"/>
      <w:pBdr/>
      <w:spacing/>
      <w:ind w:firstLine="2756"/>
      <w:outlineLvl w:val="4"/>
    </w:pPr>
    <w:rPr>
      <w:b/>
      <w:bCs/>
    </w:rPr>
  </w:style>
  <w:style w:type="paragraph" w:styleId="685">
    <w:name w:val="Heading 6"/>
    <w:basedOn w:val="679"/>
    <w:next w:val="679"/>
    <w:link w:val="761"/>
    <w:qFormat/>
    <w:pPr>
      <w:keepNext w:val="true"/>
      <w:pBdr/>
      <w:spacing/>
      <w:ind/>
      <w:jc w:val="center"/>
      <w:outlineLvl w:val="5"/>
    </w:pPr>
    <w:rPr>
      <w:b/>
      <w:bCs/>
      <w:sz w:val="20"/>
    </w:rPr>
  </w:style>
  <w:style w:type="paragraph" w:styleId="686">
    <w:name w:val="Heading 7"/>
    <w:basedOn w:val="679"/>
    <w:next w:val="679"/>
    <w:link w:val="762"/>
    <w:qFormat/>
    <w:pPr>
      <w:keepNext w:val="true"/>
      <w:pBdr/>
      <w:spacing/>
      <w:ind/>
      <w:outlineLvl w:val="6"/>
    </w:pPr>
    <w:rPr>
      <w:b/>
      <w:bCs/>
      <w:sz w:val="20"/>
      <w:szCs w:val="20"/>
    </w:rPr>
  </w:style>
  <w:style w:type="paragraph" w:styleId="687">
    <w:name w:val="Heading 8"/>
    <w:basedOn w:val="679"/>
    <w:next w:val="679"/>
    <w:link w:val="763"/>
    <w:qFormat/>
    <w:pPr>
      <w:keepNext w:val="true"/>
      <w:pBdr/>
      <w:spacing/>
      <w:ind/>
      <w:jc w:val="right"/>
      <w:outlineLvl w:val="7"/>
    </w:pPr>
    <w:rPr>
      <w:b/>
      <w:bCs/>
    </w:rPr>
  </w:style>
  <w:style w:type="paragraph" w:styleId="688">
    <w:name w:val="Heading 9"/>
    <w:basedOn w:val="679"/>
    <w:next w:val="679"/>
    <w:link w:val="764"/>
    <w:qFormat/>
    <w:pPr>
      <w:pBdr/>
      <w:spacing w:after="60" w:before="240"/>
      <w:ind/>
      <w:jc w:val="both"/>
      <w:outlineLvl w:val="8"/>
    </w:pPr>
    <w:rPr>
      <w:b/>
      <w:i/>
      <w:sz w:val="18"/>
      <w:szCs w:val="20"/>
    </w:rPr>
  </w:style>
  <w:style w:type="character" w:styleId="689" w:default="1">
    <w:name w:val="Default Paragraph Font"/>
    <w:uiPriority w:val="1"/>
    <w:semiHidden/>
    <w:unhideWhenUsed/>
    <w:pPr>
      <w:pBdr/>
      <w:spacing/>
      <w:ind/>
    </w:pPr>
  </w:style>
  <w:style w:type="table" w:styleId="690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91" w:default="1">
    <w:name w:val="No List"/>
    <w:uiPriority w:val="99"/>
    <w:semiHidden/>
    <w:unhideWhenUsed/>
    <w:pPr>
      <w:pBdr/>
      <w:spacing/>
      <w:ind/>
    </w:pPr>
  </w:style>
  <w:style w:type="character" w:styleId="692">
    <w:name w:val="page number"/>
    <w:basedOn w:val="689"/>
    <w:pPr>
      <w:pBdr/>
      <w:spacing/>
      <w:ind/>
    </w:pPr>
  </w:style>
  <w:style w:type="paragraph" w:styleId="693">
    <w:name w:val="Body Text Indent"/>
    <w:basedOn w:val="679"/>
    <w:link w:val="765"/>
    <w:pPr>
      <w:pBdr/>
      <w:spacing/>
      <w:ind w:hanging="1080" w:left="6120"/>
    </w:pPr>
    <w:rPr>
      <w:i/>
      <w:iCs/>
      <w:spacing w:val="-2"/>
    </w:rPr>
  </w:style>
  <w:style w:type="paragraph" w:styleId="694">
    <w:name w:val="toc 2"/>
    <w:basedOn w:val="679"/>
    <w:next w:val="679"/>
    <w:uiPriority w:val="39"/>
    <w:pPr>
      <w:pBdr/>
      <w:spacing/>
      <w:ind w:left="240"/>
    </w:pPr>
  </w:style>
  <w:style w:type="paragraph" w:styleId="695">
    <w:name w:val="toc 1"/>
    <w:basedOn w:val="679"/>
    <w:next w:val="679"/>
    <w:semiHidden/>
    <w:pPr>
      <w:widowControl w:val="false"/>
      <w:suppressLineNumbers w:val="true"/>
      <w:pBdr/>
      <w:spacing/>
      <w:ind w:left="709"/>
    </w:pPr>
  </w:style>
  <w:style w:type="paragraph" w:styleId="696">
    <w:name w:val="toc 3"/>
    <w:basedOn w:val="679"/>
    <w:next w:val="679"/>
    <w:uiPriority w:val="39"/>
    <w:pPr>
      <w:pBdr/>
      <w:tabs>
        <w:tab w:val="left" w:leader="none" w:pos="1200"/>
        <w:tab w:val="right" w:leader="dot" w:pos="9627"/>
      </w:tabs>
      <w:spacing/>
      <w:ind w:left="284"/>
    </w:pPr>
  </w:style>
  <w:style w:type="paragraph" w:styleId="697">
    <w:name w:val="Header"/>
    <w:basedOn w:val="679"/>
    <w:link w:val="766"/>
    <w:pPr>
      <w:pBdr/>
      <w:tabs>
        <w:tab w:val="center" w:leader="none" w:pos="4320"/>
        <w:tab w:val="right" w:leader="none" w:pos="8640"/>
      </w:tabs>
      <w:spacing/>
      <w:ind/>
    </w:pPr>
    <w:rPr>
      <w:sz w:val="18"/>
      <w:szCs w:val="20"/>
      <w:lang w:val="en-GB"/>
    </w:rPr>
  </w:style>
  <w:style w:type="paragraph" w:styleId="698">
    <w:name w:val="Title"/>
    <w:basedOn w:val="679"/>
    <w:link w:val="767"/>
    <w:qFormat/>
    <w:pPr>
      <w:pBdr/>
      <w:tabs>
        <w:tab w:val="left" w:leader="none" w:pos="676"/>
        <w:tab w:val="left" w:leader="none" w:pos="1440"/>
      </w:tabs>
      <w:spacing/>
      <w:ind/>
      <w:jc w:val="center"/>
    </w:pPr>
    <w:rPr>
      <w:b/>
      <w:sz w:val="29"/>
    </w:rPr>
  </w:style>
  <w:style w:type="paragraph" w:styleId="699">
    <w:name w:val="toc 4"/>
    <w:basedOn w:val="679"/>
    <w:next w:val="679"/>
    <w:semiHidden/>
    <w:pPr>
      <w:pBdr/>
      <w:spacing/>
      <w:ind w:left="720"/>
    </w:pPr>
  </w:style>
  <w:style w:type="paragraph" w:styleId="700">
    <w:name w:val="Footer"/>
    <w:basedOn w:val="679"/>
    <w:link w:val="768"/>
    <w:pPr>
      <w:pBdr/>
      <w:tabs>
        <w:tab w:val="center" w:leader="none" w:pos="4320"/>
        <w:tab w:val="right" w:leader="none" w:pos="8640"/>
      </w:tabs>
      <w:spacing/>
      <w:ind/>
    </w:pPr>
    <w:rPr>
      <w:rFonts w:ascii="TimesDL" w:hAnsi="TimesDL"/>
      <w:szCs w:val="20"/>
      <w:lang w:val="en-GB"/>
    </w:rPr>
  </w:style>
  <w:style w:type="paragraph" w:styleId="701" w:customStyle="1">
    <w:name w:val="Normal2"/>
    <w:pPr>
      <w:pBdr/>
      <w:spacing w:after="100" w:before="100"/>
      <w:ind/>
    </w:pPr>
    <w:rPr>
      <w:sz w:val="24"/>
      <w:lang w:eastAsia="ru-RU"/>
    </w:rPr>
  </w:style>
  <w:style w:type="paragraph" w:styleId="702">
    <w:name w:val="toc 5"/>
    <w:basedOn w:val="679"/>
    <w:next w:val="679"/>
    <w:semiHidden/>
    <w:pPr>
      <w:pBdr/>
      <w:spacing/>
      <w:ind w:left="960"/>
    </w:pPr>
  </w:style>
  <w:style w:type="paragraph" w:styleId="703">
    <w:name w:val="toc 6"/>
    <w:basedOn w:val="679"/>
    <w:next w:val="679"/>
    <w:semiHidden/>
    <w:pPr>
      <w:pBdr/>
      <w:spacing/>
      <w:ind w:left="1200"/>
    </w:pPr>
  </w:style>
  <w:style w:type="paragraph" w:styleId="704">
    <w:name w:val="toc 7"/>
    <w:basedOn w:val="679"/>
    <w:next w:val="679"/>
    <w:semiHidden/>
    <w:pPr>
      <w:pBdr/>
      <w:spacing/>
      <w:ind w:left="1440"/>
    </w:pPr>
  </w:style>
  <w:style w:type="paragraph" w:styleId="705">
    <w:name w:val="toc 8"/>
    <w:basedOn w:val="679"/>
    <w:next w:val="679"/>
    <w:semiHidden/>
    <w:pPr>
      <w:pBdr/>
      <w:spacing/>
      <w:ind w:left="1680"/>
    </w:pPr>
  </w:style>
  <w:style w:type="paragraph" w:styleId="706">
    <w:name w:val="toc 9"/>
    <w:basedOn w:val="679"/>
    <w:next w:val="679"/>
    <w:semiHidden/>
    <w:pPr>
      <w:pBdr/>
      <w:spacing/>
      <w:ind w:left="1920"/>
    </w:pPr>
  </w:style>
  <w:style w:type="paragraph" w:styleId="707">
    <w:name w:val="Body Text Indent 2"/>
    <w:basedOn w:val="679"/>
    <w:link w:val="769"/>
    <w:pPr>
      <w:pBdr/>
      <w:spacing/>
      <w:ind w:left="720"/>
    </w:pPr>
  </w:style>
  <w:style w:type="paragraph" w:styleId="708">
    <w:name w:val="Body Text Indent 3"/>
    <w:basedOn w:val="679"/>
    <w:link w:val="770"/>
    <w:pPr>
      <w:pBdr/>
      <w:spacing w:after="120" w:before="120"/>
      <w:ind w:hanging="720" w:left="720"/>
      <w:jc w:val="both"/>
    </w:pPr>
  </w:style>
  <w:style w:type="paragraph" w:styleId="709" w:customStyle="1">
    <w:name w:val="EIA Table Bullets"/>
    <w:basedOn w:val="679"/>
    <w:pPr>
      <w:numPr>
        <w:ilvl w:val="0"/>
        <w:numId w:val="1"/>
      </w:numPr>
      <w:pBdr/>
      <w:tabs>
        <w:tab w:val="left" w:leader="none" w:pos="216"/>
      </w:tabs>
      <w:spacing/>
      <w:ind/>
      <w:jc w:val="both"/>
    </w:pPr>
    <w:rPr>
      <w:szCs w:val="20"/>
    </w:rPr>
  </w:style>
  <w:style w:type="paragraph" w:styleId="710">
    <w:name w:val="List Bullet"/>
    <w:basedOn w:val="679"/>
    <w:pPr>
      <w:pBdr/>
      <w:spacing w:after="120" w:before="120"/>
      <w:ind w:left="1069"/>
      <w:jc w:val="both"/>
    </w:pPr>
    <w:rPr>
      <w:szCs w:val="20"/>
    </w:rPr>
  </w:style>
  <w:style w:type="paragraph" w:styleId="711" w:customStyle="1">
    <w:name w:val="§0"/>
    <w:basedOn w:val="679"/>
    <w:pPr>
      <w:pBdr/>
      <w:spacing/>
      <w:ind w:firstLine="567"/>
      <w:jc w:val="both"/>
    </w:pPr>
    <w:rPr>
      <w:szCs w:val="20"/>
    </w:rPr>
  </w:style>
  <w:style w:type="character" w:styleId="712">
    <w:name w:val="Hyperlink"/>
    <w:uiPriority w:val="99"/>
    <w:pPr>
      <w:pBdr/>
      <w:spacing/>
      <w:ind/>
    </w:pPr>
    <w:rPr>
      <w:color w:val="0000ff"/>
      <w:u w:val="single"/>
    </w:rPr>
  </w:style>
  <w:style w:type="paragraph" w:styleId="713" w:customStyle="1">
    <w:name w:val="Title1"/>
    <w:basedOn w:val="701"/>
    <w:pPr>
      <w:pBdr/>
      <w:spacing w:after="0" w:before="0"/>
      <w:ind/>
      <w:jc w:val="center"/>
    </w:pPr>
    <w:rPr>
      <w:b/>
      <w:sz w:val="28"/>
    </w:rPr>
  </w:style>
  <w:style w:type="character" w:styleId="714" w:customStyle="1">
    <w:name w:val="Знак Знак"/>
    <w:semiHidden/>
    <w:pPr>
      <w:pBdr/>
      <w:spacing/>
      <w:ind/>
    </w:pPr>
    <w:rPr>
      <w:rFonts w:ascii="Arial" w:hAnsi="Arial"/>
      <w:sz w:val="24"/>
      <w:lang w:val="ru-RU" w:eastAsia="ru-RU" w:bidi="ar-SA"/>
    </w:rPr>
  </w:style>
  <w:style w:type="paragraph" w:styleId="715" w:customStyle="1">
    <w:name w:val="Заголовок 2.1"/>
    <w:basedOn w:val="680"/>
    <w:pPr>
      <w:keepLines w:val="true"/>
      <w:widowControl w:val="false"/>
      <w:suppressLineNumbers w:val="true"/>
      <w:pBdr/>
      <w:spacing w:after="60" w:before="240"/>
      <w:ind/>
    </w:pPr>
    <w:rPr>
      <w:i/>
      <w:sz w:val="24"/>
      <w:szCs w:val="28"/>
      <w:lang w:val="ru-RU"/>
    </w:rPr>
  </w:style>
  <w:style w:type="character" w:styleId="716" w:customStyle="1">
    <w:name w:val="Знак Знак1"/>
    <w:pPr>
      <w:pBdr/>
      <w:spacing/>
      <w:ind/>
    </w:pPr>
    <w:rPr>
      <w:sz w:val="24"/>
      <w:lang w:val="ru-RU" w:eastAsia="ru-RU" w:bidi="ar-SA"/>
    </w:rPr>
  </w:style>
  <w:style w:type="paragraph" w:styleId="717">
    <w:name w:val="Date"/>
    <w:basedOn w:val="679"/>
    <w:next w:val="679"/>
    <w:link w:val="773"/>
    <w:pPr>
      <w:pBdr/>
      <w:spacing w:after="60"/>
      <w:ind/>
      <w:jc w:val="both"/>
    </w:pPr>
    <w:rPr>
      <w:szCs w:val="20"/>
    </w:rPr>
  </w:style>
  <w:style w:type="paragraph" w:styleId="718">
    <w:name w:val="Body Text"/>
    <w:basedOn w:val="679"/>
    <w:link w:val="774"/>
    <w:pPr>
      <w:pBdr/>
      <w:tabs>
        <w:tab w:val="num" w:leader="none" w:pos="360"/>
      </w:tabs>
      <w:spacing/>
      <w:ind/>
      <w:jc w:val="both"/>
    </w:pPr>
  </w:style>
  <w:style w:type="paragraph" w:styleId="719">
    <w:name w:val="Body Text 2"/>
    <w:basedOn w:val="679"/>
    <w:link w:val="775"/>
    <w:pPr>
      <w:keepNext w:val="true"/>
      <w:keepLines w:val="true"/>
      <w:widowControl w:val="false"/>
      <w:suppressLineNumbers w:val="true"/>
      <w:pBdr/>
      <w:spacing/>
      <w:ind w:right="359"/>
      <w:jc w:val="both"/>
    </w:pPr>
  </w:style>
  <w:style w:type="paragraph" w:styleId="720">
    <w:name w:val="Body Text 3"/>
    <w:basedOn w:val="679"/>
    <w:link w:val="776"/>
    <w:pPr>
      <w:pBdr>
        <w:left w:val="single" w:color="000000" w:sz="24" w:space="6"/>
        <w:right w:val="single" w:color="000000" w:sz="24" w:space="6"/>
      </w:pBdr>
      <w:tabs>
        <w:tab w:val="left" w:leader="none" w:pos="0"/>
        <w:tab w:val="left" w:leader="none" w:pos="567"/>
        <w:tab w:val="left" w:leader="none" w:pos="1133"/>
        <w:tab w:val="left" w:leader="none" w:pos="1699"/>
        <w:tab w:val="left" w:leader="none" w:pos="2266"/>
        <w:tab w:val="left" w:leader="none" w:pos="2832"/>
        <w:tab w:val="left" w:leader="none" w:pos="3399"/>
        <w:tab w:val="left" w:leader="none" w:pos="3965"/>
        <w:tab w:val="left" w:leader="none" w:pos="4531"/>
        <w:tab w:val="left" w:leader="none" w:pos="5098"/>
        <w:tab w:val="left" w:leader="none" w:pos="5664"/>
        <w:tab w:val="left" w:leader="none" w:pos="6231"/>
        <w:tab w:val="left" w:leader="none" w:pos="6797"/>
        <w:tab w:val="left" w:leader="none" w:pos="7363"/>
        <w:tab w:val="left" w:leader="none" w:pos="7930"/>
        <w:tab w:val="left" w:leader="none" w:pos="8496"/>
        <w:tab w:val="left" w:leader="none" w:pos="8820"/>
      </w:tabs>
      <w:spacing/>
      <w:ind w:right="-5"/>
      <w:jc w:val="center"/>
    </w:pPr>
    <w:rPr>
      <w:b/>
      <w:bCs/>
      <w:sz w:val="52"/>
    </w:rPr>
  </w:style>
  <w:style w:type="paragraph" w:styleId="721">
    <w:name w:val="Block Text"/>
    <w:basedOn w:val="679"/>
    <w:pPr>
      <w:widowControl w:val="false"/>
      <w:pBdr/>
      <w:spacing w:before="120"/>
      <w:ind w:right="68" w:left="98"/>
      <w:jc w:val="both"/>
    </w:pPr>
    <w:rPr>
      <w:sz w:val="20"/>
      <w:szCs w:val="20"/>
    </w:rPr>
  </w:style>
  <w:style w:type="paragraph" w:styleId="722">
    <w:name w:val="Balloon Text"/>
    <w:basedOn w:val="679"/>
    <w:link w:val="777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723" w:customStyle="1">
    <w:name w:val="Char Char"/>
    <w:basedOn w:val="679"/>
    <w:pPr>
      <w:pBdr/>
      <w:spacing w:after="160" w:line="240" w:lineRule="exact"/>
      <w:ind/>
    </w:pPr>
    <w:rPr>
      <w:rFonts w:eastAsia="Calibri"/>
      <w:sz w:val="20"/>
      <w:szCs w:val="20"/>
      <w:lang w:eastAsia="zh-CN"/>
    </w:rPr>
  </w:style>
  <w:style w:type="paragraph" w:styleId="724">
    <w:name w:val="List Bullet 2"/>
    <w:basedOn w:val="679"/>
    <w:pPr>
      <w:numPr>
        <w:ilvl w:val="0"/>
        <w:numId w:val="2"/>
      </w:numPr>
      <w:pBdr/>
      <w:spacing/>
      <w:ind/>
    </w:pPr>
  </w:style>
  <w:style w:type="character" w:styleId="725" w:customStyle="1">
    <w:name w:val="span_header_lot_21"/>
    <w:pPr>
      <w:pBdr/>
      <w:spacing/>
      <w:ind/>
    </w:pPr>
    <w:rPr>
      <w:b/>
      <w:bCs/>
      <w:sz w:val="20"/>
      <w:szCs w:val="20"/>
    </w:rPr>
  </w:style>
  <w:style w:type="paragraph" w:styleId="726" w:customStyle="1">
    <w:name w:val="Основной текст 21"/>
    <w:basedOn w:val="679"/>
    <w:pPr>
      <w:widowControl w:val="false"/>
      <w:pBdr/>
      <w:spacing/>
      <w:ind/>
      <w:jc w:val="both"/>
    </w:pPr>
    <w:rPr>
      <w:rFonts w:cs="Arial"/>
      <w:szCs w:val="18"/>
    </w:rPr>
  </w:style>
  <w:style w:type="paragraph" w:styleId="727">
    <w:name w:val="Plain Text"/>
    <w:basedOn w:val="679"/>
    <w:link w:val="779"/>
    <w:pPr>
      <w:numPr>
        <w:ilvl w:val="0"/>
        <w:numId w:val="3"/>
      </w:numPr>
      <w:pBdr/>
      <w:tabs>
        <w:tab w:val="clear" w:leader="none" w:pos="360"/>
      </w:tabs>
      <w:spacing/>
      <w:ind w:firstLine="0" w:left="0"/>
    </w:pPr>
    <w:rPr>
      <w:rFonts w:ascii="Courier New" w:hAnsi="Courier New"/>
      <w:sz w:val="20"/>
      <w:szCs w:val="20"/>
    </w:rPr>
  </w:style>
  <w:style w:type="paragraph" w:styleId="728" w:customStyle="1">
    <w:name w:val="!Iniiaiie oaeno"/>
    <w:basedOn w:val="679"/>
    <w:pPr>
      <w:pBdr/>
      <w:spacing/>
      <w:ind w:firstLine="709"/>
      <w:jc w:val="both"/>
    </w:pPr>
    <w:rPr>
      <w:szCs w:val="20"/>
    </w:rPr>
  </w:style>
  <w:style w:type="paragraph" w:styleId="729" w:customStyle="1">
    <w:name w:val="Normal1"/>
    <w:link w:val="739"/>
    <w:pPr>
      <w:pBdr/>
      <w:spacing/>
      <w:ind/>
    </w:pPr>
    <w:rPr>
      <w:lang w:eastAsia="ru-RU"/>
    </w:rPr>
  </w:style>
  <w:style w:type="paragraph" w:styleId="730" w:customStyle="1">
    <w:name w:val="Char Char1"/>
    <w:basedOn w:val="679"/>
    <w:pPr>
      <w:pBdr/>
      <w:spacing w:after="160" w:line="240" w:lineRule="exact"/>
      <w:ind/>
    </w:pPr>
    <w:rPr>
      <w:rFonts w:ascii="Tahoma" w:hAnsi="Tahoma" w:cs="Tahoma"/>
      <w:sz w:val="20"/>
      <w:szCs w:val="20"/>
      <w:lang w:val="en-US" w:eastAsia="en-US"/>
    </w:rPr>
  </w:style>
  <w:style w:type="paragraph" w:styleId="731" w:customStyle="1">
    <w:name w:val="1KG=K9"/>
    <w:pPr>
      <w:pBdr/>
      <w:spacing/>
      <w:ind/>
    </w:pPr>
    <w:rPr>
      <w:rFonts w:ascii="Arial" w:hAnsi="Arial"/>
      <w:sz w:val="24"/>
      <w:lang w:val="en-AU"/>
    </w:rPr>
  </w:style>
  <w:style w:type="paragraph" w:styleId="732" w:customStyle="1">
    <w:name w:val="1Ж10"/>
    <w:basedOn w:val="679"/>
    <w:pPr>
      <w:pBdr/>
      <w:spacing/>
      <w:ind/>
    </w:pPr>
    <w:rPr>
      <w:b/>
      <w:sz w:val="20"/>
    </w:rPr>
  </w:style>
  <w:style w:type="paragraph" w:styleId="733" w:customStyle="1">
    <w:name w:val="111"/>
    <w:basedOn w:val="679"/>
    <w:pPr>
      <w:pBdr/>
      <w:spacing/>
      <w:ind/>
    </w:pPr>
    <w:rPr>
      <w:sz w:val="20"/>
    </w:rPr>
  </w:style>
  <w:style w:type="paragraph" w:styleId="734" w:customStyle="1">
    <w:name w:val="EY Body Text"/>
    <w:basedOn w:val="679"/>
    <w:link w:val="735"/>
    <w:pPr>
      <w:pBdr/>
      <w:spacing w:after="120" w:line="280" w:lineRule="exact"/>
      <w:ind w:left="2268"/>
    </w:pPr>
    <w:rPr>
      <w:rFonts w:eastAsia="MS Mincho" w:cs="Arial"/>
      <w:bCs/>
      <w:sz w:val="22"/>
      <w:szCs w:val="20"/>
      <w:lang w:val="en-US" w:eastAsia="en-US"/>
    </w:rPr>
  </w:style>
  <w:style w:type="character" w:styleId="735" w:customStyle="1">
    <w:name w:val="EY Body Text Char"/>
    <w:link w:val="734"/>
    <w:pPr>
      <w:pBdr/>
      <w:spacing/>
      <w:ind/>
    </w:pPr>
    <w:rPr>
      <w:rFonts w:eastAsia="MS Mincho" w:cs="Arial"/>
      <w:bCs/>
      <w:sz w:val="22"/>
      <w:lang w:val="en-US" w:eastAsia="en-US" w:bidi="ar-SA"/>
    </w:rPr>
  </w:style>
  <w:style w:type="paragraph" w:styleId="736" w:customStyle="1">
    <w:name w:val="Знак"/>
    <w:basedOn w:val="679"/>
    <w:pPr>
      <w:pBdr/>
      <w:spacing w:after="160" w:line="240" w:lineRule="exact"/>
      <w:ind/>
    </w:pPr>
    <w:rPr>
      <w:rFonts w:eastAsia="Calibri"/>
      <w:sz w:val="20"/>
      <w:szCs w:val="20"/>
      <w:lang w:eastAsia="zh-CN"/>
    </w:rPr>
  </w:style>
  <w:style w:type="paragraph" w:styleId="737" w:customStyle="1">
    <w:name w:val="KSS Пункт договора"/>
    <w:basedOn w:val="686"/>
    <w:link w:val="738"/>
    <w:pPr>
      <w:keepNext w:val="false"/>
      <w:pBdr/>
      <w:spacing w:before="120"/>
      <w:ind w:right="355"/>
      <w:jc w:val="both"/>
    </w:pPr>
    <w:rPr>
      <w:b w:val="0"/>
      <w:sz w:val="24"/>
      <w:szCs w:val="24"/>
    </w:rPr>
  </w:style>
  <w:style w:type="character" w:styleId="738" w:customStyle="1">
    <w:name w:val="KSS Пункт договора Знак"/>
    <w:link w:val="737"/>
    <w:pPr>
      <w:pBdr/>
      <w:spacing/>
      <w:ind/>
    </w:pPr>
    <w:rPr>
      <w:bCs/>
      <w:sz w:val="24"/>
      <w:szCs w:val="24"/>
      <w:lang w:val="ru-RU" w:eastAsia="ru-RU" w:bidi="ar-SA"/>
    </w:rPr>
  </w:style>
  <w:style w:type="character" w:styleId="739" w:customStyle="1">
    <w:name w:val="Normal1 Знак"/>
    <w:link w:val="729"/>
    <w:pPr>
      <w:pBdr/>
      <w:spacing/>
      <w:ind/>
    </w:pPr>
    <w:rPr>
      <w:lang w:val="ru-RU" w:eastAsia="ru-RU" w:bidi="ar-SA"/>
    </w:rPr>
  </w:style>
  <w:style w:type="paragraph" w:styleId="740" w:customStyle="1">
    <w:name w:val="ConsNormal"/>
    <w:pPr>
      <w:widowControl w:val="false"/>
      <w:pBdr/>
      <w:spacing/>
      <w:ind w:right="19772" w:firstLine="720"/>
    </w:pPr>
    <w:rPr>
      <w:rFonts w:ascii="Arial" w:hAnsi="Arial"/>
      <w:lang w:eastAsia="ru-RU"/>
    </w:rPr>
  </w:style>
  <w:style w:type="paragraph" w:styleId="741">
    <w:name w:val="Normal (Web)"/>
    <w:basedOn w:val="679"/>
    <w:uiPriority w:val="99"/>
    <w:pPr>
      <w:pBdr/>
      <w:spacing w:after="100" w:afterAutospacing="1" w:before="100" w:beforeAutospacing="1"/>
      <w:ind/>
    </w:pPr>
  </w:style>
  <w:style w:type="paragraph" w:styleId="742" w:customStyle="1">
    <w:name w:val="Стиль Заголовок 3 + По левому краю"/>
    <w:basedOn w:val="682"/>
    <w:pPr>
      <w:widowControl w:val="false"/>
      <w:pBdr/>
      <w:spacing w:after="60" w:before="240" w:line="360" w:lineRule="auto"/>
      <w:ind/>
    </w:pPr>
    <w:rPr>
      <w:b/>
      <w:i w:val="0"/>
      <w:caps w:val="0"/>
      <w:szCs w:val="20"/>
    </w:rPr>
  </w:style>
  <w:style w:type="paragraph" w:styleId="743" w:customStyle="1">
    <w:name w:val="Обычный1"/>
    <w:pPr>
      <w:pBdr/>
      <w:spacing/>
      <w:ind w:firstLine="720"/>
      <w:jc w:val="both"/>
    </w:pPr>
    <w:rPr>
      <w:rFonts w:ascii="QuantAntiquaC" w:hAnsi="QuantAntiquaC"/>
      <w:sz w:val="22"/>
      <w:lang w:eastAsia="ru-RU"/>
    </w:rPr>
  </w:style>
  <w:style w:type="paragraph" w:styleId="744" w:customStyle="1">
    <w:name w:val="List Paragraph2"/>
    <w:basedOn w:val="679"/>
    <w:pPr>
      <w:pBdr/>
      <w:spacing w:after="200" w:line="276" w:lineRule="auto"/>
      <w:ind w:left="720"/>
      <w:contextualSpacing w:val="true"/>
    </w:pPr>
    <w:rPr>
      <w:rFonts w:ascii="Calibri" w:hAnsi="Calibri"/>
      <w:sz w:val="22"/>
      <w:szCs w:val="22"/>
      <w:lang w:val="en-US" w:eastAsia="en-US"/>
    </w:rPr>
  </w:style>
  <w:style w:type="paragraph" w:styleId="745" w:customStyle="1">
    <w:name w:val="Заголовок - уровень 2"/>
    <w:basedOn w:val="679"/>
    <w:pPr>
      <w:pBdr/>
      <w:spacing/>
      <w:ind w:hanging="540" w:left="540"/>
    </w:pPr>
    <w:rPr>
      <w:b/>
      <w:sz w:val="28"/>
      <w:szCs w:val="28"/>
    </w:rPr>
  </w:style>
  <w:style w:type="table" w:styleId="746">
    <w:name w:val="Table Grid"/>
    <w:basedOn w:val="690"/>
    <w:uiPriority w:val="59"/>
    <w:pPr>
      <w:pBdr/>
      <w:spacing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47">
    <w:name w:val="List Paragraph"/>
    <w:basedOn w:val="679"/>
    <w:uiPriority w:val="34"/>
    <w:qFormat/>
    <w:pPr>
      <w:pBdr/>
      <w:spacing/>
      <w:ind w:left="720"/>
      <w:contextualSpacing w:val="true"/>
    </w:pPr>
    <w:rPr>
      <w:sz w:val="20"/>
      <w:szCs w:val="20"/>
    </w:rPr>
  </w:style>
  <w:style w:type="paragraph" w:styleId="748">
    <w:name w:val="footnote text"/>
    <w:basedOn w:val="679"/>
    <w:link w:val="749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749" w:customStyle="1">
    <w:name w:val="Текст сноски Знак"/>
    <w:basedOn w:val="689"/>
    <w:link w:val="748"/>
    <w:uiPriority w:val="99"/>
    <w:semiHidden/>
    <w:pPr>
      <w:pBdr/>
      <w:spacing/>
      <w:ind/>
    </w:pPr>
  </w:style>
  <w:style w:type="character" w:styleId="750">
    <w:name w:val="footnote reference"/>
    <w:uiPriority w:val="99"/>
    <w:semiHidden/>
    <w:unhideWhenUsed/>
    <w:pPr>
      <w:pBdr/>
      <w:spacing/>
      <w:ind/>
    </w:pPr>
    <w:rPr>
      <w:vertAlign w:val="superscript"/>
    </w:rPr>
  </w:style>
  <w:style w:type="character" w:styleId="751">
    <w:name w:val="annotation reference"/>
    <w:uiPriority w:val="99"/>
    <w:unhideWhenUsed/>
    <w:pPr>
      <w:pBdr/>
      <w:spacing/>
      <w:ind/>
    </w:pPr>
    <w:rPr>
      <w:sz w:val="16"/>
      <w:szCs w:val="16"/>
    </w:rPr>
  </w:style>
  <w:style w:type="paragraph" w:styleId="752">
    <w:name w:val="annotation text"/>
    <w:basedOn w:val="679"/>
    <w:link w:val="753"/>
    <w:uiPriority w:val="99"/>
    <w:unhideWhenUsed/>
    <w:pPr>
      <w:pBdr/>
      <w:spacing/>
      <w:ind/>
    </w:pPr>
    <w:rPr>
      <w:sz w:val="20"/>
      <w:szCs w:val="20"/>
    </w:rPr>
  </w:style>
  <w:style w:type="character" w:styleId="753" w:customStyle="1">
    <w:name w:val="Текст примечания Знак"/>
    <w:basedOn w:val="689"/>
    <w:link w:val="752"/>
    <w:uiPriority w:val="99"/>
    <w:semiHidden/>
    <w:pPr>
      <w:pBdr/>
      <w:spacing/>
      <w:ind/>
    </w:pPr>
  </w:style>
  <w:style w:type="paragraph" w:styleId="754">
    <w:name w:val="annotation subject"/>
    <w:basedOn w:val="752"/>
    <w:next w:val="752"/>
    <w:link w:val="755"/>
    <w:uiPriority w:val="99"/>
    <w:semiHidden/>
    <w:unhideWhenUsed/>
    <w:pPr>
      <w:pBdr/>
      <w:spacing/>
      <w:ind/>
    </w:pPr>
    <w:rPr>
      <w:b/>
      <w:bCs/>
    </w:rPr>
  </w:style>
  <w:style w:type="character" w:styleId="755" w:customStyle="1">
    <w:name w:val="Тема примечания Знак"/>
    <w:link w:val="754"/>
    <w:uiPriority w:val="99"/>
    <w:semiHidden/>
    <w:pPr>
      <w:pBdr/>
      <w:spacing/>
      <w:ind/>
    </w:pPr>
    <w:rPr>
      <w:b/>
      <w:bCs/>
    </w:rPr>
  </w:style>
  <w:style w:type="character" w:styleId="756" w:customStyle="1">
    <w:name w:val="Заголовок 1 Знак"/>
    <w:link w:val="680"/>
    <w:pPr>
      <w:pBdr/>
      <w:spacing/>
      <w:ind/>
    </w:pPr>
    <w:rPr>
      <w:b/>
      <w:sz w:val="28"/>
      <w:lang w:val="en-GB"/>
    </w:rPr>
  </w:style>
  <w:style w:type="character" w:styleId="757" w:customStyle="1">
    <w:name w:val="Заголовок 2 Знак"/>
    <w:link w:val="681"/>
    <w:pPr>
      <w:pBdr/>
      <w:spacing/>
      <w:ind/>
    </w:pPr>
    <w:rPr>
      <w:b/>
      <w:sz w:val="24"/>
      <w:lang w:val="en-GB"/>
    </w:rPr>
  </w:style>
  <w:style w:type="character" w:styleId="758" w:customStyle="1">
    <w:name w:val="Заголовок 3 Знак"/>
    <w:link w:val="682"/>
    <w:pPr>
      <w:pBdr/>
      <w:spacing/>
      <w:ind/>
    </w:pPr>
    <w:rPr>
      <w:bCs/>
      <w:i/>
      <w:caps/>
      <w:sz w:val="24"/>
      <w:szCs w:val="24"/>
    </w:rPr>
  </w:style>
  <w:style w:type="character" w:styleId="759" w:customStyle="1">
    <w:name w:val="Заголовок 4 Знак"/>
    <w:link w:val="683"/>
    <w:pPr>
      <w:pBdr/>
      <w:spacing/>
      <w:ind/>
    </w:pPr>
    <w:rPr>
      <w:b/>
      <w:bCs/>
      <w:sz w:val="22"/>
    </w:rPr>
  </w:style>
  <w:style w:type="character" w:styleId="760" w:customStyle="1">
    <w:name w:val="Заголовок 5 Знак"/>
    <w:link w:val="684"/>
    <w:pPr>
      <w:pBdr/>
      <w:spacing/>
      <w:ind/>
    </w:pPr>
    <w:rPr>
      <w:b/>
      <w:bCs/>
      <w:sz w:val="24"/>
      <w:szCs w:val="24"/>
    </w:rPr>
  </w:style>
  <w:style w:type="character" w:styleId="761" w:customStyle="1">
    <w:name w:val="Заголовок 6 Знак"/>
    <w:link w:val="685"/>
    <w:pPr>
      <w:pBdr/>
      <w:spacing/>
      <w:ind/>
    </w:pPr>
    <w:rPr>
      <w:b/>
      <w:bCs/>
      <w:szCs w:val="24"/>
    </w:rPr>
  </w:style>
  <w:style w:type="character" w:styleId="762" w:customStyle="1">
    <w:name w:val="Заголовок 7 Знак"/>
    <w:link w:val="686"/>
    <w:pPr>
      <w:pBdr/>
      <w:spacing/>
      <w:ind/>
    </w:pPr>
    <w:rPr>
      <w:b/>
      <w:bCs/>
    </w:rPr>
  </w:style>
  <w:style w:type="character" w:styleId="763" w:customStyle="1">
    <w:name w:val="Заголовок 8 Знак"/>
    <w:link w:val="687"/>
    <w:pPr>
      <w:pBdr/>
      <w:spacing/>
      <w:ind/>
    </w:pPr>
    <w:rPr>
      <w:b/>
      <w:bCs/>
      <w:sz w:val="24"/>
      <w:szCs w:val="24"/>
    </w:rPr>
  </w:style>
  <w:style w:type="character" w:styleId="764" w:customStyle="1">
    <w:name w:val="Заголовок 9 Знак"/>
    <w:link w:val="688"/>
    <w:pPr>
      <w:pBdr/>
      <w:spacing/>
      <w:ind/>
    </w:pPr>
    <w:rPr>
      <w:b/>
      <w:i/>
      <w:sz w:val="18"/>
    </w:rPr>
  </w:style>
  <w:style w:type="character" w:styleId="765" w:customStyle="1">
    <w:name w:val="Основной текст с отступом Знак"/>
    <w:link w:val="693"/>
    <w:pPr>
      <w:pBdr/>
      <w:spacing/>
      <w:ind/>
    </w:pPr>
    <w:rPr>
      <w:i/>
      <w:iCs/>
      <w:spacing w:val="-2"/>
      <w:sz w:val="24"/>
      <w:szCs w:val="24"/>
    </w:rPr>
  </w:style>
  <w:style w:type="character" w:styleId="766" w:customStyle="1">
    <w:name w:val="Верхний колонтитул Знак"/>
    <w:link w:val="697"/>
    <w:pPr>
      <w:pBdr/>
      <w:spacing/>
      <w:ind/>
    </w:pPr>
    <w:rPr>
      <w:sz w:val="18"/>
      <w:lang w:val="en-GB"/>
    </w:rPr>
  </w:style>
  <w:style w:type="character" w:styleId="767" w:customStyle="1">
    <w:name w:val="Название Знак"/>
    <w:link w:val="698"/>
    <w:pPr>
      <w:pBdr/>
      <w:spacing/>
      <w:ind/>
    </w:pPr>
    <w:rPr>
      <w:b/>
      <w:sz w:val="29"/>
      <w:szCs w:val="24"/>
    </w:rPr>
  </w:style>
  <w:style w:type="character" w:styleId="768" w:customStyle="1">
    <w:name w:val="Нижний колонтитул Знак"/>
    <w:link w:val="700"/>
    <w:pPr>
      <w:pBdr/>
      <w:spacing/>
      <w:ind/>
    </w:pPr>
    <w:rPr>
      <w:rFonts w:ascii="TimesDL" w:hAnsi="TimesDL"/>
      <w:sz w:val="24"/>
      <w:lang w:val="en-GB"/>
    </w:rPr>
  </w:style>
  <w:style w:type="character" w:styleId="769" w:customStyle="1">
    <w:name w:val="Основной текст с отступом 2 Знак"/>
    <w:link w:val="707"/>
    <w:pPr>
      <w:pBdr/>
      <w:spacing/>
      <w:ind/>
    </w:pPr>
    <w:rPr>
      <w:sz w:val="24"/>
      <w:szCs w:val="24"/>
    </w:rPr>
  </w:style>
  <w:style w:type="character" w:styleId="770" w:customStyle="1">
    <w:name w:val="Основной текст с отступом 3 Знак"/>
    <w:link w:val="708"/>
    <w:pPr>
      <w:pBdr/>
      <w:spacing/>
      <w:ind/>
    </w:pPr>
    <w:rPr>
      <w:sz w:val="24"/>
      <w:szCs w:val="24"/>
    </w:rPr>
  </w:style>
  <w:style w:type="character" w:styleId="771" w:customStyle="1">
    <w:name w:val="Знак Знак"/>
    <w:semiHidden/>
    <w:pPr>
      <w:pBdr/>
      <w:spacing/>
      <w:ind/>
    </w:pPr>
    <w:rPr>
      <w:rFonts w:ascii="Arial" w:hAnsi="Arial"/>
      <w:sz w:val="24"/>
      <w:lang w:val="ru-RU" w:eastAsia="ru-RU" w:bidi="ar-SA"/>
    </w:rPr>
  </w:style>
  <w:style w:type="character" w:styleId="772" w:customStyle="1">
    <w:name w:val="Знак Знак1"/>
    <w:pPr>
      <w:pBdr/>
      <w:spacing/>
      <w:ind/>
    </w:pPr>
    <w:rPr>
      <w:sz w:val="24"/>
      <w:lang w:val="ru-RU" w:eastAsia="ru-RU" w:bidi="ar-SA"/>
    </w:rPr>
  </w:style>
  <w:style w:type="character" w:styleId="773" w:customStyle="1">
    <w:name w:val="Дата Знак"/>
    <w:link w:val="717"/>
    <w:pPr>
      <w:pBdr/>
      <w:spacing/>
      <w:ind/>
    </w:pPr>
    <w:rPr>
      <w:sz w:val="24"/>
    </w:rPr>
  </w:style>
  <w:style w:type="character" w:styleId="774" w:customStyle="1">
    <w:name w:val="Основной текст Знак"/>
    <w:link w:val="718"/>
    <w:pPr>
      <w:pBdr/>
      <w:spacing/>
      <w:ind/>
    </w:pPr>
    <w:rPr>
      <w:sz w:val="24"/>
      <w:szCs w:val="24"/>
    </w:rPr>
  </w:style>
  <w:style w:type="character" w:styleId="775" w:customStyle="1">
    <w:name w:val="Основной текст 2 Знак"/>
    <w:link w:val="719"/>
    <w:pPr>
      <w:pBdr/>
      <w:spacing/>
      <w:ind/>
    </w:pPr>
    <w:rPr>
      <w:sz w:val="24"/>
      <w:szCs w:val="24"/>
    </w:rPr>
  </w:style>
  <w:style w:type="character" w:styleId="776" w:customStyle="1">
    <w:name w:val="Основной текст 3 Знак"/>
    <w:link w:val="720"/>
    <w:pPr>
      <w:pBdr/>
      <w:spacing/>
      <w:ind/>
    </w:pPr>
    <w:rPr>
      <w:b/>
      <w:bCs/>
      <w:sz w:val="52"/>
      <w:szCs w:val="24"/>
    </w:rPr>
  </w:style>
  <w:style w:type="character" w:styleId="777" w:customStyle="1">
    <w:name w:val="Текст выноски Знак"/>
    <w:link w:val="722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778" w:customStyle="1">
    <w:name w:val="Char Char"/>
    <w:basedOn w:val="679"/>
    <w:pPr>
      <w:pBdr/>
      <w:spacing w:after="160" w:line="240" w:lineRule="exact"/>
      <w:ind/>
    </w:pPr>
    <w:rPr>
      <w:rFonts w:eastAsia="Calibri"/>
      <w:sz w:val="20"/>
      <w:szCs w:val="20"/>
      <w:lang w:eastAsia="zh-CN"/>
    </w:rPr>
  </w:style>
  <w:style w:type="character" w:styleId="779" w:customStyle="1">
    <w:name w:val="Текст Знак"/>
    <w:link w:val="727"/>
    <w:pPr>
      <w:pBdr/>
      <w:spacing/>
      <w:ind/>
    </w:pPr>
    <w:rPr>
      <w:rFonts w:ascii="Courier New" w:hAnsi="Courier New"/>
      <w:lang w:eastAsia="ru-RU"/>
    </w:rPr>
  </w:style>
  <w:style w:type="paragraph" w:styleId="780" w:customStyle="1">
    <w:name w:val="Char Char1"/>
    <w:basedOn w:val="679"/>
    <w:pPr>
      <w:pBdr/>
      <w:spacing w:after="160" w:line="240" w:lineRule="exact"/>
      <w:ind/>
    </w:pPr>
    <w:rPr>
      <w:rFonts w:ascii="Tahoma" w:hAnsi="Tahoma" w:cs="Tahoma"/>
      <w:sz w:val="20"/>
      <w:szCs w:val="20"/>
      <w:lang w:val="en-US" w:eastAsia="en-US"/>
    </w:rPr>
  </w:style>
  <w:style w:type="paragraph" w:styleId="781" w:customStyle="1">
    <w:name w:val="1KG=K9"/>
    <w:pPr>
      <w:pBdr/>
      <w:spacing/>
      <w:ind/>
    </w:pPr>
    <w:rPr>
      <w:rFonts w:ascii="Arial" w:hAnsi="Arial"/>
      <w:sz w:val="24"/>
      <w:lang w:val="en-AU"/>
    </w:rPr>
  </w:style>
  <w:style w:type="paragraph" w:styleId="782" w:customStyle="1">
    <w:name w:val="Знак"/>
    <w:basedOn w:val="679"/>
    <w:pPr>
      <w:pBdr/>
      <w:spacing w:after="160" w:line="240" w:lineRule="exact"/>
      <w:ind/>
    </w:pPr>
    <w:rPr>
      <w:rFonts w:eastAsia="Calibri"/>
      <w:sz w:val="20"/>
      <w:szCs w:val="20"/>
      <w:lang w:eastAsia="zh-CN"/>
    </w:rPr>
  </w:style>
  <w:style w:type="paragraph" w:styleId="783" w:customStyle="1">
    <w:name w:val="List Paragraph1"/>
    <w:basedOn w:val="679"/>
    <w:pPr>
      <w:pBdr/>
      <w:spacing w:after="200" w:line="276" w:lineRule="auto"/>
      <w:ind w:left="720"/>
      <w:contextualSpacing w:val="true"/>
    </w:pPr>
    <w:rPr>
      <w:rFonts w:ascii="Calibri" w:hAnsi="Calibri"/>
      <w:sz w:val="22"/>
      <w:szCs w:val="22"/>
      <w:lang w:val="en-US" w:eastAsia="en-US"/>
    </w:rPr>
  </w:style>
  <w:style w:type="paragraph" w:styleId="784">
    <w:name w:val="TOC Heading"/>
    <w:basedOn w:val="680"/>
    <w:next w:val="679"/>
    <w:uiPriority w:val="39"/>
    <w:semiHidden/>
    <w:unhideWhenUsed/>
    <w:qFormat/>
    <w:pPr>
      <w:keepLines w:val="true"/>
      <w:pBdr/>
      <w:spacing w:before="480" w:line="276" w:lineRule="auto"/>
      <w:ind/>
      <w:jc w:val="left"/>
      <w:outlineLvl w:val="9"/>
    </w:pPr>
    <w:rPr>
      <w:rFonts w:ascii="Cambria" w:hAnsi="Cambria"/>
      <w:bCs/>
      <w:color w:val="365f91"/>
      <w:szCs w:val="28"/>
      <w:lang w:val="ru-RU"/>
    </w:rPr>
  </w:style>
  <w:style w:type="paragraph" w:styleId="785">
    <w:name w:val="endnote text"/>
    <w:basedOn w:val="679"/>
    <w:link w:val="786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786" w:customStyle="1">
    <w:name w:val="Текст концевой сноски Знак"/>
    <w:basedOn w:val="689"/>
    <w:link w:val="785"/>
    <w:uiPriority w:val="99"/>
    <w:semiHidden/>
    <w:pPr>
      <w:pBdr/>
      <w:spacing/>
      <w:ind/>
    </w:pPr>
  </w:style>
  <w:style w:type="character" w:styleId="787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character" w:styleId="788">
    <w:name w:val="Emphasis"/>
    <w:qFormat/>
    <w:pPr>
      <w:pBdr/>
      <w:spacing/>
      <w:ind/>
    </w:pPr>
    <w:rPr>
      <w:i/>
      <w:iCs/>
    </w:rPr>
  </w:style>
  <w:style w:type="character" w:styleId="789" w:customStyle="1">
    <w:name w:val="apple-converted-space"/>
    <w:pPr>
      <w:pBdr/>
      <w:spacing/>
      <w:ind/>
    </w:pPr>
  </w:style>
  <w:style w:type="paragraph" w:styleId="790" w:customStyle="1">
    <w:name w:val="Default"/>
    <w:pPr>
      <w:pBdr/>
      <w:spacing/>
      <w:ind/>
    </w:pPr>
    <w:rPr>
      <w:rFonts w:ascii="Arial" w:hAnsi="Arial" w:cs="Arial"/>
      <w:color w:val="000000"/>
      <w:sz w:val="24"/>
      <w:szCs w:val="24"/>
      <w:lang w:eastAsia="ru-RU"/>
    </w:rPr>
  </w:style>
  <w:style w:type="character" w:styleId="791" w:customStyle="1">
    <w:name w:val="Comment Text Char1"/>
    <w:basedOn w:val="689"/>
    <w:uiPriority w:val="99"/>
    <w:pPr>
      <w:pBdr/>
      <w:spacing/>
      <w:ind/>
    </w:pPr>
    <w:rPr>
      <w:rFonts w:cs="Times New Roman"/>
    </w:rPr>
  </w:style>
  <w:style w:type="paragraph" w:styleId="792">
    <w:name w:val="Revision"/>
    <w:hidden/>
    <w:uiPriority w:val="71"/>
    <w:pPr>
      <w:pBdr/>
      <w:spacing/>
      <w:ind/>
    </w:pPr>
    <w:rPr>
      <w:sz w:val="24"/>
      <w:szCs w:val="24"/>
      <w:lang w:eastAsia="ru-RU"/>
    </w:rPr>
  </w:style>
  <w:style w:type="paragraph" w:styleId="793">
    <w:name w:val="List Number 2"/>
    <w:basedOn w:val="679"/>
    <w:semiHidden/>
    <w:pPr>
      <w:numPr>
        <w:ilvl w:val="0"/>
        <w:numId w:val="4"/>
      </w:numPr>
      <w:pBdr/>
      <w:spacing/>
      <w:ind/>
    </w:pPr>
    <w:rPr>
      <w:sz w:val="28"/>
    </w:rPr>
  </w:style>
  <w:style w:type="paragraph" w:styleId="794" w:customStyle="1">
    <w:name w:val="Стиль3 Знак Знак"/>
    <w:basedOn w:val="707"/>
    <w:semiHidden/>
    <w:pPr>
      <w:widowControl w:val="false"/>
      <w:numPr>
        <w:ilvl w:val="1"/>
        <w:numId w:val="4"/>
      </w:numPr>
      <w:pBdr/>
      <w:tabs>
        <w:tab w:val="num" w:leader="none" w:pos="360"/>
        <w:tab w:val="clear" w:leader="none" w:pos="576"/>
        <w:tab w:val="num" w:leader="none" w:pos="947"/>
      </w:tabs>
      <w:spacing/>
      <w:ind w:firstLine="0" w:left="283"/>
      <w:jc w:val="both"/>
    </w:pPr>
    <w:rPr>
      <w:rFonts w:ascii="Arial" w:hAnsi="Arial" w:cs="Arial"/>
    </w:rPr>
  </w:style>
  <w:style w:type="paragraph" w:styleId="795" w:customStyle="1">
    <w:name w:val="Базовый"/>
    <w:semiHidden/>
    <w:pPr>
      <w:numPr>
        <w:ilvl w:val="2"/>
        <w:numId w:val="4"/>
      </w:numPr>
      <w:pBdr/>
      <w:tabs>
        <w:tab w:val="clear" w:leader="none" w:pos="947"/>
      </w:tabs>
      <w:spacing/>
      <w:ind w:firstLine="567" w:left="0"/>
      <w:jc w:val="both"/>
    </w:pPr>
    <w:rPr>
      <w:rFonts w:eastAsia="SimSu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customXml" Target="../customXml/item2.xml" /><Relationship Id="rId12" Type="http://schemas.openxmlformats.org/officeDocument/2006/relationships/customXml" Target="../customXml/item3.xml" /><Relationship Id="rId13" Type="http://schemas.openxmlformats.org/officeDocument/2006/relationships/customXml" Target="../customXml/item4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CFA3B3B2F77614492FE7268997E5357" ma:contentTypeVersion="0" ma:contentTypeDescription="Создание документа." ma:contentTypeScope="" ma:versionID="203ccb3faabfdb44b3cbc91dd406e6b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DF064-9D46-4301-8119-3AED59DCDE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C7E825A-1F00-4D6E-935A-88A96E4F17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34EAE6-D56C-46AC-918D-1E995003E20F}">
  <ds:schemaRefs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purl.org/dc/dcmitype/"/>
    <ds:schemaRef ds:uri="http://purl.org/dc/terms/"/>
    <ds:schemaRef ds:uri="http://schemas.microsoft.com/office/2006/documentManagement/types"/>
    <ds:schemaRef ds:uri="http://www.w3.org/XML/1998/namespace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A4D364F0-4CE7-4C6B-8929-CBE91B2B6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ONLYOFFICE/7.5.1.23</Application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2</cp:revision>
  <dcterms:created xsi:type="dcterms:W3CDTF">2017-12-13T12:40:00Z</dcterms:created>
  <dcterms:modified xsi:type="dcterms:W3CDTF">2026-03-26T18:52:54Z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0x0101005CFA3B3B2F77614492FE7268997E5357</vt:lpwstr>
  </property>
</Properties>
</file>