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150" w:line="240" w:lineRule="auto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firstLine="0"/>
        <w:jc w:val="center"/>
        <w:spacing w:after="0"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Поставка Архивных папок </w:t>
      </w: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ind w:left="0" w:firstLine="0"/>
        <w:spacing w:after="0" w:line="240" w:lineRule="auto"/>
        <w:widowControl w:val="off"/>
        <w:rPr>
          <w:rFonts w:eastAsiaTheme="minorEastAsia"/>
          <w:b/>
          <w:bCs/>
          <w:color w:val="auto"/>
          <w:sz w:val="24"/>
          <w:szCs w:val="24"/>
        </w:rPr>
      </w:pPr>
      <w:r>
        <w:rPr>
          <w:rFonts w:eastAsiaTheme="minorEastAsia"/>
          <w:b/>
          <w:bCs/>
          <w:color w:val="auto"/>
          <w:sz w:val="24"/>
          <w:szCs w:val="24"/>
        </w:rPr>
        <w:t xml:space="preserve">1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.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 Общая информация об объекте закупки </w:t>
      </w:r>
      <w:r>
        <w:rPr>
          <w:rFonts w:eastAsiaTheme="minorEastAsia"/>
          <w:b/>
          <w:bCs/>
          <w:color w:val="auto"/>
          <w:sz w:val="24"/>
          <w:szCs w:val="24"/>
        </w:rPr>
      </w:r>
      <w:r>
        <w:rPr>
          <w:rFonts w:eastAsiaTheme="minorEastAsia"/>
          <w:b/>
          <w:bCs/>
          <w:color w:val="auto"/>
          <w:sz w:val="24"/>
          <w:szCs w:val="24"/>
        </w:rPr>
      </w:r>
    </w:p>
    <w:p>
      <w:pPr>
        <w:ind w:left="0" w:firstLine="0"/>
        <w:spacing w:after="0" w:line="240" w:lineRule="auto"/>
        <w:rPr>
          <w:b/>
          <w:bCs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Объект закупки: </w:t>
      </w:r>
      <w:r>
        <w:rPr>
          <w:b/>
          <w:bCs/>
          <w:color w:val="auto"/>
          <w:sz w:val="24"/>
          <w:szCs w:val="24"/>
        </w:rPr>
        <w:t xml:space="preserve">Поставка архивных папок </w:t>
      </w: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pStyle w:val="905"/>
        <w:numPr>
          <w:ilvl w:val="1"/>
          <w:numId w:val="7"/>
        </w:num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Место поставки Товара: </w:t>
      </w:r>
      <w:r>
        <w:rPr>
          <w:rFonts w:eastAsiaTheme="minorEastAsia"/>
          <w:color w:val="auto"/>
          <w:sz w:val="24"/>
          <w:szCs w:val="24"/>
        </w:rPr>
        <w:t xml:space="preserve"> г. Москва, Головинское шоссе, дом 8, корпус 2, этаж 2 помещение IV ком. 11</w:t>
      </w:r>
      <w:r>
        <w:rPr>
          <w:rFonts w:eastAsiaTheme="minorEastAsia"/>
          <w:color w:val="auto"/>
          <w:sz w:val="24"/>
          <w:szCs w:val="24"/>
        </w:rPr>
        <w:t xml:space="preserve">.</w:t>
      </w:r>
      <w:r>
        <w:rPr>
          <w:rFonts w:eastAsiaTheme="minorEastAsia"/>
          <w:color w:val="auto"/>
          <w:sz w:val="24"/>
          <w:szCs w:val="24"/>
        </w:rPr>
      </w:r>
      <w:r>
        <w:rPr>
          <w:rFonts w:eastAsiaTheme="minorEastAsia"/>
          <w:color w:val="auto"/>
          <w:sz w:val="24"/>
          <w:szCs w:val="24"/>
        </w:rPr>
      </w:r>
    </w:p>
    <w:p>
      <w:p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1.3 Количество Товара: согласно Приложению 1 к Техническому заданию. </w:t>
      </w:r>
      <w:r>
        <w:rPr>
          <w:rFonts w:eastAsiaTheme="minorEastAsia"/>
          <w:color w:val="auto"/>
          <w:sz w:val="24"/>
          <w:szCs w:val="24"/>
        </w:rPr>
      </w:r>
      <w:r>
        <w:rPr>
          <w:rFonts w:eastAsiaTheme="minorEastAsia"/>
          <w:color w:val="auto"/>
          <w:sz w:val="24"/>
          <w:szCs w:val="24"/>
        </w:rPr>
      </w:r>
    </w:p>
    <w:p>
      <w:p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1.4 Срок поставки Товара: в течение 7 (Семи) рабочих дней с момента заключения Контракта, с правом досрочной поставки.</w:t>
      </w:r>
      <w:r>
        <w:rPr>
          <w:rFonts w:eastAsiaTheme="minorEastAsia"/>
          <w:color w:val="auto"/>
          <w:sz w:val="24"/>
          <w:szCs w:val="24"/>
        </w:rPr>
      </w:r>
      <w:r>
        <w:rPr>
          <w:rFonts w:eastAsiaTheme="minorEastAsia"/>
          <w:color w:val="auto"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Стандарт товаров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</w:t>
      </w:r>
      <w:r>
        <w:rPr>
          <w:bCs/>
          <w:sz w:val="24"/>
          <w:szCs w:val="24"/>
        </w:rPr>
        <w:t xml:space="preserve">кам для данной группы товаров, согласно актам, указанным в пунктах 6.1 - 6.3,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</w:t>
      </w:r>
      <w:r>
        <w:rPr>
          <w:bCs/>
          <w:sz w:val="24"/>
          <w:szCs w:val="24"/>
        </w:rPr>
        <w:t xml:space="preserve">ленным производителями Товаров.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</w:t>
      </w:r>
      <w:r>
        <w:rPr>
          <w:bCs/>
          <w:sz w:val="24"/>
          <w:szCs w:val="24"/>
        </w:rPr>
        <w:t xml:space="preserve">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1(одного) рабочего дня со дня возникновения таких изменени</w:t>
      </w:r>
      <w:r>
        <w:rPr>
          <w:bCs/>
          <w:sz w:val="24"/>
          <w:szCs w:val="24"/>
        </w:rPr>
        <w:t xml:space="preserve">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 Письма, запросы, заявки направляю</w:t>
      </w:r>
      <w:r>
        <w:rPr>
          <w:bCs/>
          <w:sz w:val="24"/>
          <w:szCs w:val="24"/>
        </w:rPr>
        <w:t xml:space="preserve">тся Заказчиком в одном экземпляре любым способом, обеспечивающим 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поставляемого Товара.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2.6</w:t>
      </w:r>
      <w:r>
        <w:rPr>
          <w:bCs/>
          <w:sz w:val="24"/>
          <w:szCs w:val="24"/>
        </w:rPr>
        <w:t xml:space="preserve">. Поставщиком оформляется комплект отчетных документов на русском языке в составе: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right="158"/>
        <w:spacing w:after="0" w:line="240" w:lineRule="auto"/>
        <w:widowControl w:val="off"/>
        <w:tabs>
          <w:tab w:val="left" w:pos="414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- обязательные для данной группы товаров сертификаты соответствия (декларации о соответствии) Товара;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right="154"/>
        <w:spacing w:after="0" w:line="240" w:lineRule="auto"/>
        <w:widowControl w:val="off"/>
        <w:tabs>
          <w:tab w:val="left" w:pos="414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2.7. Не допускается поставка Товара, имеющего механические и иные виды повреждений и (или) условия хранения, которого были нарушены.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2.8. Заказчик вправе отказаться от приемки Товара, поставляемого с нарушением условий, установленных пунктом 2.7 настоящего Технического задания.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</w:t>
      </w:r>
      <w:r>
        <w:rPr>
          <w:bCs/>
          <w:sz w:val="24"/>
          <w:szCs w:val="24"/>
        </w:rPr>
        <w:t xml:space="preserve">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6.5 и 6.6 настоящего Технического задания.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2.11. Поставляемый товар должен быть свободен от прав третьих лиц.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2.12</w:t>
      </w:r>
      <w:r>
        <w:rPr>
          <w:bCs/>
          <w:sz w:val="24"/>
          <w:szCs w:val="24"/>
        </w:rPr>
        <w:t xml:space="preserve">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Объем и сроки гарантий качества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5"/>
        <w:numPr>
          <w:ilvl w:val="1"/>
          <w:numId w:val="6"/>
        </w:numPr>
        <w:ind w:left="0" w:right="156" w:firstLine="0"/>
        <w:spacing w:after="0" w:line="249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color w:val="auto"/>
          <w:sz w:val="24"/>
          <w:szCs w:val="24"/>
        </w:rPr>
        <w:t xml:space="preserve">Срок гарантии качества на Товар должен быть не менее срока, установленного производителем Товара.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pStyle w:val="905"/>
        <w:numPr>
          <w:ilvl w:val="1"/>
          <w:numId w:val="6"/>
        </w:numPr>
        <w:ind w:left="0" w:right="156" w:firstLine="0"/>
        <w:spacing w:after="0" w:line="249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color w:val="auto"/>
          <w:sz w:val="24"/>
          <w:szCs w:val="24"/>
        </w:rPr>
        <w:t xml:space="preserve">Качество поставляемого Товара долж</w:t>
      </w:r>
      <w:r>
        <w:rPr>
          <w:bCs/>
          <w:color w:val="auto"/>
          <w:sz w:val="24"/>
          <w:szCs w:val="24"/>
        </w:rPr>
        <w:t xml:space="preserve">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6настоящего Технического задания.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pStyle w:val="905"/>
        <w:numPr>
          <w:ilvl w:val="1"/>
          <w:numId w:val="6"/>
        </w:numPr>
        <w:ind w:left="0" w:right="156" w:firstLine="0"/>
        <w:spacing w:after="0" w:line="249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color w:val="auto"/>
          <w:sz w:val="24"/>
          <w:szCs w:val="24"/>
        </w:rPr>
        <w:t xml:space="preserve"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Требования к безопасности товара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</w:t>
      </w:r>
      <w:r>
        <w:rPr>
          <w:bCs/>
          <w:sz w:val="24"/>
          <w:szCs w:val="24"/>
        </w:rPr>
        <w:t xml:space="preserve">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</w:t>
      </w:r>
      <w:r>
        <w:rPr>
          <w:bCs/>
          <w:sz w:val="24"/>
          <w:szCs w:val="24"/>
        </w:rPr>
        <w:t xml:space="preserve">роизводителя (изготовителя) Товара.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4.2. Товар должен быть разрешен к применению на территории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Требования к используемым материалам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</w:t>
      </w:r>
      <w:r>
        <w:rPr>
          <w:bCs/>
          <w:sz w:val="24"/>
          <w:szCs w:val="24"/>
        </w:rPr>
        <w:t xml:space="preserve">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5.2. К каждой упаковке с Товаром должна быть приложена опись с наименованием и количеством содержащегося в упаковке Товара.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5.5. Маркировка упаковки должна строго соответствовать маркировке Товара.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5.6. Упаковка и</w:t>
      </w:r>
      <w:r>
        <w:rPr>
          <w:bCs/>
          <w:sz w:val="24"/>
          <w:szCs w:val="24"/>
        </w:rPr>
        <w:t xml:space="preserve">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Перечень нормативных правовых и нормативных технических актов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Решение Комиссии Таможенного союза от 16.08.2011 № 769 «О принятии технического регламента Таможенного союза «О безопасности упаковки».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Решение Комиссии Таможенного союза от 28.05.2010 № 299 «О применении санитарных мер в Евразийском экономическом союзе».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Федеральный закон от 27.12.2002 № 184-ФЗ «О техническом регулировании».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6.4. Постановление Правительства РФ от 23.12.2021 N 2425 "Об утверждении единого перечня продукции, подлежащей обязательной сертифи</w:t>
      </w:r>
      <w:r>
        <w:rPr>
          <w:bCs/>
          <w:sz w:val="24"/>
          <w:szCs w:val="24"/>
        </w:rPr>
        <w:t xml:space="preserve">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Приложения к техническому заданию: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1 - «Требования к техническим и функциональным (потребительским характеристикам) </w:t>
      </w:r>
      <w:r>
        <w:rPr>
          <w:bCs/>
          <w:sz w:val="24"/>
          <w:szCs w:val="24"/>
        </w:rPr>
        <w:t xml:space="preserve">товаров»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6"/>
        <w:ind w:right="-1"/>
        <w:jc w:val="both"/>
        <w:tabs>
          <w:tab w:val="left" w:pos="10348" w:leader="none"/>
        </w:tabs>
        <w:rPr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426" w:right="567" w:bottom="284" w:left="851" w:header="709" w:footer="709" w:gutter="0"/>
          <w:cols w:num="1" w:sep="0" w:space="708" w:equalWidth="1"/>
          <w:docGrid w:linePitch="360"/>
        </w:sect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right="30"/>
        <w:jc w:val="right"/>
        <w:spacing w:before="20" w:after="20"/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 xml:space="preserve">Приложение 1</w:t>
      </w: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</w:p>
    <w:p>
      <w:pPr>
        <w:ind w:right="30"/>
        <w:jc w:val="right"/>
        <w:spacing w:before="20" w:after="2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к Техническому заданию</w:t>
      </w:r>
      <w:r>
        <w:rPr>
          <w:b/>
          <w:color w:val="auto"/>
          <w:sz w:val="24"/>
          <w:szCs w:val="24"/>
        </w:rPr>
      </w:r>
      <w:r>
        <w:rPr>
          <w:b/>
          <w:color w:val="auto"/>
          <w:sz w:val="24"/>
          <w:szCs w:val="24"/>
        </w:rPr>
      </w:r>
    </w:p>
    <w:p>
      <w:pPr>
        <w:ind w:left="0" w:firstLine="0"/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</w:p>
    <w:p>
      <w:pPr>
        <w:ind w:left="0" w:firstLine="0"/>
        <w:jc w:val="center"/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 xml:space="preserve">Требования к техническим и функциональным (потребительским характеристикам) товаров.</w:t>
      </w: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</w:p>
    <w:p>
      <w:pPr>
        <w:ind w:left="0" w:firstLine="0"/>
        <w:jc w:val="center"/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  <w:r>
        <w:rPr>
          <w:b/>
          <w:iCs/>
          <w:color w:val="auto"/>
          <w:sz w:val="24"/>
          <w:szCs w:val="24"/>
        </w:rPr>
      </w:r>
    </w:p>
    <w:tbl>
      <w:tblPr>
        <w:tblStyle w:val="912"/>
        <w:tblW w:w="1574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53"/>
        <w:gridCol w:w="2487"/>
        <w:gridCol w:w="3686"/>
        <w:gridCol w:w="3118"/>
        <w:gridCol w:w="1244"/>
        <w:gridCol w:w="851"/>
      </w:tblGrid>
      <w:tr>
        <w:tblPrEx/>
        <w:trPr>
          <w:jc w:val="center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5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Код позиции ОКПД2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680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изм.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и ед. изм.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описание, значение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5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Папка "Архивная"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25990" cy="1872278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168132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925990" cy="18722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1.65pt;height:147.42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эскиз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17.23.13.193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Папки и обложки из бумаги или картона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Папка архивная для переплета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56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Материал исполнения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Переплетный картон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жестких гребешков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отверстий в гребешках, шт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Способ фиксации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2 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авязк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0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Ширина корешка, max, 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≤ 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48"/>
        </w:trPr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8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Ширина корешка, min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≥ 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none"/>
        </w:rPr>
      </w:r>
    </w:p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страны происхождения товара.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Указываемые участником сведения не должны сопровождаться словами «или эквивалент».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менее» - означает что, участнику следует предоставить в заявке конкретный показатель,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более» 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«Минимальный размер….» и/или «min»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«Максимальный размер….» и/или «max»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этом, символы «&lt;», «&gt;», «≥», «≤» устанавливаются в требуемом значении сведений о товарах слева от числового значения показателя.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описание товара/позиции содержит одновременно показатели (характеристики товара) «минимальный размер…» и/или «min» «максимальный размер…» и/или «max», участнику закупки необходимо предоставить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Характеристики, перечисленные через «,», союз «и»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присутствует знак «;» или союз «или» 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erReference w:type="default" r:id="rId9"/>
      <w:footnotePr/>
      <w:endnotePr/>
      <w:type w:val="nextPage"/>
      <w:pgSz w:w="16840" w:h="11900" w:orient="landscape"/>
      <w:pgMar w:top="426" w:right="1200" w:bottom="567" w:left="960" w:header="0" w:footer="76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S UI Gothic">
    <w:panose1 w:val="020B0600070205080204"/>
  </w:font>
  <w:font w:name="Symbol">
    <w:panose1 w:val="05050102010706020507"/>
  </w:font>
  <w:font w:name="Segoe UI Symbol">
    <w:panose1 w:val="020B0502040204020203"/>
  </w:font>
  <w:font w:name="Arial">
    <w:panose1 w:val="020B0604020202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spacing w:line="14" w:lineRule="auto"/>
      <w:rPr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page">
                <wp:posOffset>3670300</wp:posOffset>
              </wp:positionH>
              <wp:positionV relativeFrom="page">
                <wp:posOffset>10067290</wp:posOffset>
              </wp:positionV>
              <wp:extent cx="228600" cy="18034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6"/>
                            <w:ind w:left="60"/>
                            <w:spacing w:before="1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8240;o:allowoverlap:true;o:allowincell:false;mso-position-horizontal-relative:page;margin-left:289.00pt;mso-position-horizontal:absolute;mso-position-vertical-relative:page;margin-top:792.70pt;mso-position-vertical:absolute;width:18.00pt;height:14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06"/>
                      <w:ind w:left="60"/>
                      <w:spacing w:before="1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 xml:space="preserve"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</w:r>
                    <w:r>
                      <w:rPr>
                        <w:sz w:val="22"/>
                        <w:szCs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1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●"/>
      <w:lvlJc w:val="left"/>
      <w:pPr>
        <w:ind w:left="105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1980"/>
      </w:pPr>
      <w:rPr>
        <w:rFonts w:ascii="Arial" w:hAnsi="Arial" w:eastAsia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27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4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140"/>
      </w:pPr>
      <w:rPr>
        <w:rFonts w:ascii="Arial" w:hAnsi="Arial" w:eastAsia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48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55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2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455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20"/>
      </w:pPr>
      <w:rPr>
        <w:rFonts w:ascii="Arial" w:hAnsi="Arial" w:eastAsia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80"/>
      </w:pPr>
      <w:rPr>
        <w:rFonts w:ascii="Arial" w:hAnsi="Arial" w:eastAsia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0" w:hanging="180"/>
      </w:pPr>
      <w:rPr>
        <w:rFonts w:ascii="Times New Roman" w:hAnsi="Times New Roman" w:eastAsia="Times New Roman"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bullet"/>
      <w:isLgl w:val="false"/>
      <w:suff w:val="tab"/>
      <w:lvlText w:val="●"/>
      <w:lvlJc w:val="left"/>
      <w:pPr>
        <w:ind w:left="1795" w:hanging="155"/>
      </w:pPr>
      <w:rPr>
        <w:rFonts w:ascii="MS UI Gothic" w:hAnsi="MS UI Gothic" w:eastAsia="MS UI Gothic" w:cs="MS UI Gothic"/>
        <w:sz w:val="9"/>
        <w:szCs w:val="9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1200" w:hanging="155"/>
      </w:pPr>
    </w:lvl>
    <w:lvl w:ilvl="4">
      <w:start w:val="1"/>
      <w:numFmt w:val="bullet"/>
      <w:isLgl w:val="false"/>
      <w:suff w:val="tab"/>
      <w:lvlText w:val="•"/>
      <w:lvlJc w:val="left"/>
      <w:pPr>
        <w:ind w:left="1800" w:hanging="155"/>
      </w:pPr>
    </w:lvl>
    <w:lvl w:ilvl="5">
      <w:start w:val="1"/>
      <w:numFmt w:val="bullet"/>
      <w:isLgl w:val="false"/>
      <w:suff w:val="tab"/>
      <w:lvlText w:val="•"/>
      <w:lvlJc w:val="left"/>
      <w:pPr>
        <w:ind w:left="3293" w:hanging="155"/>
      </w:pPr>
    </w:lvl>
    <w:lvl w:ilvl="6">
      <w:start w:val="1"/>
      <w:numFmt w:val="bullet"/>
      <w:isLgl w:val="false"/>
      <w:suff w:val="tab"/>
      <w:lvlText w:val="•"/>
      <w:lvlJc w:val="left"/>
      <w:pPr>
        <w:ind w:left="4786" w:hanging="155"/>
      </w:pPr>
    </w:lvl>
    <w:lvl w:ilvl="7">
      <w:start w:val="1"/>
      <w:numFmt w:val="bullet"/>
      <w:isLgl w:val="false"/>
      <w:suff w:val="tab"/>
      <w:lvlText w:val="•"/>
      <w:lvlJc w:val="left"/>
      <w:pPr>
        <w:ind w:left="6280" w:hanging="155"/>
      </w:pPr>
    </w:lvl>
    <w:lvl w:ilvl="8">
      <w:start w:val="1"/>
      <w:numFmt w:val="bullet"/>
      <w:isLgl w:val="false"/>
      <w:suff w:val="tab"/>
      <w:lvlText w:val="•"/>
      <w:lvlJc w:val="left"/>
      <w:pPr>
        <w:ind w:left="7773" w:hanging="155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33" w:hanging="72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4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19" w:hanging="108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32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05" w:hanging="144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8" w:hanging="180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80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4" w:hanging="2160"/>
      </w:pPr>
      <w:rPr>
        <w:rFonts w:hint="default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737"/>
    <w:link w:val="72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0">
    <w:name w:val="Heading 2 Char"/>
    <w:basedOn w:val="737"/>
    <w:link w:val="729"/>
    <w:uiPriority w:val="9"/>
    <w:rPr>
      <w:rFonts w:ascii="Liberation Sans" w:hAnsi="Liberation Sans" w:eastAsia="Liberation Sans" w:cs="Liberation Sans"/>
      <w:sz w:val="34"/>
    </w:rPr>
  </w:style>
  <w:style w:type="character" w:styleId="711">
    <w:name w:val="Heading 3 Char"/>
    <w:basedOn w:val="737"/>
    <w:link w:val="73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2">
    <w:name w:val="Heading 4 Char"/>
    <w:basedOn w:val="737"/>
    <w:link w:val="73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5 Char"/>
    <w:basedOn w:val="737"/>
    <w:link w:val="7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4">
    <w:name w:val="Heading 6 Char"/>
    <w:basedOn w:val="737"/>
    <w:link w:val="73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>
    <w:name w:val="Heading 7 Char"/>
    <w:basedOn w:val="737"/>
    <w:link w:val="73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6">
    <w:name w:val="Heading 8 Char"/>
    <w:basedOn w:val="737"/>
    <w:link w:val="73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7">
    <w:name w:val="Heading 9 Char"/>
    <w:basedOn w:val="737"/>
    <w:link w:val="73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8">
    <w:name w:val="Title Char"/>
    <w:basedOn w:val="737"/>
    <w:link w:val="749"/>
    <w:uiPriority w:val="10"/>
    <w:rPr>
      <w:sz w:val="48"/>
      <w:szCs w:val="48"/>
    </w:rPr>
  </w:style>
  <w:style w:type="character" w:styleId="719">
    <w:name w:val="Subtitle Char"/>
    <w:basedOn w:val="737"/>
    <w:link w:val="751"/>
    <w:uiPriority w:val="11"/>
    <w:rPr>
      <w:sz w:val="24"/>
      <w:szCs w:val="24"/>
    </w:rPr>
  </w:style>
  <w:style w:type="character" w:styleId="720">
    <w:name w:val="Quote Char"/>
    <w:link w:val="753"/>
    <w:uiPriority w:val="29"/>
    <w:rPr>
      <w:i/>
    </w:rPr>
  </w:style>
  <w:style w:type="character" w:styleId="721">
    <w:name w:val="Intense Quote Char"/>
    <w:link w:val="755"/>
    <w:uiPriority w:val="30"/>
    <w:rPr>
      <w:i/>
    </w:rPr>
  </w:style>
  <w:style w:type="character" w:styleId="722">
    <w:name w:val="Header Char"/>
    <w:basedOn w:val="737"/>
    <w:link w:val="757"/>
    <w:uiPriority w:val="99"/>
  </w:style>
  <w:style w:type="character" w:styleId="723">
    <w:name w:val="Footer Char"/>
    <w:basedOn w:val="737"/>
    <w:link w:val="759"/>
    <w:uiPriority w:val="99"/>
  </w:style>
  <w:style w:type="character" w:styleId="724">
    <w:name w:val="Caption Char"/>
    <w:basedOn w:val="737"/>
    <w:link w:val="761"/>
    <w:uiPriority w:val="35"/>
    <w:rPr>
      <w:b/>
      <w:bCs/>
      <w:color w:val="4f81bd" w:themeColor="accent1"/>
      <w:sz w:val="18"/>
      <w:szCs w:val="18"/>
    </w:rPr>
  </w:style>
  <w:style w:type="character" w:styleId="725">
    <w:name w:val="Footnote Text Char"/>
    <w:link w:val="888"/>
    <w:uiPriority w:val="99"/>
    <w:rPr>
      <w:sz w:val="18"/>
    </w:rPr>
  </w:style>
  <w:style w:type="character" w:styleId="726">
    <w:name w:val="Endnote Text Char"/>
    <w:link w:val="891"/>
    <w:uiPriority w:val="99"/>
    <w:rPr>
      <w:sz w:val="20"/>
    </w:rPr>
  </w:style>
  <w:style w:type="paragraph" w:styleId="727" w:default="1">
    <w:name w:val="Normal"/>
    <w:qFormat/>
    <w:pPr>
      <w:ind w:left="23" w:hanging="10"/>
      <w:jc w:val="both"/>
      <w:spacing w:after="2" w:line="219" w:lineRule="auto"/>
    </w:pPr>
    <w:rPr>
      <w:rFonts w:ascii="Times New Roman" w:hAnsi="Times New Roman" w:eastAsia="Times New Roman" w:cs="Times New Roman"/>
      <w:color w:val="000000"/>
      <w:sz w:val="28"/>
      <w:lang w:eastAsia="ru-RU"/>
    </w:rPr>
  </w:style>
  <w:style w:type="paragraph" w:styleId="728">
    <w:name w:val="Heading 1"/>
    <w:basedOn w:val="727"/>
    <w:next w:val="727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727"/>
    <w:next w:val="72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basedOn w:val="737"/>
    <w:link w:val="749"/>
    <w:uiPriority w:val="10"/>
    <w:rPr>
      <w:sz w:val="48"/>
      <w:szCs w:val="48"/>
    </w:rPr>
  </w:style>
  <w:style w:type="paragraph" w:styleId="751">
    <w:name w:val="Subtitle"/>
    <w:basedOn w:val="727"/>
    <w:next w:val="72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37"/>
    <w:link w:val="751"/>
    <w:uiPriority w:val="11"/>
    <w:rPr>
      <w:sz w:val="24"/>
      <w:szCs w:val="24"/>
    </w:rPr>
  </w:style>
  <w:style w:type="paragraph" w:styleId="753">
    <w:name w:val="Quote"/>
    <w:basedOn w:val="727"/>
    <w:next w:val="727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7"/>
    <w:next w:val="727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37"/>
    <w:link w:val="757"/>
    <w:uiPriority w:val="99"/>
  </w:style>
  <w:style w:type="paragraph" w:styleId="759">
    <w:name w:val="Footer"/>
    <w:basedOn w:val="72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Нижний колонтитул Знак"/>
    <w:basedOn w:val="737"/>
    <w:link w:val="759"/>
    <w:uiPriority w:val="99"/>
  </w:style>
  <w:style w:type="paragraph" w:styleId="761">
    <w:name w:val="Caption"/>
    <w:basedOn w:val="727"/>
    <w:next w:val="727"/>
    <w:link w:val="76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2" w:customStyle="1">
    <w:name w:val="Название объекта Знак"/>
    <w:basedOn w:val="737"/>
    <w:link w:val="761"/>
    <w:uiPriority w:val="35"/>
    <w:rPr>
      <w:b/>
      <w:bCs/>
      <w:color w:val="5b9bd5" w:themeColor="accent1"/>
      <w:sz w:val="18"/>
      <w:szCs w:val="18"/>
    </w:rPr>
  </w:style>
  <w:style w:type="table" w:styleId="763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8">
    <w:name w:val="footnote text"/>
    <w:basedOn w:val="727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7"/>
    <w:uiPriority w:val="99"/>
    <w:unhideWhenUsed/>
    <w:rPr>
      <w:vertAlign w:val="superscript"/>
    </w:rPr>
  </w:style>
  <w:style w:type="paragraph" w:styleId="891">
    <w:name w:val="endnote text"/>
    <w:basedOn w:val="727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7"/>
    <w:uiPriority w:val="99"/>
    <w:semiHidden/>
    <w:unhideWhenUsed/>
    <w:rPr>
      <w:vertAlign w:val="superscript"/>
    </w:rPr>
  </w:style>
  <w:style w:type="paragraph" w:styleId="894">
    <w:name w:val="toc 1"/>
    <w:basedOn w:val="727"/>
    <w:next w:val="727"/>
    <w:uiPriority w:val="39"/>
    <w:unhideWhenUsed/>
    <w:pPr>
      <w:ind w:left="0" w:firstLine="0"/>
      <w:spacing w:after="57"/>
    </w:pPr>
  </w:style>
  <w:style w:type="paragraph" w:styleId="895">
    <w:name w:val="toc 2"/>
    <w:basedOn w:val="727"/>
    <w:next w:val="727"/>
    <w:uiPriority w:val="39"/>
    <w:unhideWhenUsed/>
    <w:pPr>
      <w:ind w:left="283" w:firstLine="0"/>
      <w:spacing w:after="57"/>
    </w:pPr>
  </w:style>
  <w:style w:type="paragraph" w:styleId="896">
    <w:name w:val="toc 3"/>
    <w:basedOn w:val="727"/>
    <w:next w:val="727"/>
    <w:uiPriority w:val="39"/>
    <w:unhideWhenUsed/>
    <w:pPr>
      <w:ind w:left="567" w:firstLine="0"/>
      <w:spacing w:after="57"/>
    </w:pPr>
  </w:style>
  <w:style w:type="paragraph" w:styleId="897">
    <w:name w:val="toc 4"/>
    <w:basedOn w:val="727"/>
    <w:next w:val="727"/>
    <w:uiPriority w:val="39"/>
    <w:unhideWhenUsed/>
    <w:pPr>
      <w:ind w:left="850" w:firstLine="0"/>
      <w:spacing w:after="57"/>
    </w:pPr>
  </w:style>
  <w:style w:type="paragraph" w:styleId="898">
    <w:name w:val="toc 5"/>
    <w:basedOn w:val="727"/>
    <w:next w:val="727"/>
    <w:uiPriority w:val="39"/>
    <w:unhideWhenUsed/>
    <w:pPr>
      <w:ind w:left="1134" w:firstLine="0"/>
      <w:spacing w:after="57"/>
    </w:pPr>
  </w:style>
  <w:style w:type="paragraph" w:styleId="899">
    <w:name w:val="toc 6"/>
    <w:basedOn w:val="727"/>
    <w:next w:val="727"/>
    <w:uiPriority w:val="39"/>
    <w:unhideWhenUsed/>
    <w:pPr>
      <w:ind w:left="1417" w:firstLine="0"/>
      <w:spacing w:after="57"/>
    </w:pPr>
  </w:style>
  <w:style w:type="paragraph" w:styleId="900">
    <w:name w:val="toc 7"/>
    <w:basedOn w:val="727"/>
    <w:next w:val="727"/>
    <w:uiPriority w:val="39"/>
    <w:unhideWhenUsed/>
    <w:pPr>
      <w:ind w:left="1701" w:firstLine="0"/>
      <w:spacing w:after="57"/>
    </w:pPr>
  </w:style>
  <w:style w:type="paragraph" w:styleId="901">
    <w:name w:val="toc 8"/>
    <w:basedOn w:val="727"/>
    <w:next w:val="727"/>
    <w:uiPriority w:val="39"/>
    <w:unhideWhenUsed/>
    <w:pPr>
      <w:ind w:left="1984" w:firstLine="0"/>
      <w:spacing w:after="57"/>
    </w:pPr>
  </w:style>
  <w:style w:type="paragraph" w:styleId="902">
    <w:name w:val="toc 9"/>
    <w:basedOn w:val="727"/>
    <w:next w:val="727"/>
    <w:uiPriority w:val="39"/>
    <w:unhideWhenUsed/>
    <w:pPr>
      <w:ind w:left="2268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7"/>
    <w:next w:val="727"/>
    <w:uiPriority w:val="99"/>
    <w:unhideWhenUsed/>
    <w:pPr>
      <w:spacing w:after="0"/>
    </w:pPr>
  </w:style>
  <w:style w:type="paragraph" w:styleId="905">
    <w:name w:val="List Paragraph"/>
    <w:basedOn w:val="727"/>
    <w:link w:val="910"/>
    <w:uiPriority w:val="34"/>
    <w:qFormat/>
    <w:pPr>
      <w:contextualSpacing/>
      <w:ind w:left="720"/>
    </w:pPr>
  </w:style>
  <w:style w:type="paragraph" w:styleId="906">
    <w:name w:val="Body Text"/>
    <w:basedOn w:val="727"/>
    <w:link w:val="907"/>
    <w:uiPriority w:val="1"/>
    <w:qFormat/>
    <w:pPr>
      <w:ind w:left="0" w:firstLine="0"/>
      <w:jc w:val="left"/>
      <w:spacing w:after="0" w:line="240" w:lineRule="auto"/>
      <w:widowControl w:val="off"/>
    </w:pPr>
    <w:rPr>
      <w:color w:val="auto"/>
      <w:szCs w:val="28"/>
    </w:rPr>
  </w:style>
  <w:style w:type="character" w:styleId="907" w:customStyle="1">
    <w:name w:val="Основной текст Знак"/>
    <w:basedOn w:val="737"/>
    <w:link w:val="906"/>
    <w:uiPriority w:val="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9">
    <w:name w:val="Table Grid"/>
    <w:basedOn w:val="73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0" w:customStyle="1">
    <w:name w:val="Абзац списка Знак"/>
    <w:link w:val="905"/>
    <w:uiPriority w:val="34"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911">
    <w:name w:val="Hyperlink"/>
    <w:basedOn w:val="737"/>
    <w:uiPriority w:val="99"/>
    <w:unhideWhenUsed/>
    <w:rPr>
      <w:color w:val="0000ff"/>
      <w:u w:val="single"/>
    </w:rPr>
  </w:style>
  <w:style w:type="table" w:styleId="912" w:customStyle="1">
    <w:name w:val="Сетка таблицы3"/>
    <w:basedOn w:val="738"/>
    <w:next w:val="909"/>
    <w:uiPriority w:val="5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3">
    <w:name w:val="annotation reference"/>
    <w:basedOn w:val="737"/>
    <w:uiPriority w:val="99"/>
    <w:semiHidden/>
    <w:unhideWhenUsed/>
    <w:rPr>
      <w:sz w:val="16"/>
      <w:szCs w:val="16"/>
    </w:rPr>
  </w:style>
  <w:style w:type="paragraph" w:styleId="914">
    <w:name w:val="annotation text"/>
    <w:basedOn w:val="727"/>
    <w:link w:val="91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5" w:customStyle="1">
    <w:name w:val="Текст примечания Знак"/>
    <w:basedOn w:val="737"/>
    <w:link w:val="914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16">
    <w:name w:val="annotation subject"/>
    <w:basedOn w:val="914"/>
    <w:next w:val="914"/>
    <w:link w:val="917"/>
    <w:uiPriority w:val="99"/>
    <w:semiHidden/>
    <w:unhideWhenUsed/>
    <w:rPr>
      <w:b/>
      <w:bCs/>
    </w:rPr>
  </w:style>
  <w:style w:type="character" w:styleId="917" w:customStyle="1">
    <w:name w:val="Тема примечания Знак"/>
    <w:basedOn w:val="915"/>
    <w:link w:val="916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character" w:styleId="918">
    <w:name w:val="Unresolved Mention"/>
    <w:basedOn w:val="73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DA58-07E7-4EE0-B86F-5C58F1C6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Suncova_EU</cp:lastModifiedBy>
  <cp:revision>158</cp:revision>
  <dcterms:created xsi:type="dcterms:W3CDTF">2022-08-19T11:25:00Z</dcterms:created>
  <dcterms:modified xsi:type="dcterms:W3CDTF">2026-06-22T11:28:22Z</dcterms:modified>
</cp:coreProperties>
</file>