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tabs>
          <w:tab w:val="left" w:pos="567" w:leader="none"/>
        </w:tabs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PT Astra Serif" w:hAnsi="PT Astra Serif" w:eastAsia="PT Astra Serif" w:cs="PT Astra Serif"/>
          <w:b/>
          <w:i/>
          <w:sz w:val="22"/>
          <w:szCs w:val="22"/>
        </w:rPr>
        <w:tab/>
      </w:r>
      <w:r>
        <w:rPr>
          <w:rFonts w:ascii="PT Astra Serif" w:hAnsi="PT Astra Serif" w:eastAsia="PT Astra Serif" w:cs="PT Astra Serif"/>
          <w:b/>
          <w:i/>
          <w:sz w:val="22"/>
          <w:szCs w:val="22"/>
        </w:rPr>
        <w:tab/>
      </w:r>
      <w:r>
        <w:rPr>
          <w:rFonts w:ascii="PT Astra Serif" w:hAnsi="PT Astra Serif" w:eastAsia="PT Astra Serif" w:cs="PT Astra Serif"/>
          <w:b/>
          <w:i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i/>
          <w:sz w:val="22"/>
          <w:szCs w:val="22"/>
        </w:rPr>
        <w:t xml:space="preserve">ПРОЕКТ</w:t>
      </w:r>
      <w:r>
        <w:rPr>
          <w:rFonts w:ascii="Times New Roman" w:hAnsi="Times New Roman" w:cs="Times New Roman"/>
          <w:b/>
          <w:i/>
          <w:sz w:val="22"/>
          <w:szCs w:val="22"/>
        </w:rPr>
      </w:r>
      <w:r>
        <w:rPr>
          <w:rFonts w:ascii="Times New Roman" w:hAnsi="Times New Roman" w:cs="Times New Roman"/>
          <w:b/>
          <w:i/>
          <w:sz w:val="22"/>
          <w:szCs w:val="22"/>
        </w:rPr>
      </w:r>
    </w:p>
    <w:p>
      <w:pPr>
        <w:jc w:val="center"/>
        <w:spacing w:after="0"/>
        <w:tabs>
          <w:tab w:val="left" w:pos="567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Федеральная служба по надзору в сфере защиты прав потребителей и благополучия человека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keepNext/>
        <w:spacing w:before="240" w:after="0" w:line="240" w:lineRule="auto"/>
        <w:rPr>
          <w:rFonts w:ascii="Times New Roman" w:hAnsi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Управление Федеральной службы по надзору   в сфере защиты прав потребителей и благополучия человека по Вологодской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(Управление Роспотребнадзора по Вологодской области)                                                                                            Яшина ул., д.1а, Вологда, 160012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тел. (8172) 75-21-23, факс (8172) 75-15-68, Е-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tu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-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rpn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@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vologda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         ОКПО 75131381, ОГРН 1053500015580, ИНН/КПП 352514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7418/352501001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-1134" w:right="-427"/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ГОСУДАРСТВЕННЫЙ КОНТРАКТ         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left="-1134" w:right="-427"/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 на поставку товаров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pacing w:val="-2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ИКЗ: 26 1 3525147418 352501001 0051 038 0000 000</w:t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spacing w:val="-2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pacing w:val="-20"/>
          <w:sz w:val="22"/>
          <w:szCs w:val="22"/>
        </w:rPr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  <w:r>
        <w:rPr>
          <w:rFonts w:ascii="Times New Roman" w:hAnsi="Times New Roman" w:cs="Times New Roman"/>
          <w:b/>
          <w:bCs/>
          <w:spacing w:val="-20"/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г. Вологда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«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_____» ___________________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 2026 г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2"/>
          <w:szCs w:val="22"/>
          <w:lang w:eastAsia="ru-RU"/>
        </w:rPr>
        <w:t xml:space="preserve">________________________________________________________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/>
        </w:rPr>
        <w:t xml:space="preserve">, именуемое в дальнейшем «Поставщик», в лице _____________________________________, действующего на основании _________________________, с одной стороны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и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Управление Федеральной службы по надзору в сфере защиты прав потребителей и благополучия человека по Вологодской области (Управление Роспотребнадзора по Вологодской области)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именуемое в дальнейшем «Заказчик», в лице руководителя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Посаженникова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Андрея Петро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вича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действующего на основании Положения, с другой стороны,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именуемые в дальнейшем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арственных и муниципальных нужд»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заключили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настоящий государственный контракт (далее - Контракт) о нижеследующем: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numPr>
          <w:ilvl w:val="0"/>
          <w:numId w:val="1"/>
        </w:numPr>
        <w:ind w:hanging="720"/>
        <w:jc w:val="center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ПРЕДМЕТ КОНТРАКТА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W w:w="10204" w:type="dxa"/>
        <w:tblLayout w:type="fixed"/>
        <w:tblLook w:val="00A0" w:firstRow="1" w:lastRow="0" w:firstColumn="1" w:lastColumn="0" w:noHBand="0" w:noVBand="0"/>
      </w:tblPr>
      <w:tblGrid>
        <w:gridCol w:w="3684"/>
        <w:gridCol w:w="1417"/>
        <w:gridCol w:w="1276"/>
        <w:gridCol w:w="1134"/>
        <w:gridCol w:w="1276"/>
        <w:gridCol w:w="1364"/>
        <w:gridCol w:w="53"/>
      </w:tblGrid>
      <w:tr>
        <w:tblPrEx/>
        <w:trPr>
          <w:gridAfter w:val="1"/>
          <w:trHeight w:val="50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51" w:type="dxa"/>
            <w:textDirection w:val="lrTb"/>
            <w:noWrap w:val="false"/>
          </w:tcPr>
          <w:p>
            <w:pPr>
              <w:ind w:hanging="105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1.1. По контракту Поставщик обязуется передать товар, в собственность Заказчика, а Заказчик обязан принять и оплатить товар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согласно п.1.2. Контракта.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Поставляемый товар должен быть новым товаром (товаром, который не был в употреблении).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hanging="10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1.2. Спецификация поставляемого товара: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trHeight w:val="4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Ед.изм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Кол-во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Цена,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Сумма,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Итого с НДС, 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pStyle w:val="934"/>
              <w:jc w:val="left"/>
              <w:spacing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1c2126"/>
                <w:sz w:val="22"/>
                <w:szCs w:val="22"/>
                <w:lang w:eastAsia="ru-RU"/>
              </w:rPr>
              <w:t xml:space="preserve">DELTA DT 1207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pStyle w:val="934"/>
              <w:jc w:val="left"/>
              <w:spacing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Извещатель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пожарный ручной «ИПР-513-3АМ»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vAlign w:val="center"/>
            <w:vMerge w:val="restart"/>
            <w:textDirection w:val="lrTb"/>
            <w:noWrap w:val="false"/>
          </w:tcPr>
          <w:p>
            <w:pPr>
              <w:pStyle w:val="934"/>
              <w:jc w:val="left"/>
              <w:spacing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Светильник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1c2126"/>
                <w:sz w:val="22"/>
                <w:szCs w:val="22"/>
                <w:lang w:eastAsia="ru-RU"/>
              </w:rPr>
              <w:t xml:space="preserve">ЭРА НБО 05100001 Рондо пластик/стекло E27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1c2126"/>
                <w:sz w:val="22"/>
                <w:szCs w:val="22"/>
                <w:lang w:eastAsia="ru-RU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1c2126"/>
                <w:sz w:val="22"/>
                <w:szCs w:val="22"/>
                <w:lang w:eastAsia="ru-RU"/>
              </w:rPr>
              <w:t xml:space="preserve"> 100Вт круг белый Б0053071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84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ИТОГО: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912"/>
        <w:contextualSpacing w:val="0"/>
        <w:ind w:left="0"/>
        <w:jc w:val="center"/>
        <w:spacing w:after="0" w:line="214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12"/>
        <w:contextualSpacing w:val="0"/>
        <w:ind w:left="0"/>
        <w:jc w:val="center"/>
        <w:spacing w:after="0" w:line="21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2. СУММА КОНТРАКТА И ПОРЯДОК РАСЧЕТОВ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spacing w:after="0" w:line="21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 Цена настоящего Конт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ракта составляет _________________________ (_____________________) рублей ____ копеек, в том числе НДС ________%, (или НДС не облагается).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2.2. Цена настоящего Контракта является твердой и определена на весь срок исполнения настоящего Контракта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за исключением случаев, прямо предусмотренных настоящим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2.3. Цена Контракта включает в себя все затраты, связанные с поставкой Товара, уплату налогов, пошлин, сборов и других обязательных платежей, предусмотренных законодательством Российской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2.4. Финансирование по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2.5. Расчеты между Заказчиком и Поставщиком за Товар производятся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не позднее 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(Семи)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рабочих дней с даты подписания Заказчиком товарной накладной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на основан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ии счета (счет-фактуры).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указанный в настоящем Контракте счет Поставщика, несет Поставщик.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2.6. Датой надлежащего исполнения Заказчиком своих обязательств по оплате поставленного Товара является дата списания денежных средств с лицевого счёта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ind w:left="0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3. СРОКИ И ПОРЯДОК ПОСТАВКИ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И ПРИЕМКИ ТОВАРА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3.1. Поставка Товара по настоящему Контракту осуществляется в течен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ие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/>
          <w:sz w:val="22"/>
          <w:szCs w:val="22"/>
          <w:highlight w:val="white"/>
        </w:rPr>
        <w:t xml:space="preserve"> (двух) рабочих дней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с даты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заключения Контракта. Доставка осуществляется на адрес Заказчика: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Вологодская область, г. Вологда, ул. Яшина, д.1-А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3.2. В день поставк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 Товара Поставщик передает Заказчику подписанные со своей стороны и заверенные печатью следующие документы: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счет (счет-фактуру) в 1-м экземпляре;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товарную накладную/универсальный передаточный документ в 2-х экземплярах.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3" w:hanging="33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3.3. Приемка поставленного Това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ра осуществляется Заказчиком в течение 10 (десяти) рабочих дней с дня поставки Товара Поставщиком. По результатам приемки, Сторонами в рамках указанного срока подписывается товарная накладная, либо Поставщику в те же сроки Заказчиком направляется в письмен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ной форме мотивированный отказ от подписания товарной накладной с указанием срока для устранения несоответствий.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left="33" w:hanging="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3.4. В случае несоответствия количества и (или) качества Товара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указанного в товарной накладной, и документах, подтверждающих качество Товара,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и фактически поставленного Поставщиком Товара Заказчик составляет претензию, в которой указывается установленное несоответствие количества и качества принимаемого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left="33" w:hanging="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3.5. В случае недопоставки и (или) поставки некачественного Товара Заказчик вправе п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 (или) потребовать осуществить поставку недостающего Товара в течение 2-х рабочих дней, с даты получения пре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тензии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contextualSpacing w:val="0"/>
        <w:ind w:left="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3.6. Датой приемки поставленного Товара считается дата подписания Заказчиком товарной накладной, при условии исполнения Сторонами всех обязательств по поставке Товара, указанных в настоящем Контракте.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contextualSpacing w:val="0"/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3.7.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</w:t>
      </w:r>
      <w:bookmarkStart w:id="1" w:name="P101"/>
      <w:r>
        <w:rPr>
          <w:rFonts w:ascii="Times New Roman" w:hAnsi="Times New Roman" w:eastAsia="Times New Roman" w:cs="Times New Roman"/>
          <w:sz w:val="22"/>
          <w:szCs w:val="22"/>
        </w:rPr>
      </w:r>
      <w:bookmarkEnd w:id="1"/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pStyle w:val="912"/>
        <w:contextualSpacing w:val="0"/>
        <w:ind w:left="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 ОБЯЗАННОСТИ СТОРОН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4.1. Поставщик обязан: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4.1.1. Осуществить поставку Товара в полном объеме и в сроки, установленные настоящим Контрактом, надлежащего качества;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4.1.2. Отгрузить Товар в надлежащей упаковке,</w:t>
      </w:r>
      <w:r>
        <w:rPr>
          <w:rFonts w:ascii="Times New Roman" w:hAnsi="Times New Roman" w:eastAsia="Times New Roman" w:cs="Times New Roman"/>
          <w:spacing w:val="-5"/>
          <w:sz w:val="22"/>
          <w:szCs w:val="22"/>
        </w:rPr>
        <w:t xml:space="preserve"> обеспечивающей его сохранность при транспорт</w:t>
      </w:r>
      <w:r>
        <w:rPr>
          <w:rFonts w:ascii="Times New Roman" w:hAnsi="Times New Roman" w:eastAsia="Times New Roman" w:cs="Times New Roman"/>
          <w:spacing w:val="-5"/>
          <w:sz w:val="22"/>
          <w:szCs w:val="22"/>
        </w:rPr>
        <w:t xml:space="preserve">ировке и хранении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Ка</w:t>
      </w:r>
      <w:bookmarkStart w:id="2" w:name="OCRUncertain542"/>
      <w:r>
        <w:rPr>
          <w:rFonts w:ascii="Times New Roman" w:hAnsi="Times New Roman" w:eastAsia="Times New Roman" w:cs="Times New Roman"/>
          <w:sz w:val="22"/>
          <w:szCs w:val="22"/>
        </w:rPr>
        <w:t xml:space="preserve">ч</w:t>
      </w:r>
      <w:bookmarkEnd w:id="2"/>
      <w:r>
        <w:rPr>
          <w:rFonts w:ascii="Times New Roman" w:hAnsi="Times New Roman" w:eastAsia="Times New Roman" w:cs="Times New Roman"/>
          <w:sz w:val="22"/>
          <w:szCs w:val="22"/>
        </w:rPr>
        <w:t xml:space="preserve">ество и комплектность поставляемых Товаров должны соответ</w:t>
      </w:r>
      <w:bookmarkStart w:id="3" w:name="OCRUncertain543"/>
      <w:r>
        <w:rPr>
          <w:rFonts w:ascii="Times New Roman" w:hAnsi="Times New Roman" w:eastAsia="Times New Roman" w:cs="Times New Roman"/>
          <w:sz w:val="22"/>
          <w:szCs w:val="22"/>
        </w:rPr>
        <w:t xml:space="preserve">ствовать стандартам, техническим условиям, указанных в документах фирм – изготовителей на данные Товары.</w:t>
      </w:r>
      <w:bookmarkEnd w:id="3"/>
      <w:r>
        <w:rPr>
          <w:rFonts w:ascii="Times New Roman" w:hAnsi="Times New Roman" w:eastAsia="Times New Roman" w:cs="Times New Roman"/>
          <w:sz w:val="22"/>
          <w:szCs w:val="22"/>
        </w:rPr>
        <w:t xml:space="preserve"> Подтверждением качества и комплектности со стороны Поставщика является 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ертификаты и сопроводительные документы (паспорта) на Товары. Поставщик гарантирует, что Товары и документация на них соответствует стандартам фирм – изготовителей.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4.1.3. В случае принятия решения об одностороннем отказе от исполнения настоящего 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4.1.4. Доста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вить Товар Заказчику собственным транспортом или с привлечением транспорта третьих лиц за свой счет.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4.2. Поставщик имеет право: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4.2.1. Требовать своевременной оплаты за поставленный Товар в соответствии с пунктом 2.5. настоящего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4.2.2. Принять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9"/>
        <w:ind w:firstLine="0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4.2.3. Осуществлять иные права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7"/>
        <w:jc w:val="both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4.3. Заказчик обязан: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17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4.3.1. Осмотреть То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вар в месте его передачи и осуществить все необходимые действия по принятию Товара, поставленного по настоящему Контракту с соблюдением всех требований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7"/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4.3.2. Оплатить Товар в порядке, сроки и на условиях, оговоренных настоящим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4.3.3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Принять решение об одностороннем отказе от исполнения Контракта в случае,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формацию о своем соответствии таким требованиям, что позволило ему стать победителем определения Поставщика.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9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4.3.4. В случае принятия решения об одностороннем отказе от исполнения настоящего Контракта не позднее чем в течение трех рабочих дней с даты приня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тия указанного решения,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адресу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4.4. Заказчик имеет право: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4.4.1. Контролировать ход выполнения Поставщи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ком поставок по Контракту без вмешательства в оперативно-хозяйственную деятельность Поставщика;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4.4.2. При обнаружении недостатков Товара, требовать их устранения;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4.4.3. В любое время потребовать от Поставщика отчет о ходе исполнения настоящего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9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4.4.4. Принять 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4.4.5. До принятия решения об одностороннем отказе от исполнения Контракта провести экспертизу выполненных работ с привлечени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ем экспертов, экспертных организаций, выбор которых осуществляется в соответствии с Федеральным </w:t>
      </w:r>
      <w:hyperlink r:id="rId9" w:tooltip="consultantplus://offline/ref=7F7231C27B22B4FBCE8EBF893BCBB30C3B073B68D8824A61098CB75D11B28D50154DBC5B9529D52C55911027B2JD59I" w:history="1">
        <w:r>
          <w:rPr>
            <w:rFonts w:ascii="Times New Roman" w:hAnsi="Times New Roman" w:eastAsia="Times New Roman" w:cs="Times New Roman"/>
            <w:sz w:val="22"/>
            <w:szCs w:val="22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z w:val="22"/>
          <w:szCs w:val="22"/>
        </w:rPr>
        <w:t xml:space="preserve"> № 44-ФЗ.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4.4.6. Осуществлять иные права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3"/>
        <w:jc w:val="center"/>
        <w:spacing w:before="120" w:after="0"/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20"/>
        <w:ind w:firstLine="0"/>
        <w:jc w:val="both"/>
        <w:spacing w:line="240" w:lineRule="auto"/>
        <w:widowControl/>
        <w:tabs>
          <w:tab w:val="left" w:pos="595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5.1.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настоящего Контракта.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5.2. В случае просрочки исполнения Заказчиком обязательств, предусмотренных 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астоящим Контрактом, а также в иных случаях неисполнения или ненадлежащего исполнения Заказчиком обязательств, предусмотренных настоящим Контрактом Поставщик вправе потребовать уплаты неустоек (штрафов, пеней).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5.4. За каждый факт неисполнения Заказчиком обязательств, предусмотренных контрактом, за исключением просрочки исполнени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я обязательств, предусмотренных контрактом, размер штрафа устанавливается в порядке, установленном Правилами</w:t>
      </w:r>
      <w:r>
        <w:rPr>
          <w:rFonts w:ascii="Times New Roman" w:hAnsi="Times New Roman" w:eastAsia="Times New Roman" w:cs="Times New Roman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размере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1 000,00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(Одна тысяча) рублей 00 копеек</w:t>
      </w:r>
      <w:r>
        <w:rPr>
          <w:rFonts w:ascii="Times New Roman" w:hAnsi="Times New Roman" w:eastAsia="Times New Roman" w:cs="Times New Roman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5.5. Общая сумма начисленной неустойки (штрафов, пени) за неисполнение или ненадлежащее исполн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5.7.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Пеня начисляется за каждый день просрочки исполнения Поставщиком (подрядчиком, исполни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5.8. Штрафы начисляются за каждый факт неисполнения или ненадлежащего исполнения Поставщиком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обязательств, предусмотренных Контрактом, за исключением просрочки исполнения Поставщиком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обязательств (в том числе гарантийного обязательства), предусмотренных Контрактом.</w:t>
      </w:r>
      <w:r>
        <w:rPr>
          <w:rFonts w:ascii="Times New Roman" w:hAnsi="Times New Roman" w:eastAsia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Штраф устанавливается контрактом в размере __________ (_________) рублей ______ 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пеек</w:t>
      </w:r>
      <w:r>
        <w:rPr>
          <w:rFonts w:ascii="Times New Roman" w:hAnsi="Times New Roman" w:eastAsia="Times New Roman" w:cs="Times New Roman"/>
          <w:sz w:val="22"/>
          <w:szCs w:val="22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5.9. Общая сумма начисленной неустойки (штрафов, пени) за неисполнение или ненадлежащее исполнение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Поставщиком обязательств, предусмотрен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непреодолимой си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лы или по вине другой стороны.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6. ФОРС-МАЖОР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6.1. Ни одна из Сторон не несет ответственности перед другой Стороной за неисполнение или ненад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лежащее исполнение обязательств по настоящему Контракту,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ным, которые повлияли на исполнение Сторонами своих обязательств по Контракту, а также которые Стороны не были в состоянии предвидеть или предотвратить.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При этом инфляционные процессы в экономике к форс-мажорным обстоятельствам по условиям настоящего контракта не относятся.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6.2. Компетентное заключение, выданное уполномоченным органом, является достаточным подтверждением наличия и продолжительности действи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я обстоятельств непреодолимой силы.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6.3. Сторона, которая не исполняет свои обязательства вследствие действия обстоятельств непреодолимой силы, должна не позднее чем в 3-дневный срок известить другую Сторону о наступлении таких обстоятельств и их влиянии 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 исполнение обязательств по данному Контракту.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7. ПОРЯДОК УРЕГУЛИРОВАНИЯ СПОРОВ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7.1. В случае возникновения между Сторонами споров и разногласий, Стороны обязуются решать их путем переговоров с соблюдением претензионного порядка.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7.2.</w:t>
      </w:r>
      <w:r>
        <w:rPr>
          <w:rFonts w:ascii="Times New Roman" w:hAnsi="Times New Roman" w:eastAsia="Times New Roman" w:cs="Times New Roman"/>
          <w:sz w:val="22"/>
          <w:szCs w:val="22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Срок рассмотрения претензии не может превышать 30 (Тридцати) календарных дней (ч. 5 ст. 4 АПК РФ).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тавлением оригинала документа.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7.3. В случае не урегулирования споров и разногласий в претензионном порядке, они подлежат рассмотрению в Арбитражном суде Вологодской области в порядке, установленном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709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8. СР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ОК ДЕЙСТВИЯ КОНТРАКТА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8.1. Настоящий Контракт вступает в силу с момента его подписания Сторонами и действует по 31 декабря 2026 года включительно, а в части расчетов и гарантийных обязательств - до полного исполнения обязательств Сторонами.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jc w:val="both"/>
        <w:spacing w:after="0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40"/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9. ПРОЧИЕ ПОЛОЖ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ЕНИЯ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9.1. Настоящий Контракт составлен и подписан в двух подлинных идентичных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9.2. В случае изменения у какой-либо из Сторон местонахождения, наименования, а также в случае реорг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9.4. Изменени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 условий Контракта при его исполнении не допускается, за исключением случаев, предусмотренных </w:t>
      </w:r>
      <w:hyperlink r:id="rId10" w:tooltip="consultantplus://offline/ref=7F7231C27B22B4FBCE8EBF893BCBB30C3B073B68D8824A61098CB75D11B28D50074DE4579628C82D5C844676F785292BDD1A147517B567FCJ252I" w:history="1">
        <w:r>
          <w:rPr>
            <w:rFonts w:ascii="Times New Roman" w:hAnsi="Times New Roman" w:eastAsia="Times New Roman" w:cs="Times New Roman"/>
            <w:b/>
            <w:i/>
            <w:sz w:val="22"/>
            <w:szCs w:val="22"/>
          </w:rPr>
          <w:t xml:space="preserve">статьей 95</w:t>
        </w:r>
      </w:hyperlink>
      <w:r>
        <w:rPr>
          <w:rFonts w:ascii="Times New Roman" w:hAnsi="Times New Roman" w:eastAsia="Times New Roman" w:cs="Times New Roman"/>
          <w:sz w:val="22"/>
          <w:szCs w:val="22"/>
        </w:rPr>
        <w:t xml:space="preserve"> Федерального закона N 44-ФЗ.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9.5. Настоящий Контракт будет считаться исполненным и прекрати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9.6. Во всем, что не оговорено в настоящем Контракте, Стороны руководствуются действующим законодательством Российской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10. ЮРИДИЧЕСКИЕ АДРЕСА И РЕКВИЗИТЫ СТОРОН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W w:w="9876" w:type="dxa"/>
        <w:tblLayout w:type="fixed"/>
        <w:tblLook w:val="00A0" w:firstRow="1" w:lastRow="0" w:firstColumn="1" w:lastColumn="0" w:noHBand="0" w:noVBand="0"/>
      </w:tblPr>
      <w:tblGrid>
        <w:gridCol w:w="4381"/>
        <w:gridCol w:w="5495"/>
      </w:tblGrid>
      <w:tr>
        <w:tblPrEx/>
        <w:trPr>
          <w:trHeight w:val="934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М.П.___________________/__________/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5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Управление Федеральной службы по надзору в сфе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ре защиты прав потребителей и благополучия человека по Вологодской области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 (Управление Роспотребнадзора по Вологодской области)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160012, г. Вологда, ул. Яшина, 1-а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тел/факс 75-15-68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т. 75-50-90 – бухгалтерия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03301787600 УФК по Вологодской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Ра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счетный счет входящий в состав единого казначейского счета (ЕКС)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40102810745370000024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казначейский счет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03211643000000013208             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ОКЦ № 1 ВВГУ БАНКА РОССИИ// УФК по Нижегородской области, г. Нижний Новгород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ТОФК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012202102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3525147418  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352501001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ОГРНЮЛ 1053500015580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ОКПО/ОКОНХ 75131381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175" w:hanging="175"/>
              <w:spacing w:after="0" w:line="240" w:lineRule="auto"/>
              <w:tabs>
                <w:tab w:val="left" w:pos="4999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М.П.__________________/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</w:rPr>
              <w:t xml:space="preserve">А.П.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</w:rPr>
              <w:t xml:space="preserve">Посаженников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/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left="-567"/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Приложение № 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к Контракту от 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before="120" w:after="120"/>
        <w:widowControl w:val="off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1c2126" w:themeColor="text1"/>
          <w:sz w:val="22"/>
          <w:szCs w:val="22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1.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 Аккумуляторная батарея  DELTA DT 1207</w:t>
      </w:r>
      <w:r>
        <w:rPr>
          <w:rFonts w:ascii="Times New Roman" w:hAnsi="Times New Roman" w:eastAsia="Times New Roman" w:cs="Times New Roman"/>
          <w:b/>
          <w:bCs/>
          <w:color w:val="1c2126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color w:val="1c2126" w:themeColor="text1"/>
          <w:sz w:val="22"/>
          <w:szCs w:val="22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Технические характеристики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Емкость аккумулятора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1" w:tooltip="https://www.vseinstrumenti.ru/tag-page/akb-ibp-7ach-2432091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7 А*ч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Max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ток заряда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2.1 А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Технология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AGM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Выходное напряжение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12 В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Тип клемм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F1(FASTON (зажим) 4.75 мм)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Полярность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прямая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Высота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102 мм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Ширина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151 мм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Глубина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65 мм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Вес нетто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2.1 кг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</w:rPr>
        <w:t xml:space="preserve">Количество - 1 штука.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</w:p>
    <w:p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highlight w:val="none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</w:p>
    <w:p>
      <w:pPr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2.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 xml:space="preserve">Извещатель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 xml:space="preserve"> пожарный ручной «ИПР-513-3АМ»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highlight w:val="none"/>
          <w:shd w:val="clear" w:color="auto" w:fill="ffffff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Технические характеристики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Бренд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BOLID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Тип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пожарный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извещатель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Принцип работы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извещателя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оптико-электронный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Принцип обнаружения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точечный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Автономный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Адресный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да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Напряжение питания (мин)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8 В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191817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Напряжение питания (макс)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11 В</w:t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  <w:r>
        <w:rPr>
          <w:rFonts w:ascii="Times New Roman" w:hAnsi="Times New Roman" w:cs="Times New Roman"/>
          <w:color w:val="191817" w:themeColor="text1"/>
          <w:sz w:val="18"/>
          <w:szCs w:val="18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С автономной батареей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  <w:p>
      <w:pPr>
        <w:pStyle w:val="735"/>
        <w:spacing w:before="0" w:beforeAutospacing="0" w:after="0" w:afterAutospacing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Количество - </w:t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</w:rPr>
        <w:t xml:space="preserve">1 штука.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</w:r>
    </w:p>
    <w:p>
      <w:pPr>
        <w:pStyle w:val="735"/>
        <w:spacing w:before="0" w:beforeAutospacing="0" w:after="0" w:afterAutospacing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</w:r>
    </w:p>
    <w:p>
      <w:pPr>
        <w:pStyle w:val="735"/>
        <w:spacing w:before="0" w:beforeAutospacing="0" w:after="0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3. Светильник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ЭРА НБО 05100001 Рондо пластик/стекло E27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max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 100Вт круг белый Б0053071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highlight w:val="none"/>
        </w:rPr>
      </w:r>
    </w:p>
    <w:p>
      <w:pPr>
        <w:spacing w:after="0" w:afterAutospacing="0" w:line="240" w:lineRule="auto"/>
        <w:shd w:val="clear" w:color="auto" w:fill="ffffff"/>
        <w:rPr>
          <w:rFonts w:ascii="Times New Roman" w:hAnsi="Times New Roman" w:cs="Times New Roman"/>
          <w:b/>
          <w:bCs/>
          <w:color w:val="1c2126" w:themeColor="text1"/>
          <w:sz w:val="27"/>
          <w:szCs w:val="27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Технические характеристики:</w:t>
      </w:r>
      <w:r>
        <w:rPr>
          <w:rFonts w:ascii="Times New Roman" w:hAnsi="Times New Roman" w:cs="Times New Roman"/>
          <w:b/>
          <w:bCs/>
          <w:color w:val="1c2126" w:themeColor="text1"/>
          <w:sz w:val="27"/>
          <w:szCs w:val="27"/>
        </w:rPr>
      </w:r>
      <w:r>
        <w:rPr>
          <w:rFonts w:ascii="Times New Roman" w:hAnsi="Times New Roman" w:cs="Times New Roman"/>
          <w:b/>
          <w:bCs/>
          <w:color w:val="1c2126" w:themeColor="text1"/>
          <w:sz w:val="27"/>
          <w:szCs w:val="27"/>
        </w:rPr>
      </w:r>
    </w:p>
    <w:p>
      <w:pPr>
        <w:spacing w:after="0" w:afterAutospacing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Вид крепления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накладной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Мощность светильника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100 Вт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Мощность лампочки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100 Вт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Элементы питания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сеть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Количество и напряжение элементов питания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2" w:tooltip="https://www.vseinstrumenti.ru/tag-page/nastenno-potolochnye-svetilniki-220v-31726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220В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Тип лампы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накаливания/энергосберегающая (КЛЛ)/светодиодная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Количество ламп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шт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Лампа в комплекте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Цоколь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3" w:tooltip="https://www.vseinstrumenti.ru/tag-page/nastenno-potolochnye-svetilniki-s-tsokolem-e27-31654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E27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Длина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24 см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Высота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9.5 см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Диаметр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24 см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Цветность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 применимо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Защита от пыли и влаги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4" w:tooltip="https://www.vseinstrumenti.ru/tag-page/nastenno-potolochnye-svetilniki-ip44-31600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IP44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Материал корпуса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пластик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Материал плафона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5" w:tooltip="https://www.vseinstrumenti.ru/tag-page/nastenno-potolochnye-svetilniki-so-steklyannym-plafonom-31756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стекло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Поверхность плафона/арматуры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глянцевая/глянцевая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Основной цвет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белый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Термостойкость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Вандалоустойчивость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Датчик звука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Датчик движения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С пультом управления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Защитная решетка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Климатическое исполнение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У2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Вес нетто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1.182 кг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Габариты без упаковки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240x240x95 мм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Ширина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24 см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Коллекция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6" w:tooltip="https://www.vseinstrumenti.ru/tag-page/nastenno-potolochnye-svetilniki-kollektsiya-zhkh-1474205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ЖКХ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Цвет плафона/арматуры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прозрачный/белый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Провод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без провода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Влагозащищенный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да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Пылезащищенный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да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Min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температура эксплуатации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-40 °С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Max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температура эксплуатации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+45 °С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Взрывозащищенный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С датчиком освещения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Форма корпуса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r>
      <w:hyperlink r:id="rId17" w:tooltip="https://www.vseinstrumenti.ru/tag-page/kruglye-nastenno-potolochnye-svetilniki-31696/" w:history="1">
        <w:r>
          <w:rPr>
            <w:rFonts w:ascii="Times New Roman" w:hAnsi="Times New Roman" w:eastAsia="Times New Roman" w:cs="Times New Roman"/>
            <w:color w:val="000000" w:themeColor="text1"/>
            <w:sz w:val="22"/>
            <w:szCs w:val="22"/>
            <w:u w:val="single"/>
            <w:lang w:eastAsia="ru-RU"/>
          </w:rPr>
          <w:t xml:space="preserve">круг</w:t>
        </w:r>
      </w:hyperlink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ГОСТ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ТР ТС 004/2011, ТР ТС 020/2011, ТР ТС 037/2024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Тип управления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Управляющее приложение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Голосовой помощник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484f55" w:themeColor="text1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LED-подсветка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  <w:r>
        <w:rPr>
          <w:rFonts w:ascii="Times New Roman" w:hAnsi="Times New Roman" w:cs="Times New Roman"/>
          <w:color w:val="484f55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Протокол управления 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нет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highlight w:val="none"/>
        </w:rPr>
        <w:t xml:space="preserve">Количество - 2 штуки.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r>
    </w:p>
    <w:p>
      <w:pPr>
        <w:pStyle w:val="735"/>
        <w:spacing w:before="0" w:beforeAutospacing="0" w:after="0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4. Требования к качеству поставляемого товара: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соответствии с п. 7 ч. 1 ст. 33 Закона № 44-ФЗ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Поставщик гарантирует, что поставляемый Товар является новым (товаром, который не был в употреблении,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тствует требованиям, установленным Контрактом.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4.2. Поставляемый товар при использовании его в работе не должен оказывать вредного воздействия на окружающую среду. Должен быть безопасен для человека. Соответствовать требованиям государственных стандартов,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действующих на территории РФ.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Поставляемый Товар должен соответствовать действующим в РФ стандартам, техническим регламентам, санитарным и фитосанитарным нормам.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4.3. Товар должен быть поставлен в упаковке завода-изготовителя, позволяющей транспортировать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 без повреждений, без нарушения защитных способов от несан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кционированного вскрытия, предусмотренных производителем.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4.4. Поставляемые товары не должны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щика, при соблюдении Заказчиком правил хранения и/или использования поставляемых товаров.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5. Требования к сроку и (или) объему предоставления гарантий качества товара: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5.1.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Гарантия продавца на товар должна соответствовать гарантии производителя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Все работы по гарантийному обслуживанию, в том числе доставка товара, проводятся за счет Поставщика.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6. Условия поставки: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 w:bidi="ru-RU"/>
        </w:rPr>
        <w:t xml:space="preserve">Поставщик самостоятельно доставляет Товар Заказчику по адресу: Вологодская область, г. Вологда, ул. Яшина 1а (далее - место дост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 w:bidi="ru-RU"/>
        </w:rPr>
        <w:t xml:space="preserve">авки). Поставка осуществляется по рабочим дням с пн. по чт. с 9:00 до 17:00 часов, в пт. с 9:00 до 15:00 часов, Поставщик уведомляет Заказчика не позднее, чем за 1 (один) день до планируемой даты поставки Товара о готовности поставить Товар по телефону: 8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ru-RU" w:bidi="ru-RU"/>
        </w:rPr>
        <w:t xml:space="preserve">(8172) 75-95-09.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00603000000000000"/>
  </w:font>
  <w:font w:name="Lohit Devanagari">
    <w:panose1 w:val="02000603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1"/>
        <w:ind w:firstLine="709"/>
        <w:jc w:val="both"/>
      </w:pPr>
      <w:r>
        <w:rPr>
          <w:rStyle w:val="923"/>
        </w:rPr>
        <w:footnoteRef/>
      </w:r>
      <w:r>
        <w:t xml:space="preserve">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</w:t>
      </w:r>
      <w:r>
        <w:t xml:space="preserve">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</w:t>
      </w:r>
      <w:r>
        <w:t xml:space="preserve">телем) обязательства, предусмотренного контрактом, о внесении изменений в постановление Правительства Российской Федерации от 15 мая 2017 г. № 57 0 и признании утратившим силу постановления Правительства Российской Федерации от 25 ноября 2013 г. № 1063, ут</w:t>
      </w:r>
      <w:r>
        <w:t xml:space="preserve">вержденные постановлением Правительства Российской Федерации от 30.08.2017 № 1042 (далее – Правила).</w:t>
      </w:r>
      <w:r/>
    </w:p>
  </w:footnote>
  <w:footnote w:id="3">
    <w:p>
      <w:pPr>
        <w:pStyle w:val="919"/>
        <w:jc w:val="both"/>
      </w:pPr>
      <w:r>
        <w:rPr>
          <w:rStyle w:val="923"/>
        </w:rPr>
        <w:footnoteRef/>
      </w:r>
      <w:r>
        <w:rPr>
          <w:rFonts w:ascii="Times New Roman" w:hAnsi="Times New Roman" w:cs="Times New Roman"/>
        </w:rPr>
        <w:t xml:space="preserve"> Штраф устанавливается контрактом в порядке:</w:t>
      </w:r>
      <w:r/>
    </w:p>
    <w:p>
      <w:pPr>
        <w:pStyle w:val="9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4">
    <w:p>
      <w:pPr>
        <w:pStyle w:val="921"/>
        <w:ind w:firstLine="709"/>
      </w:pPr>
      <w:r>
        <w:rPr>
          <w:rStyle w:val="923"/>
        </w:rPr>
        <w:footnoteRef/>
      </w:r>
      <w:r>
        <w:t xml:space="preserve"> Штраф устанавливается контрактом в порядке:</w:t>
      </w:r>
      <w:r/>
    </w:p>
    <w:p>
      <w:pPr>
        <w:pStyle w:val="921"/>
        <w:ind w:firstLine="709"/>
      </w:pPr>
      <w:r>
        <w:t xml:space="preserve">а) 10 процентов цены контракта в случае, если цена контракта не превышает 3 млн. рублей;</w:t>
      </w:r>
      <w:r/>
    </w:p>
    <w:p>
      <w:pPr>
        <w:pStyle w:val="921"/>
        <w:ind w:firstLine="709"/>
      </w:pPr>
      <w:r>
        <w:t xml:space="preserve">б) 5 процентов цены кон</w:t>
      </w:r>
      <w:r>
        <w:t xml:space="preserve">тракта в случае, если цена контракта составляет от 3 млн. рублей до 50 млн. рублей (включительно).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9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2)"/>
      <w:lvlJc w:val="left"/>
      <w:pPr>
        <w:ind w:left="1080" w:hanging="360"/>
      </w:pPr>
      <w:rPr>
        <w:b w:val="0"/>
        <w:u w:val="none"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2)"/>
      <w:lvlJc w:val="left"/>
      <w:pPr>
        <w:ind w:left="1080" w:hanging="360"/>
      </w:pPr>
      <w:rPr>
        <w:b w:val="0"/>
        <w:bCs w:val="0"/>
        <w:u w:val="none"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8">
    <w:name w:val="Heading 2 Char"/>
    <w:basedOn w:val="744"/>
    <w:link w:val="736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744"/>
    <w:link w:val="737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744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744"/>
    <w:link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>
    <w:name w:val="Heading 6 Char"/>
    <w:basedOn w:val="744"/>
    <w:link w:val="74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>
    <w:name w:val="Heading 7 Char"/>
    <w:basedOn w:val="744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8 Char"/>
    <w:basedOn w:val="744"/>
    <w:link w:val="74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>
    <w:name w:val="Heading 9 Char"/>
    <w:basedOn w:val="744"/>
    <w:link w:val="743"/>
    <w:uiPriority w:val="9"/>
    <w:rPr>
      <w:rFonts w:ascii="Arial" w:hAnsi="Arial" w:eastAsia="Arial" w:cs="Arial"/>
      <w:i/>
      <w:iCs/>
      <w:sz w:val="21"/>
      <w:szCs w:val="21"/>
    </w:rPr>
  </w:style>
  <w:style w:type="character" w:styleId="726">
    <w:name w:val="Title Char"/>
    <w:basedOn w:val="744"/>
    <w:link w:val="757"/>
    <w:uiPriority w:val="10"/>
    <w:rPr>
      <w:sz w:val="48"/>
      <w:szCs w:val="48"/>
    </w:rPr>
  </w:style>
  <w:style w:type="character" w:styleId="727">
    <w:name w:val="Subtitle Char"/>
    <w:basedOn w:val="744"/>
    <w:link w:val="759"/>
    <w:uiPriority w:val="11"/>
    <w:rPr>
      <w:sz w:val="24"/>
      <w:szCs w:val="24"/>
    </w:rPr>
  </w:style>
  <w:style w:type="character" w:styleId="728">
    <w:name w:val="Quote Char"/>
    <w:link w:val="761"/>
    <w:uiPriority w:val="29"/>
    <w:rPr>
      <w:i/>
    </w:rPr>
  </w:style>
  <w:style w:type="character" w:styleId="729">
    <w:name w:val="Intense Quote Char"/>
    <w:link w:val="763"/>
    <w:uiPriority w:val="30"/>
    <w:rPr>
      <w:i/>
    </w:rPr>
  </w:style>
  <w:style w:type="character" w:styleId="730">
    <w:name w:val="Header Char"/>
    <w:basedOn w:val="744"/>
    <w:link w:val="765"/>
    <w:uiPriority w:val="99"/>
  </w:style>
  <w:style w:type="character" w:styleId="731">
    <w:name w:val="Footer Char"/>
    <w:basedOn w:val="744"/>
    <w:link w:val="767"/>
    <w:uiPriority w:val="99"/>
  </w:style>
  <w:style w:type="character" w:styleId="732">
    <w:name w:val="Caption Char"/>
    <w:basedOn w:val="744"/>
    <w:link w:val="769"/>
    <w:uiPriority w:val="35"/>
    <w:rPr>
      <w:b/>
      <w:bCs/>
      <w:color w:val="4f81bd" w:themeColor="accent1"/>
      <w:sz w:val="18"/>
      <w:szCs w:val="18"/>
    </w:rPr>
  </w:style>
  <w:style w:type="character" w:styleId="733">
    <w:name w:val="Endnote Text Char"/>
    <w:link w:val="898"/>
    <w:uiPriority w:val="99"/>
    <w:rPr>
      <w:sz w:val="20"/>
    </w:rPr>
  </w:style>
  <w:style w:type="paragraph" w:styleId="734" w:default="1">
    <w:name w:val="Normal"/>
    <w:qFormat/>
  </w:style>
  <w:style w:type="paragraph" w:styleId="735">
    <w:name w:val="Heading 1"/>
    <w:basedOn w:val="734"/>
    <w:link w:val="915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736">
    <w:name w:val="Heading 2"/>
    <w:basedOn w:val="734"/>
    <w:next w:val="734"/>
    <w:link w:val="7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7">
    <w:name w:val="Heading 3"/>
    <w:basedOn w:val="734"/>
    <w:next w:val="734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8">
    <w:name w:val="Heading 4"/>
    <w:basedOn w:val="734"/>
    <w:next w:val="734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734"/>
    <w:next w:val="734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734"/>
    <w:next w:val="734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41">
    <w:name w:val="Heading 7"/>
    <w:basedOn w:val="734"/>
    <w:next w:val="734"/>
    <w:link w:val="7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2">
    <w:name w:val="Heading 8"/>
    <w:basedOn w:val="734"/>
    <w:next w:val="734"/>
    <w:link w:val="7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3">
    <w:name w:val="Heading 9"/>
    <w:basedOn w:val="734"/>
    <w:next w:val="734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character" w:styleId="747" w:customStyle="1">
    <w:name w:val="Heading 1 Char"/>
    <w:basedOn w:val="744"/>
    <w:uiPriority w:val="9"/>
    <w:rPr>
      <w:rFonts w:ascii="Arial" w:hAnsi="Arial" w:eastAsia="Arial" w:cs="Arial"/>
      <w:sz w:val="40"/>
      <w:szCs w:val="40"/>
    </w:rPr>
  </w:style>
  <w:style w:type="character" w:styleId="748" w:customStyle="1">
    <w:name w:val="Заголовок 2 Знак"/>
    <w:basedOn w:val="744"/>
    <w:link w:val="736"/>
    <w:uiPriority w:val="9"/>
    <w:rPr>
      <w:rFonts w:ascii="Arial" w:hAnsi="Arial" w:eastAsia="Arial" w:cs="Arial"/>
      <w:sz w:val="34"/>
    </w:rPr>
  </w:style>
  <w:style w:type="character" w:styleId="749" w:customStyle="1">
    <w:name w:val="Заголовок 3 Знак"/>
    <w:basedOn w:val="744"/>
    <w:link w:val="737"/>
    <w:uiPriority w:val="9"/>
    <w:rPr>
      <w:rFonts w:ascii="Arial" w:hAnsi="Arial" w:eastAsia="Arial" w:cs="Arial"/>
      <w:sz w:val="30"/>
      <w:szCs w:val="30"/>
    </w:rPr>
  </w:style>
  <w:style w:type="character" w:styleId="750" w:customStyle="1">
    <w:name w:val="Заголовок 4 Знак"/>
    <w:basedOn w:val="744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Заголовок 5 Знак"/>
    <w:basedOn w:val="744"/>
    <w:link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Заголовок 6 Знак"/>
    <w:basedOn w:val="744"/>
    <w:link w:val="740"/>
    <w:uiPriority w:val="9"/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Заголовок 7 Знак"/>
    <w:basedOn w:val="744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Заголовок 8 Знак"/>
    <w:basedOn w:val="744"/>
    <w:link w:val="742"/>
    <w:uiPriority w:val="9"/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Заголовок 9 Знак"/>
    <w:basedOn w:val="744"/>
    <w:link w:val="743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No Spacing"/>
    <w:uiPriority w:val="1"/>
    <w:qFormat/>
    <w:pPr>
      <w:spacing w:after="0" w:line="240" w:lineRule="auto"/>
    </w:pPr>
  </w:style>
  <w:style w:type="paragraph" w:styleId="757">
    <w:name w:val="Title"/>
    <w:basedOn w:val="734"/>
    <w:next w:val="734"/>
    <w:link w:val="7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8" w:customStyle="1">
    <w:name w:val="Заголовок Знак"/>
    <w:basedOn w:val="744"/>
    <w:link w:val="757"/>
    <w:uiPriority w:val="10"/>
    <w:rPr>
      <w:sz w:val="48"/>
      <w:szCs w:val="48"/>
    </w:rPr>
  </w:style>
  <w:style w:type="paragraph" w:styleId="759">
    <w:name w:val="Subtitle"/>
    <w:basedOn w:val="734"/>
    <w:next w:val="734"/>
    <w:link w:val="760"/>
    <w:uiPriority w:val="11"/>
    <w:qFormat/>
    <w:pPr>
      <w:spacing w:before="200" w:after="200"/>
    </w:pPr>
    <w:rPr>
      <w:sz w:val="24"/>
      <w:szCs w:val="24"/>
    </w:rPr>
  </w:style>
  <w:style w:type="character" w:styleId="760" w:customStyle="1">
    <w:name w:val="Подзаголовок Знак"/>
    <w:basedOn w:val="744"/>
    <w:link w:val="759"/>
    <w:uiPriority w:val="11"/>
    <w:rPr>
      <w:sz w:val="24"/>
      <w:szCs w:val="24"/>
    </w:rPr>
  </w:style>
  <w:style w:type="paragraph" w:styleId="761">
    <w:name w:val="Quote"/>
    <w:basedOn w:val="734"/>
    <w:next w:val="734"/>
    <w:link w:val="762"/>
    <w:uiPriority w:val="29"/>
    <w:qFormat/>
    <w:pPr>
      <w:ind w:left="720" w:right="720"/>
    </w:pPr>
    <w:rPr>
      <w:i/>
    </w:rPr>
  </w:style>
  <w:style w:type="character" w:styleId="762" w:customStyle="1">
    <w:name w:val="Цитата 2 Знак"/>
    <w:link w:val="761"/>
    <w:uiPriority w:val="29"/>
    <w:rPr>
      <w:i/>
    </w:rPr>
  </w:style>
  <w:style w:type="paragraph" w:styleId="763">
    <w:name w:val="Intense Quote"/>
    <w:basedOn w:val="734"/>
    <w:next w:val="734"/>
    <w:link w:val="7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4" w:customStyle="1">
    <w:name w:val="Выделенная цитата Знак"/>
    <w:link w:val="763"/>
    <w:uiPriority w:val="30"/>
    <w:rPr>
      <w:i/>
    </w:rPr>
  </w:style>
  <w:style w:type="paragraph" w:styleId="765">
    <w:name w:val="Header"/>
    <w:basedOn w:val="734"/>
    <w:link w:val="7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 w:customStyle="1">
    <w:name w:val="Верхний колонтитул Знак"/>
    <w:basedOn w:val="744"/>
    <w:link w:val="765"/>
    <w:uiPriority w:val="99"/>
  </w:style>
  <w:style w:type="paragraph" w:styleId="767">
    <w:name w:val="Footer"/>
    <w:basedOn w:val="734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8" w:customStyle="1">
    <w:name w:val="Нижний колонтитул Знак"/>
    <w:basedOn w:val="744"/>
    <w:link w:val="767"/>
    <w:uiPriority w:val="99"/>
  </w:style>
  <w:style w:type="paragraph" w:styleId="769">
    <w:name w:val="Caption"/>
    <w:basedOn w:val="734"/>
    <w:next w:val="734"/>
    <w:link w:val="77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0" w:customStyle="1">
    <w:name w:val="Название объекта Знак"/>
    <w:basedOn w:val="744"/>
    <w:link w:val="769"/>
    <w:uiPriority w:val="35"/>
    <w:rPr>
      <w:b/>
      <w:bCs/>
      <w:color w:val="5b9bd5" w:themeColor="accent1"/>
      <w:sz w:val="18"/>
      <w:szCs w:val="18"/>
    </w:rPr>
  </w:style>
  <w:style w:type="table" w:styleId="771">
    <w:name w:val="Table Grid"/>
    <w:basedOn w:val="7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2" w:customStyle="1">
    <w:name w:val="Table Grid Light"/>
    <w:basedOn w:val="7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3">
    <w:name w:val="Plain Table 1"/>
    <w:basedOn w:val="7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0" w:customStyle="1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1" w:customStyle="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3" w:customStyle="1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5" w:customStyle="1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4" w:customStyle="1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5" w:customStyle="1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6" w:customStyle="1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7" w:customStyle="1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8" w:customStyle="1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9" w:customStyle="1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3" w:customStyle="1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4" w:customStyle="1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5" w:customStyle="1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6" w:customStyle="1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7" w:customStyle="1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8" w:customStyle="1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ned - Accent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7" w:customStyle="1">
    <w:name w:val="Lined - Accent 1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8" w:customStyle="1">
    <w:name w:val="Lined - Accent 2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9" w:customStyle="1">
    <w:name w:val="Lined - Accent 3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0" w:customStyle="1">
    <w:name w:val="Lined - Accent 4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1" w:customStyle="1">
    <w:name w:val="Lined - Accent 5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2" w:customStyle="1">
    <w:name w:val="Lined - Accent 6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3" w:customStyle="1">
    <w:name w:val="Bordered &amp; Lined - Accent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4" w:customStyle="1">
    <w:name w:val="Bordered &amp; Lined - Accent 1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5" w:customStyle="1">
    <w:name w:val="Bordered &amp; Lined - Accent 2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6" w:customStyle="1">
    <w:name w:val="Bordered &amp; Lined - Accent 3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7" w:customStyle="1">
    <w:name w:val="Bordered &amp; Lined - Accent 4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8" w:customStyle="1">
    <w:name w:val="Bordered &amp; Lined - Accent 5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9" w:customStyle="1">
    <w:name w:val="Bordered &amp; Lined - Accent 6"/>
    <w:basedOn w:val="7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0" w:customStyle="1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1" w:customStyle="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2" w:customStyle="1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3" w:customStyle="1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4" w:customStyle="1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5" w:customStyle="1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6" w:customStyle="1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97" w:customStyle="1">
    <w:name w:val="Footnote Text Char"/>
    <w:uiPriority w:val="99"/>
    <w:rPr>
      <w:sz w:val="18"/>
    </w:rPr>
  </w:style>
  <w:style w:type="paragraph" w:styleId="898">
    <w:name w:val="endnote text"/>
    <w:basedOn w:val="734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basedOn w:val="744"/>
    <w:uiPriority w:val="99"/>
    <w:semiHidden/>
    <w:unhideWhenUsed/>
    <w:rPr>
      <w:vertAlign w:val="superscript"/>
    </w:rPr>
  </w:style>
  <w:style w:type="paragraph" w:styleId="901">
    <w:name w:val="toc 1"/>
    <w:basedOn w:val="734"/>
    <w:next w:val="734"/>
    <w:uiPriority w:val="39"/>
    <w:unhideWhenUsed/>
    <w:pPr>
      <w:spacing w:after="57"/>
    </w:pPr>
  </w:style>
  <w:style w:type="paragraph" w:styleId="902">
    <w:name w:val="toc 2"/>
    <w:basedOn w:val="734"/>
    <w:next w:val="734"/>
    <w:uiPriority w:val="39"/>
    <w:unhideWhenUsed/>
    <w:pPr>
      <w:ind w:left="283"/>
      <w:spacing w:after="57"/>
    </w:pPr>
  </w:style>
  <w:style w:type="paragraph" w:styleId="903">
    <w:name w:val="toc 3"/>
    <w:basedOn w:val="734"/>
    <w:next w:val="734"/>
    <w:uiPriority w:val="39"/>
    <w:unhideWhenUsed/>
    <w:pPr>
      <w:ind w:left="567"/>
      <w:spacing w:after="57"/>
    </w:pPr>
  </w:style>
  <w:style w:type="paragraph" w:styleId="904">
    <w:name w:val="toc 4"/>
    <w:basedOn w:val="734"/>
    <w:next w:val="734"/>
    <w:uiPriority w:val="39"/>
    <w:unhideWhenUsed/>
    <w:pPr>
      <w:ind w:left="850"/>
      <w:spacing w:after="57"/>
    </w:pPr>
  </w:style>
  <w:style w:type="paragraph" w:styleId="905">
    <w:name w:val="toc 5"/>
    <w:basedOn w:val="734"/>
    <w:next w:val="734"/>
    <w:uiPriority w:val="39"/>
    <w:unhideWhenUsed/>
    <w:pPr>
      <w:ind w:left="1134"/>
      <w:spacing w:after="57"/>
    </w:pPr>
  </w:style>
  <w:style w:type="paragraph" w:styleId="906">
    <w:name w:val="toc 6"/>
    <w:basedOn w:val="734"/>
    <w:next w:val="734"/>
    <w:uiPriority w:val="39"/>
    <w:unhideWhenUsed/>
    <w:pPr>
      <w:ind w:left="1417"/>
      <w:spacing w:after="57"/>
    </w:pPr>
  </w:style>
  <w:style w:type="paragraph" w:styleId="907">
    <w:name w:val="toc 7"/>
    <w:basedOn w:val="734"/>
    <w:next w:val="734"/>
    <w:uiPriority w:val="39"/>
    <w:unhideWhenUsed/>
    <w:pPr>
      <w:ind w:left="1701"/>
      <w:spacing w:after="57"/>
    </w:pPr>
  </w:style>
  <w:style w:type="paragraph" w:styleId="908">
    <w:name w:val="toc 8"/>
    <w:basedOn w:val="734"/>
    <w:next w:val="734"/>
    <w:uiPriority w:val="39"/>
    <w:unhideWhenUsed/>
    <w:pPr>
      <w:ind w:left="1984"/>
      <w:spacing w:after="57"/>
    </w:pPr>
  </w:style>
  <w:style w:type="paragraph" w:styleId="909">
    <w:name w:val="toc 9"/>
    <w:basedOn w:val="734"/>
    <w:next w:val="734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34"/>
    <w:next w:val="734"/>
    <w:uiPriority w:val="99"/>
    <w:unhideWhenUsed/>
    <w:pPr>
      <w:spacing w:after="0"/>
    </w:pPr>
  </w:style>
  <w:style w:type="paragraph" w:styleId="912">
    <w:name w:val="List Paragraph"/>
    <w:basedOn w:val="734"/>
    <w:link w:val="926"/>
    <w:qFormat/>
    <w:pPr>
      <w:contextualSpacing/>
      <w:ind w:left="720"/>
    </w:pPr>
  </w:style>
  <w:style w:type="paragraph" w:styleId="913">
    <w:name w:val="Body Text Indent"/>
    <w:basedOn w:val="734"/>
    <w:link w:val="914"/>
    <w:uiPriority w:val="99"/>
    <w:unhideWhenUsed/>
    <w:pPr>
      <w:ind w:left="283"/>
      <w:spacing w:after="120" w:line="276" w:lineRule="auto"/>
    </w:pPr>
    <w:rPr>
      <w:rFonts w:ascii="Calibri" w:hAnsi="Calibri" w:eastAsia="Calibri" w:cs="Calibri"/>
    </w:rPr>
  </w:style>
  <w:style w:type="character" w:styleId="914" w:customStyle="1">
    <w:name w:val="Основной текст с отступом Знак"/>
    <w:basedOn w:val="744"/>
    <w:link w:val="913"/>
    <w:uiPriority w:val="99"/>
    <w:rPr>
      <w:rFonts w:ascii="Calibri" w:hAnsi="Calibri" w:eastAsia="Calibri" w:cs="Calibri"/>
    </w:rPr>
  </w:style>
  <w:style w:type="character" w:styleId="915" w:customStyle="1">
    <w:name w:val="Заголовок 1 Знак"/>
    <w:basedOn w:val="744"/>
    <w:link w:val="735"/>
    <w:uiPriority w:val="9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16" w:customStyle="1">
    <w:name w:val="Без интервала1"/>
    <w:pPr>
      <w:spacing w:after="0" w:line="240" w:lineRule="auto"/>
    </w:pPr>
    <w:rPr>
      <w:rFonts w:ascii="Calibri" w:hAnsi="Calibri" w:eastAsia="Times New Roman" w:cs="Times New Roman"/>
      <w:color w:val="000000"/>
      <w:szCs w:val="20"/>
      <w:lang w:eastAsia="ru-RU"/>
    </w:rPr>
  </w:style>
  <w:style w:type="paragraph" w:styleId="917">
    <w:name w:val="Body Text"/>
    <w:basedOn w:val="734"/>
    <w:link w:val="918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18" w:customStyle="1">
    <w:name w:val="Основной текст Знак"/>
    <w:basedOn w:val="744"/>
    <w:link w:val="917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19" w:customStyle="1">
    <w:name w:val="ConsPlusNormal"/>
    <w:link w:val="929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ar-SA"/>
    </w:rPr>
  </w:style>
  <w:style w:type="paragraph" w:styleId="920" w:customStyle="1">
    <w:name w:val="Style13"/>
    <w:basedOn w:val="734"/>
    <w:pPr>
      <w:ind w:hanging="602"/>
      <w:spacing w:after="0" w:line="281" w:lineRule="exact"/>
      <w:widowControl w:val="off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21">
    <w:name w:val="footnote text"/>
    <w:basedOn w:val="734"/>
    <w:link w:val="922"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922" w:customStyle="1">
    <w:name w:val="Текст сноски Знак"/>
    <w:basedOn w:val="744"/>
    <w:link w:val="921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923">
    <w:name w:val="footnote reference"/>
    <w:link w:val="928"/>
    <w:rPr>
      <w:vertAlign w:val="superscript"/>
    </w:rPr>
  </w:style>
  <w:style w:type="character" w:styleId="924">
    <w:name w:val="Hyperlink"/>
    <w:uiPriority w:val="99"/>
    <w:rPr>
      <w:color w:val="0000ff"/>
      <w:u w:val="single"/>
    </w:rPr>
  </w:style>
  <w:style w:type="character" w:styleId="925" w:customStyle="1">
    <w:name w:val="Font Style11"/>
    <w:basedOn w:val="744"/>
    <w:rPr>
      <w:rFonts w:hint="default" w:ascii="Times New Roman" w:hAnsi="Times New Roman" w:cs="Times New Roman"/>
      <w:sz w:val="22"/>
      <w:szCs w:val="22"/>
    </w:rPr>
  </w:style>
  <w:style w:type="character" w:styleId="926" w:customStyle="1">
    <w:name w:val="Абзац списка Знак"/>
    <w:basedOn w:val="744"/>
    <w:link w:val="912"/>
  </w:style>
  <w:style w:type="paragraph" w:styleId="927" w:customStyle="1">
    <w:name w:val="Footnote"/>
    <w:basedOn w:val="734"/>
    <w:pPr>
      <w:spacing w:after="0" w:line="240" w:lineRule="auto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28" w:customStyle="1">
    <w:name w:val="Знак сноски1"/>
    <w:link w:val="923"/>
    <w:pPr>
      <w:spacing w:after="200" w:line="276" w:lineRule="auto"/>
    </w:pPr>
    <w:rPr>
      <w:vertAlign w:val="superscript"/>
    </w:rPr>
  </w:style>
  <w:style w:type="character" w:styleId="929" w:customStyle="1">
    <w:name w:val="ConsPlusNormal Знак"/>
    <w:link w:val="919"/>
    <w:rPr>
      <w:rFonts w:ascii="Arial" w:hAnsi="Arial" w:eastAsia="Calibri" w:cs="Arial"/>
      <w:sz w:val="20"/>
      <w:szCs w:val="20"/>
      <w:lang w:eastAsia="ar-SA"/>
    </w:rPr>
  </w:style>
  <w:style w:type="character" w:styleId="930" w:customStyle="1">
    <w:name w:val="cardmaininfo__title"/>
    <w:basedOn w:val="744"/>
  </w:style>
  <w:style w:type="paragraph" w:styleId="931">
    <w:name w:val="Balloon Text"/>
    <w:basedOn w:val="734"/>
    <w:link w:val="93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2" w:customStyle="1">
    <w:name w:val="Текст выноски Знак"/>
    <w:basedOn w:val="744"/>
    <w:link w:val="931"/>
    <w:uiPriority w:val="99"/>
    <w:semiHidden/>
    <w:rPr>
      <w:rFonts w:ascii="Segoe UI" w:hAnsi="Segoe UI" w:cs="Segoe UI"/>
      <w:sz w:val="18"/>
      <w:szCs w:val="18"/>
    </w:rPr>
  </w:style>
  <w:style w:type="paragraph" w:styleId="933" w:customStyle="1">
    <w:name w:val="Заголовок 11"/>
    <w:uiPriority w:val="99"/>
    <w:qFormat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34" w:customStyle="1">
    <w:name w:val="Содержимое таблицы"/>
    <w:qFormat/>
    <w:pPr>
      <w:jc w:val="center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PT Astra Serif" w:hAnsi="PT Astra Serif" w:eastAsia="Source Han Sans CN Regular" w:cs="Lohit Devanagari"/>
      <w:sz w:val="28"/>
      <w:szCs w:val="24"/>
      <w:lang w:eastAsia="ru-RU" w:bidi="ru-RU"/>
    </w:rPr>
  </w:style>
  <w:style w:type="paragraph" w:styleId="935" w:customStyle="1">
    <w:name w:val="Заголовок таблицы"/>
    <w:qFormat/>
    <w:pPr>
      <w:jc w:val="center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PT Astra Serif" w:hAnsi="PT Astra Serif" w:eastAsia="Source Han Sans CN Regular" w:cs="Lohit Devanagari"/>
      <w:b/>
      <w:sz w:val="28"/>
      <w:szCs w:val="24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7F7231C27B22B4FBCE8EBF893BCBB30C3B073B68D8824A61098CB75D11B28D50154DBC5B9529D52C55911027B2JD59I" TargetMode="External"/><Relationship Id="rId10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1" Type="http://schemas.openxmlformats.org/officeDocument/2006/relationships/hyperlink" Target="https://www.vseinstrumenti.ru/tag-page/akb-ibp-7ach-2432091/" TargetMode="External"/><Relationship Id="rId12" Type="http://schemas.openxmlformats.org/officeDocument/2006/relationships/hyperlink" Target="https://www.vseinstrumenti.ru/tag-page/nastenno-potolochnye-svetilniki-220v-31726/" TargetMode="External"/><Relationship Id="rId13" Type="http://schemas.openxmlformats.org/officeDocument/2006/relationships/hyperlink" Target="https://www.vseinstrumenti.ru/tag-page/nastenno-potolochnye-svetilniki-s-tsokolem-e27-31654/" TargetMode="External"/><Relationship Id="rId14" Type="http://schemas.openxmlformats.org/officeDocument/2006/relationships/hyperlink" Target="https://www.vseinstrumenti.ru/tag-page/nastenno-potolochnye-svetilniki-ip44-31600/" TargetMode="External"/><Relationship Id="rId15" Type="http://schemas.openxmlformats.org/officeDocument/2006/relationships/hyperlink" Target="https://www.vseinstrumenti.ru/tag-page/nastenno-potolochnye-svetilniki-so-steklyannym-plafonom-31756/" TargetMode="External"/><Relationship Id="rId16" Type="http://schemas.openxmlformats.org/officeDocument/2006/relationships/hyperlink" Target="https://www.vseinstrumenti.ru/tag-page/nastenno-potolochnye-svetilniki-kollektsiya-zhkh-1474205/" TargetMode="External"/><Relationship Id="rId17" Type="http://schemas.openxmlformats.org/officeDocument/2006/relationships/hyperlink" Target="https://www.vseinstrumenti.ru/tag-page/kruglye-nastenno-potolochnye-svetilniki-31696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Корлякова Любовь Николаевна</dc:creator>
  <cp:keywords/>
  <dc:description/>
  <cp:lastModifiedBy>user</cp:lastModifiedBy>
  <cp:revision>86</cp:revision>
  <dcterms:created xsi:type="dcterms:W3CDTF">2022-10-19T13:35:00Z</dcterms:created>
  <dcterms:modified xsi:type="dcterms:W3CDTF">2026-07-29T11:54:42Z</dcterms:modified>
</cp:coreProperties>
</file>