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Default="00CB16DA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поставку </w:t>
      </w:r>
      <w:r w:rsidR="00200F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крепежных изделий</w:t>
      </w:r>
      <w:r w:rsidR="00676A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A5FC3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</w:t>
      </w:r>
      <w:r w:rsidR="00200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 w:rsidRPr="00676AD3">
        <w:rPr>
          <w:rFonts w:ascii="Times New Roman" w:hAnsi="Times New Roman" w:cs="Times New Roman"/>
          <w:b/>
          <w:i/>
          <w:sz w:val="24"/>
          <w:szCs w:val="24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200FAF">
        <w:rPr>
          <w:rFonts w:ascii="Times New Roman" w:hAnsi="Times New Roman" w:cs="Times New Roman"/>
          <w:b/>
          <w:sz w:val="24"/>
          <w:szCs w:val="24"/>
        </w:rPr>
        <w:t>крепежные изделия</w:t>
      </w:r>
      <w:r w:rsidR="00FD37EB" w:rsidRPr="00FD37EB">
        <w:rPr>
          <w:rFonts w:ascii="Times New Roman" w:hAnsi="Times New Roman" w:cs="Times New Roman"/>
          <w:b/>
          <w:sz w:val="24"/>
          <w:szCs w:val="24"/>
        </w:rPr>
        <w:t xml:space="preserve"> 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="00FD37EB" w:rsidRPr="00FD37EB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lastRenderedPageBreak/>
        <w:t xml:space="preserve">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6AD3" w:rsidRPr="00676AD3">
        <w:rPr>
          <w:rFonts w:ascii="Times New Roman" w:hAnsi="Times New Roman" w:cs="Times New Roman"/>
          <w:color w:val="FF0000"/>
          <w:sz w:val="24"/>
          <w:szCs w:val="24"/>
        </w:rPr>
        <w:t>КБК: 0540801 11 2 Я5 60276 611.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>поставленных 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</w:t>
      </w:r>
      <w:r w:rsidRPr="00754117">
        <w:rPr>
          <w:rFonts w:ascii="Times New Roman" w:hAnsi="Times New Roman" w:cs="Times New Roman"/>
          <w:sz w:val="24"/>
          <w:szCs w:val="24"/>
        </w:rPr>
        <w:lastRenderedPageBreak/>
        <w:t xml:space="preserve">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rdcrjn"/>
      <w:bookmarkEnd w:id="2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3" w:name="26in1rg"/>
      <w:bookmarkEnd w:id="3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lnxbz9"/>
      <w:bookmarkEnd w:id="4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5" w:name="35nkun2"/>
      <w:bookmarkEnd w:id="5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6" w:name="1ksv4uv"/>
      <w:bookmarkEnd w:id="6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44sinio"/>
      <w:bookmarkEnd w:id="7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8" w:name="2jxsxqh"/>
      <w:bookmarkEnd w:id="8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9" w:name="3j2qqm3"/>
      <w:bookmarkEnd w:id="9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0" w:name="2xcytpi"/>
      <w:bookmarkEnd w:id="10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3whwml4"/>
      <w:bookmarkEnd w:id="11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2" w:name="2bn6wsx"/>
      <w:bookmarkEnd w:id="12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qsh70q"/>
      <w:bookmarkEnd w:id="13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as4poj"/>
      <w:bookmarkEnd w:id="14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5" w:name="1pxezwc"/>
      <w:bookmarkEnd w:id="15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49x2ik5"/>
      <w:bookmarkEnd w:id="16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6"/>
      <w:bookmarkEnd w:id="18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Start"/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</w:t>
      </w:r>
      <w:proofErr w:type="gramEnd"/>
      <w:r w:rsidRPr="00277A74">
        <w:rPr>
          <w:rFonts w:ascii="Times New Roman" w:hAnsi="Times New Roman" w:cs="Times New Roman"/>
          <w:b/>
          <w:sz w:val="24"/>
          <w:szCs w:val="24"/>
        </w:rPr>
        <w:t xml:space="preserve">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 xml:space="preserve"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</w:t>
      </w:r>
      <w:r w:rsidRPr="00DC75F4">
        <w:rPr>
          <w:rFonts w:ascii="Times New Roman" w:hAnsi="Times New Roman" w:cs="Times New Roman"/>
          <w:sz w:val="24"/>
          <w:szCs w:val="24"/>
        </w:rPr>
        <w:lastRenderedPageBreak/>
        <w:t>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 xml:space="preserve"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</w:t>
      </w:r>
      <w:r w:rsidRPr="00002E9C">
        <w:rPr>
          <w:rFonts w:ascii="Times New Roman" w:hAnsi="Times New Roman" w:cs="Times New Roman"/>
          <w:sz w:val="24"/>
          <w:szCs w:val="24"/>
        </w:rPr>
        <w:lastRenderedPageBreak/>
        <w:t>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2hioqz"/>
      <w:bookmarkEnd w:id="19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 xml:space="preserve"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</w:t>
      </w:r>
      <w:r w:rsidRPr="00FD63E4">
        <w:rPr>
          <w:rFonts w:ascii="Times New Roman" w:hAnsi="Times New Roman" w:cs="Times New Roman"/>
          <w:sz w:val="24"/>
          <w:szCs w:val="24"/>
        </w:rPr>
        <w:lastRenderedPageBreak/>
        <w:t>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E77EB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676AD3" w:rsidRPr="00B362A7" w:rsidRDefault="00676AD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b/>
                <w:i/>
                <w:sz w:val="24"/>
                <w:szCs w:val="24"/>
              </w:rPr>
              <w:t>КБК: 0540801 11 2 Я5 60276 611</w:t>
            </w:r>
            <w:r w:rsidRPr="00E34EA1">
              <w:rPr>
                <w:sz w:val="24"/>
                <w:szCs w:val="24"/>
                <w:lang w:eastAsia="ar-SA"/>
              </w:rPr>
              <w:t>.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BA5FC3" w:rsidRDefault="00BA5FC3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(техническое задание) 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200FAF">
        <w:rPr>
          <w:rFonts w:ascii="Times New Roman" w:hAnsi="Times New Roman" w:cs="Times New Roman"/>
          <w:b/>
          <w:sz w:val="24"/>
          <w:szCs w:val="24"/>
        </w:rPr>
        <w:t>крепежных изделий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200FAF">
        <w:rPr>
          <w:rFonts w:ascii="Times New Roman" w:hAnsi="Times New Roman" w:cs="Times New Roman"/>
          <w:b/>
          <w:sz w:val="24"/>
          <w:szCs w:val="24"/>
        </w:rPr>
        <w:t>78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 товара: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г. Москва, пр-т Мира, д. 119, стр. 36.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Срок поставки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момента заключения Договора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00F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включительно.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 товара: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Перечень товара, требуемого к поставке </w:t>
      </w:r>
      <w:r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и его характеристики, количество товара </w:t>
      </w:r>
      <w:r>
        <w:rPr>
          <w:rFonts w:ascii="Times New Roman" w:hAnsi="Times New Roman" w:cs="Times New Roman"/>
          <w:sz w:val="24"/>
          <w:szCs w:val="24"/>
        </w:rPr>
        <w:t xml:space="preserve">содержится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(Приложение № 1 к техническому заданию).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качеству, упаковке товара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4.1.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Поставляем</w:t>
      </w:r>
      <w:r>
        <w:rPr>
          <w:rFonts w:ascii="Times New Roman" w:hAnsi="Times New Roman" w:cs="Times New Roman"/>
          <w:sz w:val="24"/>
          <w:szCs w:val="24"/>
          <w:lang w:eastAsia="x-none"/>
        </w:rPr>
        <w:t>ый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товар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дол</w:t>
      </w:r>
      <w:r>
        <w:rPr>
          <w:rFonts w:ascii="Times New Roman" w:hAnsi="Times New Roman" w:cs="Times New Roman"/>
          <w:sz w:val="24"/>
          <w:szCs w:val="24"/>
          <w:lang w:eastAsia="x-none"/>
        </w:rPr>
        <w:t>жен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быть новым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(товаром, который не был в употреблении, в том числе который не был восстановлен, у которого не были восстановлены потребительские свойства).</w:t>
      </w:r>
    </w:p>
    <w:p w:rsidR="00200FAF" w:rsidRPr="0011356C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требованиям действующих нормативных документов, в </w:t>
      </w:r>
      <w:r w:rsidRPr="0011356C">
        <w:rPr>
          <w:rFonts w:ascii="Times New Roman" w:hAnsi="Times New Roman" w:cs="Times New Roman"/>
          <w:sz w:val="24"/>
          <w:szCs w:val="24"/>
        </w:rPr>
        <w:t xml:space="preserve">том числе </w:t>
      </w:r>
      <w:r>
        <w:rPr>
          <w:rFonts w:ascii="Times New Roman" w:hAnsi="Times New Roman" w:cs="Times New Roman"/>
          <w:sz w:val="24"/>
          <w:szCs w:val="24"/>
        </w:rPr>
        <w:t xml:space="preserve">(для </w:t>
      </w:r>
      <w:r w:rsidRPr="0011356C">
        <w:rPr>
          <w:rFonts w:ascii="Times New Roman" w:hAnsi="Times New Roman" w:cs="Times New Roman"/>
          <w:sz w:val="24"/>
          <w:szCs w:val="24"/>
        </w:rPr>
        <w:t>саморез</w:t>
      </w:r>
      <w:r>
        <w:rPr>
          <w:rFonts w:ascii="Times New Roman" w:hAnsi="Times New Roman" w:cs="Times New Roman"/>
          <w:sz w:val="24"/>
          <w:szCs w:val="24"/>
        </w:rPr>
        <w:t>ов)</w:t>
      </w:r>
      <w:r w:rsidRPr="0011356C">
        <w:rPr>
          <w:rFonts w:ascii="Times New Roman" w:hAnsi="Times New Roman" w:cs="Times New Roman"/>
          <w:sz w:val="24"/>
          <w:szCs w:val="24"/>
        </w:rPr>
        <w:t>: ГОСТ 1145-80 «Шурупы с потайной головкой. Конструкция и размеры».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  <w:lang w:eastAsia="x-none"/>
        </w:rPr>
        <w:t>Поставляемый товар должен сопровождаться сертификатами соответствия, иными необходимыми документами о качестве, в случае если это предусмотрено действующим законодательством РФ.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bookmarkStart w:id="20" w:name="_Hlk104203244"/>
      <w:r>
        <w:rPr>
          <w:rFonts w:ascii="Times New Roman" w:eastAsia="MS Mincho" w:hAnsi="Times New Roman" w:cs="Times New Roman"/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 и</w:t>
      </w:r>
      <w:r>
        <w:rPr>
          <w:rFonts w:ascii="Times New Roman" w:hAnsi="Times New Roman" w:cs="Times New Roman"/>
          <w:sz w:val="24"/>
          <w:szCs w:val="24"/>
        </w:rPr>
        <w:t xml:space="preserve"> иных жидкостей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4.5. Товар должен быть маркирован в соответствии с требованиями законодательства РФ (</w:t>
      </w:r>
      <w:r>
        <w:rPr>
          <w:rFonts w:ascii="Times New Roman" w:hAnsi="Times New Roman" w:cs="Times New Roman"/>
          <w:sz w:val="24"/>
          <w:szCs w:val="24"/>
          <w:lang w:eastAsia="x-none"/>
        </w:rPr>
        <w:t>в случае если это предусмотрено действующим законодательством РФ)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00FAF" w:rsidRDefault="00200FAF" w:rsidP="00200FA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bookmarkEnd w:id="20"/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поставке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5.1. Способ доставки товара до Заказчика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Поставщиком  самостоятельно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5.2. Поставка товара осуществляется единовременно в рабочие дни, время московское: с 10:00 до 17:00. Поставщик направляет Заказчику уведомление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товара в место доставки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7" w:history="1"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zakupki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@</w:t>
        </w:r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museikino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Поставщик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чем за 1 (один) рабочий день направляет Заказчику заявку на электронную почту </w:t>
      </w:r>
      <w:hyperlink r:id="rId8" w:history="1"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zakupki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@</w:t>
        </w:r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museikino</w:t>
        </w:r>
        <w:r>
          <w:rPr>
            <w:rStyle w:val="a7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>
          <w:rPr>
            <w:rStyle w:val="a7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В связи с тем, что место доставки расположено в зоне Особо Охраняемой Природной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Территории (ООПТ) Природно-исторический парк "Останкино" (ПИП Останкино)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Непосредственно после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безотлагательно убрать и вывезти весь мусор, который может образоваться в процессе доставки и разгрузки товара.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Расходы, связанные с транспортировкой, погрузочно-разгрузочными работами несоответствующего условиям настоящего технического задания товара, несет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FAF" w:rsidRDefault="00200FAF" w:rsidP="00200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Претензии Заказчика к качеству товара могут предъявляться в течение гарантийного срока, который составляет не менее 12 (двенадцати) месяцев с момента подписания Заказчиком документа о приемке. 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Если в течение гарантийного срока обнаружатся недостатки, то они подлежат устранению силами и средствами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указанным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третьим лицом за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Период исполнения гарантийных обязательств по устранению недостатков не может превышать 3 (трех) рабочих дней с момента получения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 уведомления от Заказчика о недостатках товара.</w:t>
      </w: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FAF" w:rsidRDefault="00200FAF" w:rsidP="00200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200FAF" w:rsidRDefault="00200FAF" w:rsidP="00200FAF">
      <w:pPr>
        <w:spacing w:after="0" w:line="240" w:lineRule="auto"/>
        <w:ind w:firstLine="567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Спецификация (Приложение № 1).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Pr="00B208E7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37EB" w:rsidRDefault="00FD37EB" w:rsidP="00BA5FC3">
      <w:pPr>
        <w:jc w:val="both"/>
        <w:rPr>
          <w:rFonts w:ascii="Times New Roman" w:hAnsi="Times New Roman" w:cs="Times New Roman"/>
          <w:sz w:val="24"/>
          <w:szCs w:val="24"/>
        </w:rPr>
        <w:sectPr w:rsidR="00FD37EB" w:rsidSect="00FD37E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техническому заданию</w:t>
      </w:r>
    </w:p>
    <w:p w:rsidR="00FD37EB" w:rsidRDefault="00FD37EB" w:rsidP="00FD37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200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крепежных изделий 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843"/>
        <w:gridCol w:w="2693"/>
        <w:gridCol w:w="3260"/>
        <w:gridCol w:w="1985"/>
        <w:gridCol w:w="1701"/>
        <w:gridCol w:w="1134"/>
      </w:tblGrid>
      <w:tr w:rsidR="00200FAF" w:rsidTr="00875CE3">
        <w:tc>
          <w:tcPr>
            <w:tcW w:w="533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843" w:type="dxa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КТРУ/</w:t>
            </w:r>
          </w:p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693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260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85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701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</w:t>
            </w:r>
          </w:p>
          <w:p w:rsidR="00200FAF" w:rsidRPr="00240AD4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измерения </w:t>
            </w:r>
          </w:p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1134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товара</w:t>
            </w:r>
          </w:p>
        </w:tc>
      </w:tr>
      <w:tr w:rsidR="00200FAF" w:rsidRPr="00D547FC" w:rsidTr="00875CE3">
        <w:trPr>
          <w:trHeight w:val="78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Изделия крепежные и винты крепежные</w:t>
            </w: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25.94.10.000-00000001</w:t>
            </w: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Саморез по дереву черный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00FAF" w:rsidRPr="00D547FC" w:rsidTr="00875CE3">
        <w:trPr>
          <w:trHeight w:val="72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Длина крепежа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2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гипсокартона</w:t>
            </w:r>
            <w:proofErr w:type="spellEnd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, дерева,  </w:t>
            </w: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гипсоволокна</w:t>
            </w:r>
            <w:proofErr w:type="spellEnd"/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2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Диаметр крепежа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Углеродистая с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таль, класс прочности не ниже 4,8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Фосфатированное</w:t>
            </w:r>
            <w:proofErr w:type="spellEnd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 (черное)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25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шлица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крестообразный</w:t>
            </w:r>
            <w:r w:rsidRPr="008B4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Форма головки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Потайная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Наконечник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Острый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154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резьбы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Частая (крупная), полная, по всему стержню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28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15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Не менее 630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0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 крепежные и винты крепежные</w:t>
            </w: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25.94.10.000-00000001</w:t>
            </w: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Саморез по дереву желтый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00FAF" w:rsidRPr="00D547FC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Длина крепежа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Для дерева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Диаметр крепежа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41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Углеродистая с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таль, класс прочности не ниже 4,8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495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Цинковое с желтой пассивацией (</w:t>
            </w: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желтопассированное</w:t>
            </w:r>
            <w:proofErr w:type="spellEnd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шлица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крестообразный</w:t>
            </w:r>
            <w:r w:rsidRPr="008B4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Форма головки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Потайная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74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Наконечник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Острый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6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резьбы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Частая (крупная), полная, по всему стержню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14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326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985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Изделия крепежные и винты крепежные</w:t>
            </w: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25.94.10.000-00000001</w:t>
            </w: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10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Саморез с </w:t>
            </w:r>
            <w:proofErr w:type="spellStart"/>
            <w:r w:rsidRPr="007810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прессшайбой</w:t>
            </w:r>
            <w:proofErr w:type="spellEnd"/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Длина крепежа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Универсальный (для дерева, металлического профиля, оконного профиля, пластика)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Диаметр крепежа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Углеродистая сталь, класс прочности не ниже 4,8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Цинковое, белое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69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Тип шлица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крестообразный</w:t>
            </w:r>
            <w:r w:rsidRPr="00781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</w:t>
            </w: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8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Форма головки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Полукруглая с напрессованной пресс-шайбой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Наконечник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Острый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315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Тип резьбы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Частая (крупная), полная, по всему стержню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2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326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519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0F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39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Подвесная пластина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25.11.23.119</w:t>
            </w: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Подвесная пластина для картин и зеркал с закрепленным </w:t>
            </w:r>
            <w:r w:rsidRPr="00253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-образным кольцом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Для подвешивания картин, зеркал среднего веса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55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Материал (пластина и кольцо)</w:t>
            </w:r>
          </w:p>
        </w:tc>
        <w:tc>
          <w:tcPr>
            <w:tcW w:w="326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9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Размеры пластины </w:t>
            </w: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 (Д х Ш х В)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32х16х2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Способ крепления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 помощью одного шурупа к рамам из дерева, пластика, МДФ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2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Покрытие (цвет)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Желтое (золото)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6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Не менее 500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690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0F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39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Подвесная пластина</w:t>
            </w: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25.11.23.119</w:t>
            </w: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Подвесная пластина для картин и зеркал с закрепленным </w:t>
            </w:r>
            <w:r w:rsidRPr="00253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-образным кольцом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00FAF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Для подвешивания картин, зеркал тяжелого веса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26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Материал (пластина и кольцо)</w:t>
            </w:r>
          </w:p>
        </w:tc>
        <w:tc>
          <w:tcPr>
            <w:tcW w:w="326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Размеры пластины</w:t>
            </w: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 (Д х Ш х В)</w:t>
            </w:r>
          </w:p>
        </w:tc>
        <w:tc>
          <w:tcPr>
            <w:tcW w:w="326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35 х 15 х 1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367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Способ крепления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 помощью двух шурупов к рамам из дерева, пластика, МДФ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32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внутренний отверстий </w:t>
            </w:r>
          </w:p>
        </w:tc>
        <w:tc>
          <w:tcPr>
            <w:tcW w:w="326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9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Покрытие (цвет)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Серый (серебро)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86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84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326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Не менее 500</w:t>
            </w:r>
          </w:p>
        </w:tc>
        <w:tc>
          <w:tcPr>
            <w:tcW w:w="1985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200FAF">
          <w:pgSz w:w="16838" w:h="11906" w:orient="landscape"/>
          <w:pgMar w:top="1135" w:right="1134" w:bottom="1843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P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200FAF">
        <w:rPr>
          <w:rFonts w:ascii="Times New Roman" w:hAnsi="Times New Roman" w:cs="Times New Roman"/>
          <w:b/>
          <w:sz w:val="24"/>
          <w:szCs w:val="24"/>
        </w:rPr>
        <w:t>крепежных изделий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для организации и проведению выставки «Путем кинопленки: история страны через историю российского кинематогра</w:t>
      </w:r>
      <w:bookmarkStart w:id="21" w:name="_GoBack"/>
      <w:bookmarkEnd w:id="21"/>
      <w:r w:rsidRPr="00FD37EB">
        <w:rPr>
          <w:rFonts w:ascii="Times New Roman" w:hAnsi="Times New Roman" w:cs="Times New Roman"/>
          <w:b/>
          <w:sz w:val="24"/>
          <w:szCs w:val="24"/>
        </w:rPr>
        <w:t>фа» на основании Приказа от 19.05.2026 № 190-ОД «О проведении выставки»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200FAF">
        <w:rPr>
          <w:rFonts w:ascii="Times New Roman" w:hAnsi="Times New Roman" w:cs="Times New Roman"/>
          <w:b/>
          <w:sz w:val="24"/>
          <w:szCs w:val="24"/>
        </w:rPr>
        <w:t>78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3"/>
        <w:gridCol w:w="1169"/>
        <w:gridCol w:w="1134"/>
        <w:gridCol w:w="1984"/>
        <w:gridCol w:w="2410"/>
        <w:gridCol w:w="1559"/>
        <w:gridCol w:w="1701"/>
        <w:gridCol w:w="1134"/>
        <w:gridCol w:w="1418"/>
        <w:gridCol w:w="1701"/>
      </w:tblGrid>
      <w:tr w:rsidR="00200FAF" w:rsidTr="00875CE3">
        <w:tc>
          <w:tcPr>
            <w:tcW w:w="533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9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134" w:type="dxa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КТРУ/</w:t>
            </w:r>
          </w:p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1984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0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59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701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</w:t>
            </w:r>
          </w:p>
          <w:p w:rsidR="00200FAF" w:rsidRPr="00240AD4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измерения </w:t>
            </w:r>
          </w:p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1134" w:type="dxa"/>
            <w:vAlign w:val="center"/>
          </w:tcPr>
          <w:p w:rsidR="00200FAF" w:rsidRPr="00240AD4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A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товара</w:t>
            </w:r>
          </w:p>
        </w:tc>
        <w:tc>
          <w:tcPr>
            <w:tcW w:w="1418" w:type="dxa"/>
          </w:tcPr>
          <w:p w:rsidR="00200FAF" w:rsidRPr="00240AD4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за ед., руб.</w:t>
            </w:r>
          </w:p>
        </w:tc>
        <w:tc>
          <w:tcPr>
            <w:tcW w:w="1701" w:type="dxa"/>
          </w:tcPr>
          <w:p w:rsidR="00200FAF" w:rsidRPr="00240AD4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200FAF" w:rsidRPr="00D547FC" w:rsidTr="00875CE3">
        <w:trPr>
          <w:trHeight w:val="78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Изделия крепежные и винты крепежные</w:t>
            </w: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25.94.10.000-00000001</w:t>
            </w: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Саморез по дереву черный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00FAF" w:rsidRPr="00D547FC" w:rsidTr="00875CE3">
        <w:trPr>
          <w:trHeight w:val="72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Длина крепежа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2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гипсокартона</w:t>
            </w:r>
            <w:proofErr w:type="spellEnd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, дерева,  </w:t>
            </w: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гипсоволокна</w:t>
            </w:r>
            <w:proofErr w:type="spellEnd"/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2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Диаметр крепежа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Углеродистая с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таль, класс прочности не ниже 4,8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Фосфатированное</w:t>
            </w:r>
            <w:proofErr w:type="spellEnd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 (черное)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25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шлица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крестообразный</w:t>
            </w:r>
            <w:r w:rsidRPr="008B4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Форма головки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Потайная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Наконечник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Острый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154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резьбы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Частая (крупная), полная, по всему стержню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228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150"/>
        </w:trPr>
        <w:tc>
          <w:tcPr>
            <w:tcW w:w="533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Не менее 630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70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 крепежные и винты крепежные</w:t>
            </w: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25.94.10.000-00000001</w:t>
            </w: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Саморез по дереву желтый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00FAF" w:rsidRPr="00D547FC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Длина крепежа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RPr="00D547FC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Для дерева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200FAF" w:rsidRPr="00D547F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00FAF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Диаметр крепежа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41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Углеродистая с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таль, класс прочности не ниже 4,8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495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Цинковое с желтой пассивацией (</w:t>
            </w:r>
            <w:proofErr w:type="spellStart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желтопассированное</w:t>
            </w:r>
            <w:proofErr w:type="spellEnd"/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3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шлица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крестообразный</w:t>
            </w:r>
            <w:r w:rsidRPr="008B4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</w:t>
            </w: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Форма головки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Потайная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74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Наконечник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Острый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6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Тип резьбы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Частая (крупная), полная, по всему стержню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14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410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559" w:type="dxa"/>
          </w:tcPr>
          <w:p w:rsidR="00200FAF" w:rsidRPr="008B4F5E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F5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0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BE7065" w:rsidRDefault="00200FAF" w:rsidP="00875C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Изделия крепежные и винты крепежные</w:t>
            </w: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C172C4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C4">
              <w:rPr>
                <w:rFonts w:ascii="Times New Roman" w:hAnsi="Times New Roman" w:cs="Times New Roman"/>
                <w:sz w:val="20"/>
                <w:szCs w:val="20"/>
              </w:rPr>
              <w:t>25.94.10.000-00000001</w:t>
            </w: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10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Саморез с </w:t>
            </w:r>
            <w:proofErr w:type="spellStart"/>
            <w:r w:rsidRPr="007810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прессшайбой</w:t>
            </w:r>
            <w:proofErr w:type="spellEnd"/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Длина крепежа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Универсальный (для дерева, металлического профиля, оконного профиля, пластика)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Диаметр крепежа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Углеродистая сталь, класс прочности не ниже 4,8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4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Цинковое, белое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269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Тип шлица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крестообразный</w:t>
            </w:r>
            <w:r w:rsidRPr="00781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</w:t>
            </w: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8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Форма головки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Полукруглая с напрессованной пресс-шайбой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Наконечник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Острый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315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Тип резьбы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Частая (крупная), полная, по всему стержню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126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70"/>
        </w:trPr>
        <w:tc>
          <w:tcPr>
            <w:tcW w:w="533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200FAF" w:rsidRPr="00BE7065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410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00FAF" w:rsidRPr="00781081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8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00FAF" w:rsidTr="00875CE3">
        <w:trPr>
          <w:trHeight w:val="519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0F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39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Подвесная пластина</w:t>
            </w: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25.11.23.119</w:t>
            </w: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Подвесная пластина для картин и зеркал с закрепленным </w:t>
            </w:r>
            <w:r w:rsidRPr="00253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-образным кольцом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Для подвешивания картин, зеркал среднего веса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55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Материал (пластина и кольцо)</w:t>
            </w:r>
          </w:p>
        </w:tc>
        <w:tc>
          <w:tcPr>
            <w:tcW w:w="241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9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Размеры пластины </w:t>
            </w: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 (Д х Ш х В)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32х16х2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02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Способ крепления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 помощью одного шурупа к рамам из дерева, пластика, МДФ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2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Покрытие (цвет)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Желтое (золото)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60"/>
        </w:trPr>
        <w:tc>
          <w:tcPr>
            <w:tcW w:w="533" w:type="dxa"/>
            <w:vMerge/>
            <w:vAlign w:val="center"/>
          </w:tcPr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Не менее 500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690"/>
        </w:trPr>
        <w:tc>
          <w:tcPr>
            <w:tcW w:w="533" w:type="dxa"/>
            <w:vMerge w:val="restart"/>
            <w:vAlign w:val="center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0F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D50F6C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39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Подвесная пластина</w:t>
            </w: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25.11.23.119</w:t>
            </w: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Подвесная пластина для картин и зеркал с закрепленным </w:t>
            </w:r>
            <w:r w:rsidRPr="00253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-образным кольцом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  <w:vMerge w:val="restart"/>
            <w:vAlign w:val="center"/>
          </w:tcPr>
          <w:p w:rsidR="00200FAF" w:rsidRPr="00BE7065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0FAF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Для подвешивания картин, зеркал тяжелого веса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26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Материал (пластина и кольцо)</w:t>
            </w:r>
          </w:p>
        </w:tc>
        <w:tc>
          <w:tcPr>
            <w:tcW w:w="241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21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Размеры пластины</w:t>
            </w: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 xml:space="preserve"> (Д х Ш х В)</w:t>
            </w:r>
          </w:p>
        </w:tc>
        <w:tc>
          <w:tcPr>
            <w:tcW w:w="241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35 х 15 х 1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367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Способ крепления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 помощью двух шурупов к рамам из дерева, пластика, МДФ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32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Диаметр внутренний отверстий </w:t>
            </w:r>
          </w:p>
        </w:tc>
        <w:tc>
          <w:tcPr>
            <w:tcW w:w="2410" w:type="dxa"/>
          </w:tcPr>
          <w:p w:rsidR="00200FA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90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Покрытие (цвет)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Серый (серебро)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86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FAF" w:rsidTr="00875CE3">
        <w:trPr>
          <w:trHeight w:val="184"/>
        </w:trPr>
        <w:tc>
          <w:tcPr>
            <w:tcW w:w="533" w:type="dxa"/>
            <w:vMerge/>
            <w:vAlign w:val="center"/>
          </w:tcPr>
          <w:p w:rsidR="00200FAF" w:rsidRPr="00541C7E" w:rsidRDefault="00200FAF" w:rsidP="00875CE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9" w:type="dxa"/>
            <w:vMerge/>
            <w:vAlign w:val="center"/>
          </w:tcPr>
          <w:p w:rsidR="00200FAF" w:rsidRPr="0025391F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410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Не менее 500</w:t>
            </w:r>
          </w:p>
        </w:tc>
        <w:tc>
          <w:tcPr>
            <w:tcW w:w="1559" w:type="dxa"/>
          </w:tcPr>
          <w:p w:rsidR="00200FAF" w:rsidRPr="0025391F" w:rsidRDefault="00200FAF" w:rsidP="0087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1F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701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0FAF" w:rsidRPr="0058443D" w:rsidRDefault="00200FAF" w:rsidP="00875C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76AD3" w:rsidRPr="00676AD3" w:rsidRDefault="00676AD3" w:rsidP="00676AD3">
      <w:pPr>
        <w:widowControl w:val="0"/>
        <w:spacing w:after="0" w:line="240" w:lineRule="auto"/>
        <w:ind w:left="10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FD37EB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D37EB" w:rsidP="00FD37EB">
      <w:pPr>
        <w:tabs>
          <w:tab w:val="left" w:pos="10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F41333">
        <w:rPr>
          <w:rFonts w:ascii="Times New Roman" w:eastAsia="Calibri" w:hAnsi="Times New Roman" w:cs="Times New Roman"/>
          <w:sz w:val="24"/>
          <w:szCs w:val="24"/>
        </w:rPr>
        <w:t>3</w:t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676AD3">
        <w:rPr>
          <w:rFonts w:ascii="Times New Roman" w:hAnsi="Times New Roman" w:cs="Times New Roman"/>
          <w:b/>
          <w:i/>
          <w:color w:val="FF0000"/>
          <w:sz w:val="24"/>
          <w:szCs w:val="24"/>
        </w:rPr>
        <w:t>КБК: 0540801 11 2 Я5 60276 611</w:t>
      </w:r>
    </w:p>
    <w:p w:rsidR="00F41333" w:rsidRPr="004248C2" w:rsidRDefault="00F41333" w:rsidP="00F413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9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2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2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200FAF"/>
    <w:rsid w:val="002A09CC"/>
    <w:rsid w:val="0034639F"/>
    <w:rsid w:val="004E77EB"/>
    <w:rsid w:val="00574F02"/>
    <w:rsid w:val="005B0976"/>
    <w:rsid w:val="00676AD3"/>
    <w:rsid w:val="00873626"/>
    <w:rsid w:val="00936819"/>
    <w:rsid w:val="00B0294D"/>
    <w:rsid w:val="00BA5FC3"/>
    <w:rsid w:val="00CB16DA"/>
    <w:rsid w:val="00DB432D"/>
    <w:rsid w:val="00F41333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0C0E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aliases w:val="%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museik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3C347F9A3FDCEBCE44C67E26B7A2F5BB190F954BA0A3AB1831AD223695E9A2C4CB8DFCB37736453DE64C3Y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FC1A-CAE5-49C8-8DD2-9EACF6CE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8241</Words>
  <Characters>46976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5</cp:revision>
  <dcterms:created xsi:type="dcterms:W3CDTF">2026-06-22T07:54:00Z</dcterms:created>
  <dcterms:modified xsi:type="dcterms:W3CDTF">2026-06-30T12:23:00Z</dcterms:modified>
</cp:coreProperties>
</file>