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after="0" w:before="0"/>
        <w:ind w:left="58"/>
        <w:jc w:val="center"/>
        <w:outlineLvl w:val="0"/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 xml:space="preserve">ЛИЦЕНЗИОННЫЙ/СУБЛИЦЕНЗИОННЫЙ КОНТРАКТ № ___</w:t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after="0" w:before="0"/>
        <w:ind w:left="67"/>
        <w:jc w:val="center"/>
        <w:outlineLvl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pacing w:val="-1"/>
          <w:sz w:val="22"/>
          <w:szCs w:val="22"/>
        </w:rPr>
        <w:t xml:space="preserve">на приобретение неисключительных прав</w:t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Bdr/>
        <w:shd w:val="clear" w:color="auto" w:fill="ffffff"/>
        <w:spacing w:after="0" w:before="0"/>
        <w:ind w:left="62"/>
        <w:jc w:val="center"/>
        <w:outlineLvl w:val="0"/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pPr>
      <w:r>
        <w:rPr>
          <w:rFonts w:ascii="Times New Roman" w:hAnsi="Times New Roman"/>
          <w:bCs/>
          <w:color w:val="000000"/>
          <w:spacing w:val="-1"/>
          <w:sz w:val="22"/>
          <w:szCs w:val="22"/>
        </w:rPr>
        <w:t xml:space="preserve">на использование программного обеспечения</w:t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after="0" w:before="0"/>
        <w:ind w:left="62"/>
        <w:jc w:val="center"/>
        <w:outlineLvl w:val="0"/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after="0" w:before="0"/>
        <w:ind w:left="62"/>
        <w:jc w:val="center"/>
        <w:outlineLvl w:val="0"/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after="0" w:before="0"/>
        <w:ind w:left="62"/>
        <w:jc w:val="center"/>
        <w:outlineLvl w:val="0"/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after="0" w:before="0"/>
        <w:ind w:left="62"/>
        <w:jc w:val="left"/>
        <w:outlineLvl w:val="0"/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pPr>
      <w:r/>
      <w:sdt>
        <w:sdtPr>
          <w:alias w:val="{%&lt;Наша организация.Адрес.Город&gt;%}"/>
          <w15:appearance w15:val="boundingBox"/>
          <w:id w:val="602539610"/>
          <w:tag w:val="tensor_te_exp:7b253cd09dd0b0d188d0b020d0bed180d0b3d0b0d0bdd0b8d0b7d0b0d186d0b8d18f2ed090d0b4d180d0b5d1812ed093d0bed180d0bed0b43e257d"/>
          <w:rPr>
            <w:rFonts w:ascii="Times New Roman" w:hAnsi="Times New Roman"/>
            <w:sz w:val="22"/>
          </w:rPr>
        </w:sdtPr>
        <w:sdtContent>
          <w:r>
            <w:rPr>
              <w:rFonts w:ascii="Times New Roman" w:hAnsi="Times New Roman"/>
              <w:color w:val="auto"/>
              <w:sz w:val="22"/>
              <w:szCs w:val="22"/>
            </w:rPr>
            <w:t xml:space="preserve">г. Хабаровск</w:t>
          </w:r>
        </w:sdtContent>
      </w:sdt>
      <w:r>
        <w:rPr>
          <w:rFonts w:ascii="Times New Roman" w:hAnsi="Times New Roman"/>
          <w:color w:val="auto"/>
          <w:sz w:val="22"/>
          <w:szCs w:val="22"/>
        </w:rPr>
        <w:t xml:space="preserve"> </w:t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ab/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ab/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ab/>
        <w:t xml:space="preserve">   </w:t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ab/>
        <w:t xml:space="preserve">                                                                                          «__»_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___2026 г.</w:t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</w:r>
    </w:p>
    <w:p>
      <w:pPr>
        <w:pBdr/>
        <w:spacing/>
        <w:ind w:firstLine="54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России), именуемое в дальнейшем </w:t>
      </w:r>
      <w:r>
        <w:rPr>
          <w:rFonts w:ascii="Times New Roman" w:hAnsi="Times New Roman"/>
          <w:b/>
          <w:color w:val="000000" w:themeColor="text1"/>
          <w:sz w:val="22"/>
          <w:szCs w:val="22"/>
        </w:rPr>
        <w:t xml:space="preserve">«</w:t>
      </w:r>
      <w:r>
        <w:rPr>
          <w:rFonts w:ascii="Times New Roman" w:hAnsi="Times New Roman"/>
          <w:b/>
          <w:color w:val="000000" w:themeColor="text1"/>
          <w:spacing w:val="-1"/>
          <w:sz w:val="22"/>
          <w:szCs w:val="22"/>
        </w:rPr>
        <w:t xml:space="preserve">Лицензиат/Сублицензиат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», в лице _________________________, действующего на основании ________, с одной стороны и ___________, именуемое в дальнейшем «</w:t>
      </w:r>
      <w:r>
        <w:rPr>
          <w:rFonts w:ascii="Times New Roman" w:hAnsi="Times New Roman"/>
          <w:b/>
          <w:color w:val="000000" w:themeColor="text1"/>
          <w:spacing w:val="-1"/>
          <w:sz w:val="22"/>
          <w:szCs w:val="22"/>
        </w:rPr>
        <w:t xml:space="preserve">Лицензиар/Сублицензиар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», в лице _______________, действующего на основании ___________, с другой стороны, совместно именуемые «Стороны» с соблюдением требований Гражданско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го кодекса Российской Федерации, п. 4 ч. 1 ст. 93 Федерального закона от 5 апреля 2013 г. № 44- 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ИКЗ: </w:t>
      </w:r>
      <w:hyperlink r:id="rId10" w:tooltip="https://zakupki.gov.ru/epz/orderplan/pg2020/specialPurchase/special-purchase-info.html?plan-number=202603221000038001&amp;position-number=202603221000038001000001&amp;version=0" w:history="1">
        <w:r>
          <w:rPr>
            <w:rStyle w:val="1009"/>
            <w:rFonts w:ascii="Times New Roman" w:hAnsi="Times New Roman"/>
            <w:color w:val="000000" w:themeColor="text1"/>
            <w:sz w:val="22"/>
            <w:szCs w:val="22"/>
            <w:highlight w:val="white"/>
            <w:u w:val="none"/>
          </w:rPr>
          <w:t xml:space="preserve">261272102089627210100100160000000244</w:t>
        </w:r>
      </w:hyperlink>
      <w:r>
        <w:rPr>
          <w:rFonts w:ascii="Times New Roman" w:hAnsi="Times New Roman"/>
          <w:color w:val="000000" w:themeColor="text1"/>
          <w:sz w:val="22"/>
          <w:szCs w:val="22"/>
        </w:rPr>
        <w:t xml:space="preserve">, заключили настоящий Контракт (далее - Контракт) о нижеследующем: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/>
        <w:rPr>
          <w:rFonts w:cs="Tahoma"/>
          <w:b/>
          <w:color w:val="auto"/>
          <w:sz w:val="22"/>
          <w:szCs w:val="22"/>
        </w:rPr>
      </w:pPr>
      <w:r>
        <w:rPr>
          <w:rFonts w:cs="Tahoma"/>
          <w:b/>
          <w:color w:val="auto"/>
          <w:sz w:val="22"/>
          <w:szCs w:val="22"/>
        </w:rPr>
      </w:r>
      <w:r>
        <w:rPr>
          <w:rFonts w:cs="Tahoma"/>
          <w:b/>
          <w:color w:val="auto"/>
          <w:sz w:val="22"/>
          <w:szCs w:val="22"/>
        </w:rPr>
      </w:r>
    </w:p>
    <w:p>
      <w:pPr>
        <w:pBdr/>
        <w:spacing w:after="0" w:before="0"/>
        <w:ind/>
        <w:jc w:val="center"/>
        <w:rPr>
          <w:rFonts w:ascii="Times New Roman" w:hAnsi="Times New Roman"/>
          <w:b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 xml:space="preserve">1. Предмет контракта </w:t>
      </w:r>
      <w:r>
        <w:rPr>
          <w:rFonts w:ascii="Times New Roman" w:hAnsi="Times New Roman"/>
          <w:b/>
          <w:color w:val="auto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1.1. В рамках настоящего Контракта Лицензиар/Сублицензиар обязуется предоставить Лицензиату/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/>
          <w:sz w:val="22"/>
          <w:szCs w:val="22"/>
        </w:rPr>
        <w:t xml:space="preserve"> неисключительное право н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а использование программного обеспечения ______________________________согласно Спецификации (Приложение № 1 к Контракту) и Технической части (Приложение № 2 к Контракту), на территории Лицензиата/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1.2. По настоящему контракту Лицензиар/Сублицензиар обязуется передать, а Лицензиату/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принять и оплатить простую (неисключительную) лицензию использования программного обеспечения в следующей конфигурации: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- Право использования ________________ - 1 шт;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- право использования _________________- 1 шт.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- право использования _________________- 1 шт.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- право использования_________________ - 1 шт.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Функциональные возможности прав описаны на официальном сайте Лицензиара/Сублицензиара программного обеспечения ________________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1.3. Исключительные имущественные права на программное обеспечение принадлежат _____________ на основании _______________.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 w:right="19" w:firstLine="567" w:left="1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1.4. </w:t>
      </w:r>
      <w:r>
        <w:rPr>
          <w:rFonts w:ascii="Times New Roman" w:hAnsi="Times New Roman"/>
          <w:color w:val="000000"/>
          <w:sz w:val="22"/>
          <w:szCs w:val="22"/>
        </w:rPr>
        <w:t xml:space="preserve">Программное обеспечение ____________________включено в Единый реестр российских программ для ЭВМ и БД под регистрационным номером ___________________.</w:t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Bdr/>
        <w:spacing w:after="0" w:before="0"/>
        <w:ind w:right="19" w:firstLine="567" w:left="1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lang w:bidi="ru-RU"/>
        </w:rPr>
        <w:t xml:space="preserve">1.5. </w:t>
      </w:r>
      <w:r>
        <w:rPr>
          <w:rFonts w:ascii="Times New Roman" w:hAnsi="Times New Roman"/>
          <w:color w:val="000000"/>
          <w:sz w:val="22"/>
          <w:szCs w:val="22"/>
        </w:rPr>
        <w:t xml:space="preserve">Срок использования права (срок действия неисключительных прав): 12 месяцев с момента предоставления лицензии.</w:t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Bdr/>
        <w:spacing w:after="0" w:before="0"/>
        <w:ind w:right="19" w:left="10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</w:r>
      <w:r>
        <w:rPr>
          <w:rFonts w:ascii="Times New Roman" w:hAnsi="Times New Roman"/>
          <w:b/>
          <w:color w:val="000000"/>
          <w:sz w:val="22"/>
          <w:szCs w:val="22"/>
        </w:rPr>
      </w:r>
    </w:p>
    <w:p>
      <w:pPr>
        <w:pBdr/>
        <w:spacing w:after="0" w:before="0"/>
        <w:ind w:right="19" w:left="10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2. Права и обязанности сторон</w:t>
      </w:r>
      <w:r>
        <w:rPr>
          <w:rFonts w:ascii="Times New Roman" w:hAnsi="Times New Roman"/>
          <w:b/>
          <w:color w:val="000000"/>
          <w:sz w:val="22"/>
          <w:szCs w:val="22"/>
        </w:rPr>
      </w:r>
    </w:p>
    <w:p>
      <w:pPr>
        <w:pBdr/>
        <w:shd w:val="clear" w:color="auto" w:fill="ffffff"/>
        <w:tabs>
          <w:tab w:val="left" w:leader="none" w:pos="283"/>
          <w:tab w:val="left" w:leader="none" w:pos="850"/>
        </w:tabs>
        <w:spacing w:after="0" w:before="0"/>
        <w:ind w:firstLine="567"/>
        <w:rPr>
          <w:rFonts w:ascii="Times New Roman" w:hAnsi="Times New Roman"/>
          <w:color w:val="000000"/>
          <w:spacing w:val="-2"/>
          <w:sz w:val="22"/>
          <w:szCs w:val="22"/>
        </w:rPr>
      </w:pPr>
      <w:r>
        <w:rPr>
          <w:rFonts w:ascii="Times New Roman" w:hAnsi="Times New Roman"/>
          <w:color w:val="000000"/>
          <w:spacing w:val="-11"/>
          <w:sz w:val="22"/>
          <w:szCs w:val="22"/>
        </w:rPr>
        <w:t xml:space="preserve">2.1.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Лицензиар/Сублицензиар</w:t>
      </w:r>
      <w:r>
        <w:rPr>
          <w:rFonts w:ascii="Times New Roman" w:hAnsi="Times New Roman"/>
          <w:color w:val="000000"/>
          <w:spacing w:val="-2"/>
          <w:sz w:val="22"/>
          <w:szCs w:val="22"/>
        </w:rPr>
        <w:t xml:space="preserve"> обязан:</w:t>
      </w:r>
      <w:r>
        <w:rPr>
          <w:rFonts w:ascii="Times New Roman" w:hAnsi="Times New Roman"/>
          <w:color w:val="000000"/>
          <w:spacing w:val="-2"/>
          <w:sz w:val="22"/>
          <w:szCs w:val="22"/>
        </w:rPr>
      </w:r>
    </w:p>
    <w:p>
      <w:pPr>
        <w:pBdr/>
        <w:spacing w:after="0" w:before="0"/>
        <w:ind w:right="19" w:firstLine="567" w:left="1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2.1.1 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Передать права Лицензиату</w:t>
      </w:r>
      <w:r>
        <w:rPr>
          <w:rFonts w:ascii="Times New Roman" w:hAnsi="Times New Roman"/>
          <w:sz w:val="22"/>
          <w:szCs w:val="22"/>
        </w:rPr>
        <w:t xml:space="preserve">/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Сублицензиату в течение 5 (пяти) рабочих дней с даты подписания настоящего Контракта </w:t>
      </w:r>
      <w:r>
        <w:rPr>
          <w:rFonts w:ascii="Times New Roman" w:hAnsi="Times New Roman"/>
          <w:color w:val="auto"/>
          <w:spacing w:val="-1"/>
          <w:sz w:val="22"/>
          <w:szCs w:val="22"/>
        </w:rPr>
        <w:t xml:space="preserve">Сторонами;</w:t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Bdr/>
        <w:shd w:val="clear" w:color="auto" w:fill="ffffff"/>
        <w:tabs>
          <w:tab w:val="left" w:leader="none" w:pos="1066"/>
        </w:tabs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auto"/>
          <w:spacing w:val="-1"/>
          <w:sz w:val="22"/>
          <w:szCs w:val="22"/>
        </w:rPr>
        <w:t xml:space="preserve">2.1.2. Н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е совершать действия, противоречащие условиям настоящего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 Контракта и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наносящие ущерб Лицензиату/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Сублицензиату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;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1066"/>
        </w:tabs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2.1.3. Соответствовать требованиям ч.1 ст.31 Федеральный закон № 44-ФЗ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1066"/>
        </w:tabs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2.1.4. Оказать 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Лицензиату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Сублицензиату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консультационную помощь на программное обеспечение.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1066"/>
        </w:tabs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2.1.5. Воздерживаться от каких-либо действий, способных затруднить осуществление Лицензиатом/Сублицензиатом предоставленного ему права использования программного обеспечения в установленных настоящим Контрактом пределах.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1066"/>
        </w:tabs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2.1.6. Своевременно предоставлять достоверную информацию о ходе испол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Лицензиату/Сублицензиату результаты исполнения обязательств, предусмотренных государственным контрактом.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1066"/>
        </w:tabs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2.1.7 Предоставить неисключительное право на 12 (двенадцать) месяцев.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283"/>
        </w:tabs>
        <w:spacing w:after="0" w:before="0"/>
        <w:ind w:firstLine="567"/>
        <w:rPr>
          <w:rFonts w:ascii="Times New Roman" w:hAnsi="Times New Roman"/>
          <w:color w:val="000000" w:themeColor="text1"/>
          <w:spacing w:val="-2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2.2.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Лицензиар/Сублицензиар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 вправе: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</w:r>
    </w:p>
    <w:p>
      <w:pPr>
        <w:pBdr/>
        <w:shd w:val="clear" w:color="auto" w:fill="ffffff"/>
        <w:tabs>
          <w:tab w:val="left" w:leader="none" w:pos="283"/>
        </w:tabs>
        <w:spacing w:after="0" w:before="0"/>
        <w:ind w:firstLine="567"/>
        <w:rPr>
          <w:rFonts w:ascii="Times New Roman" w:hAnsi="Times New Roman"/>
          <w:color w:val="000000" w:themeColor="text1"/>
          <w:spacing w:val="-2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2.2.1. Требовать своевременной оплаты за исполненные обязательства.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</w:r>
    </w:p>
    <w:p>
      <w:pPr>
        <w:pBdr/>
        <w:shd w:val="clear" w:color="auto" w:fill="ffffff"/>
        <w:tabs>
          <w:tab w:val="left" w:leader="none" w:pos="283"/>
          <w:tab w:val="left" w:leader="none" w:pos="850"/>
        </w:tabs>
        <w:spacing w:after="0" w:before="0"/>
        <w:ind w:firstLine="567"/>
        <w:rPr>
          <w:rFonts w:ascii="Times New Roman" w:hAnsi="Times New Roman"/>
          <w:color w:val="000000" w:themeColor="text1"/>
          <w:spacing w:val="-2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11"/>
          <w:sz w:val="22"/>
          <w:szCs w:val="22"/>
        </w:rPr>
        <w:t xml:space="preserve">2.3.</w:t>
      </w:r>
      <w:r>
        <w:rPr>
          <w:rFonts w:ascii="Times New Roman" w:hAnsi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 обязан: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</w:r>
    </w:p>
    <w:p>
      <w:pPr>
        <w:pBdr/>
        <w:shd w:val="clear" w:color="auto" w:fill="ffffff"/>
        <w:tabs>
          <w:tab w:val="left" w:leader="none" w:pos="874"/>
        </w:tabs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2.3.1. Подписать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Акт на передачу неисключительных (пользовательских) прав на программное обеспечение (Приложение № 3)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 в 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течение 10 (десяти) дней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по факту передачи неисключительных прав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. В 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случае неполучения Лицензиаром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/Сублицензиаром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 подписанного экземпляра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Акта на передачу неисключительных (пользовательских) прав на программное обеспечение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 в течение 10 (десяти) дней с даты его оформления,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Акт на передачу неисключительных (пользовательских) прав на программное обеспечение (Приложение № 3)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 считается подписанным Сторонами, а неисключительные права на программное обеспечение переданными.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2.3.2. Произвести оплату Лицензиару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/Сублицензиару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 в порядке и размерах, предусмотренных настоящим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Контрактом;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2.3.3. Осуществлять информационное взаимодействие с 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Лицензиаром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/Сублицензиаром по вопросам, возникающим в ходе приемки исполненных обязательств.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2.3.4. Проводить экспертизу и проверку исполненных обязательств. В случае необходимости по результатам экспертизы составлять акт с указанием причин отказа от принятия результатов исполненных обязательств.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567"/>
        <w:rPr>
          <w:rFonts w:ascii="Times New Roman" w:hAnsi="Times New Roman"/>
          <w:color w:val="000000" w:themeColor="text1"/>
          <w:spacing w:val="-2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2.4. 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 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вправе: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2.4.1.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Требовать надлежащего исполнения обязательств 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Лицензиаром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/Сублицензиаром по Контракту.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2.4.2. В любое время проверять ход исполнения обязательств и потребовать от 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Лицензиара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/Сублицензиара отчет о ходе исполнения Контракта.  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2.4.3. Сублицензиат вправе задержать оплату исполненных обязательств Исполнителю, в случае: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567"/>
        <w:rPr>
          <w:rFonts w:ascii="Times New Roman" w:hAnsi="Times New Roman"/>
          <w:color w:val="000000" w:themeColor="text1"/>
          <w:spacing w:val="-2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- не устранения ранее указанных недостатков исполне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нных обстоятельств, представленных к оплате.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</w:r>
    </w:p>
    <w:p>
      <w:pPr>
        <w:pStyle w:val="998"/>
        <w:pBdr/>
        <w:spacing w:after="0" w:before="0"/>
        <w:ind w:left="0"/>
        <w:rPr>
          <w:rFonts w:eastAsia="Tahoma" w:cs="Tahoma"/>
          <w:b/>
          <w:color w:val="auto"/>
          <w:sz w:val="22"/>
          <w:szCs w:val="22"/>
        </w:rPr>
      </w:pPr>
      <w:r>
        <w:rPr>
          <w:rFonts w:eastAsia="Tahoma" w:cs="Tahoma"/>
          <w:b/>
          <w:color w:val="auto"/>
          <w:sz w:val="22"/>
          <w:szCs w:val="22"/>
        </w:rPr>
      </w:r>
      <w:r>
        <w:rPr>
          <w:rFonts w:eastAsia="Tahoma" w:cs="Tahoma"/>
          <w:b/>
          <w:color w:val="auto"/>
          <w:sz w:val="22"/>
          <w:szCs w:val="22"/>
        </w:rPr>
      </w:r>
    </w:p>
    <w:p>
      <w:pPr>
        <w:pBdr/>
        <w:spacing w:after="0" w:before="0"/>
        <w:ind/>
        <w:jc w:val="center"/>
        <w:rPr>
          <w:rFonts w:ascii="Times New Roman" w:hAnsi="Times New Roman"/>
          <w:b/>
          <w:color w:val="000000" w:themeColor="text1"/>
          <w:spacing w:val="-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pacing w:val="-1"/>
          <w:sz w:val="22"/>
          <w:szCs w:val="22"/>
        </w:rPr>
        <w:t xml:space="preserve">3. Платежи и порядок расчетов </w:t>
      </w:r>
      <w:r>
        <w:rPr>
          <w:rFonts w:ascii="Times New Roman" w:hAnsi="Times New Roman"/>
          <w:b/>
          <w:color w:val="000000" w:themeColor="text1"/>
          <w:spacing w:val="-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3.1.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Цена Контракта (стоимость неисключительных прав) составляет _____________(_____) рублей (цифрами и прописью) _____ копеек, в том числе НДС  _____ (_____) рублей _____ копеек / либо НДС не облагается.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3.2.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Оплата по настоящему Контракту производится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по безналичному расчету в течение 10 (десяти) рабочих дней по факту передачи неисключительных прав на основании подписанного Сторонами Акта передачи неисключительных (пользовательских) прав на программное обеспечение (Приложение № 3), выставленного счета. 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tabs>
          <w:tab w:val="left" w:leader="none" w:pos="893"/>
        </w:tabs>
        <w:spacing w:after="0" w:before="0"/>
        <w:ind w:right="14" w:firstLine="567" w:left="24"/>
        <w:rPr>
          <w:rFonts w:ascii="Times New Roman" w:hAnsi="Times New Roman"/>
          <w:color w:val="000000" w:themeColor="text1"/>
          <w:spacing w:val="-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3.3. Днём оплаты признаётся день зачисления денежных средств на расчетный счет Лицензиара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/Сублицензиара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.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</w:r>
    </w:p>
    <w:p>
      <w:pPr>
        <w:pBdr/>
        <w:tabs>
          <w:tab w:val="left" w:leader="none" w:pos="893"/>
        </w:tabs>
        <w:spacing w:after="0" w:before="0"/>
        <w:ind w:right="14" w:firstLine="567" w:left="24"/>
        <w:rPr>
          <w:rFonts w:ascii="Times New Roman" w:hAnsi="Times New Roman"/>
          <w:color w:val="000000" w:themeColor="text1"/>
          <w:spacing w:val="-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3.4. Источник финансирования: средства бюджетного учреждения.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</w:r>
    </w:p>
    <w:p>
      <w:pPr>
        <w:pBdr/>
        <w:tabs>
          <w:tab w:val="left" w:leader="none" w:pos="893"/>
        </w:tabs>
        <w:spacing w:after="0" w:before="0"/>
        <w:ind w:right="14" w:firstLine="567" w:left="24"/>
        <w:rPr>
          <w:rFonts w:ascii="Times New Roman" w:hAnsi="Times New Roman"/>
          <w:color w:val="000000" w:themeColor="text1"/>
          <w:spacing w:val="-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3.5. Валютой для установления цены Контракта и расчетов с Лицензиаром/Сублицензиаром является рубль Российской Федерации.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</w:r>
    </w:p>
    <w:p>
      <w:pPr>
        <w:pBdr/>
        <w:tabs>
          <w:tab w:val="left" w:leader="none" w:pos="893"/>
        </w:tabs>
        <w:spacing w:after="0" w:before="0"/>
        <w:ind w:right="14" w:firstLine="567" w:left="24"/>
        <w:rPr>
          <w:rFonts w:ascii="Times New Roman" w:hAnsi="Times New Roman"/>
          <w:color w:val="000000"/>
          <w:spacing w:val="-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3.6. Цена Контракта является твердой и определяется на весь его срок исполнения,если иное не предусмотрено законодательством. В случае изменения налогового законодательства (введени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е или изменение ставок НДС, налогов и сборов) или других обязательных платежей цена договора подлежит пересмотру в соответствующей части</w:t>
      </w:r>
      <w:r>
        <w:rPr>
          <w:rFonts w:ascii="Times New Roman" w:hAnsi="Times New Roman"/>
          <w:color w:val="000000"/>
          <w:spacing w:val="-1"/>
          <w:sz w:val="22"/>
          <w:szCs w:val="22"/>
        </w:rPr>
      </w:r>
    </w:p>
    <w:p>
      <w:pPr>
        <w:pBdr/>
        <w:tabs>
          <w:tab w:val="left" w:leader="none" w:pos="893"/>
        </w:tabs>
        <w:spacing/>
        <w:ind w:right="14"/>
        <w:jc w:val="center"/>
        <w:rPr>
          <w:rFonts w:ascii="Times New Roman" w:hAnsi="Times New Roman"/>
          <w:b/>
          <w:color w:val="000000" w:themeColor="text1"/>
          <w:spacing w:val="-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pacing w:val="-1"/>
          <w:sz w:val="22"/>
          <w:szCs w:val="22"/>
        </w:rPr>
        <w:t xml:space="preserve">4. Сроки и порядок передачи прав на программное обеспечение</w:t>
      </w:r>
      <w:r>
        <w:rPr>
          <w:rFonts w:ascii="Times New Roman" w:hAnsi="Times New Roman"/>
          <w:b/>
          <w:color w:val="000000" w:themeColor="text1"/>
          <w:spacing w:val="-1"/>
          <w:sz w:val="22"/>
          <w:szCs w:val="22"/>
        </w:rPr>
      </w:r>
    </w:p>
    <w:p>
      <w:pPr>
        <w:pBdr/>
        <w:spacing w:after="0" w:before="0"/>
        <w:ind w:firstLine="709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pacing w:val="-1"/>
          <w:sz w:val="22"/>
          <w:szCs w:val="22"/>
        </w:rPr>
        <w:t xml:space="preserve">4.1. </w:t>
      </w:r>
      <w:r>
        <w:rPr>
          <w:rFonts w:ascii="Times New Roman" w:hAnsi="Times New Roman"/>
          <w:color w:val="auto"/>
          <w:sz w:val="22"/>
          <w:szCs w:val="22"/>
        </w:rPr>
        <w:t xml:space="preserve">Лицензиар/Сублицензиар передает Лицензиату/Сублицензиату неисключительное право н</w:t>
      </w:r>
      <w:r>
        <w:rPr>
          <w:rFonts w:ascii="Times New Roman" w:hAnsi="Times New Roman"/>
          <w:color w:val="auto"/>
          <w:sz w:val="22"/>
          <w:szCs w:val="22"/>
        </w:rPr>
        <w:t xml:space="preserve">а программное обеспечение в виде электронной версии лицензионного соглашения и файла лицензии (ключа) путём направления на электронный почтовый ящик Лицензиата/Сублицензиата oks@mail.fesmu.ru в течение 5 (пяти) дней с даты заключения настоящего Контракта. 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4.2. Для проверки предоставляемых прав на использование неисключительных (пользовательских) прав, предусмотренных 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Контрактом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в части их соответствия условиям 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Контракта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Лицензиат/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обязан провести экспертизу. Экспертиза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результатов, предусмотренных 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Контрактом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может проводиться Лицензиатом/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Сублицензиатом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Контрактов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заключенных в соответствии с Федеральным законом № 44-ФЗ.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В случае, если по результатам такой экспертизы установлены нарушения требований 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Контракта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не препятствующие предоставлению Прав,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Лицензиат/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вправе не отказывать в приемке Прав в случае выявления несоответствия таких Прав условиям 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Контракта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если выявленное несоответствие не препятствует приемке Прав и устранено Лицензиаром/Сублицензиаром.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4.3. Исправление недостатков, допущенных Лицензиаром/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Сублицензиаром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и выявленных при предоставлении Прав, осуществляется в срок, согласованный с Лицензиатом/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Сублицензиатом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и за счет Лицензиара/Сублицензиара.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4.4. По решению Лицензиата/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для приемки Прав может создаваться приемочная комиссия, которая состоит не менее чем из пяти человек.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В случае привлечения Лицензиатом/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Сублицензиатом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для проведения экспертизы экспертов, эк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спертных организаций при принятии решения о приемке или об отказе в приемке Прав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4.5. Лицензиат/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подписывает Акт на передачу неисключительных (пользовательских) прав на про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граммное обеспечение (Приложение № 3) в течение 10 (десяти) дней с момента передачи неисключительных (пользовательских) прав или мотивированный отказ от приемки Прав и подписания Акта на передачу неисключительных (пользовательских) прав на программное обес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печение (Приложение № 3)  с указанием перечня выявленных недостатков, который составляется, в том числе, с учётом отраженного в заключении по результатам экспертизы предложения экспертов, экспертных организаций, если таковые привлекались для её проведения.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По факту исполнения обязательств 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/Сублицензиат подписывает Ак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та на передачу неисключительных (пользовательских) прав на программное обеспечение (Приложение № 3) и Акт приемки (ф. 0510452), предусмотренный приказом Минфина России от 15.04.2021 № 61н «Об утверждении унифицированных форм электронных документов бухгалте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 (далее – Акт приёмки (ф. 0510452)). Акт приёмки (ф. 0510452) утверждается без 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Лицензиара/Сублицензиара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и направляется в его адрес или электронно в виде скан-копии.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4.6. Лицензиар/Сублицензиар обязуется своими силами и за свой счет устранить замечания Лицензиата/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в течение 5 (пяти) рабочих дней с момента получения уведомления об обнаружении факта несоответствия исполненных Лицензиаром/Сублицензиаром обязательств условиям настоящего 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Контракта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4.7. Стороны гарантируют, что документы о приемке и иные документы в рамках настоящего Контракта будут подписаны уполномоченными лицами.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pacing w:val="-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4.8.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 Факт передачи неисключительных прав подтверждается подписанием сторонами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Акта на передачу неисключительных (пользовательских) прав на программное обеспечение (Приложение № 3)</w:t>
      </w:r>
      <w:r>
        <w:rPr>
          <w:rFonts w:ascii="Times New Roman" w:hAnsi="Times New Roman"/>
          <w:color w:val="auto"/>
          <w:spacing w:val="-2"/>
          <w:sz w:val="22"/>
          <w:szCs w:val="22"/>
        </w:rPr>
        <w:t xml:space="preserve">.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</w:r>
    </w:p>
    <w:p>
      <w:pPr>
        <w:pBdr/>
        <w:shd w:val="clear" w:color="auto" w:fill="ffffff"/>
        <w:spacing w:after="0" w:before="0"/>
        <w:ind w:left="539"/>
        <w:jc w:val="center"/>
        <w:rPr>
          <w:rFonts w:ascii="Times New Roman" w:hAnsi="Times New Roman"/>
          <w:b/>
          <w:color w:val="000000"/>
          <w:spacing w:val="-4"/>
          <w:sz w:val="22"/>
          <w:szCs w:val="22"/>
        </w:rPr>
      </w:pPr>
      <w:r>
        <w:rPr>
          <w:rFonts w:ascii="Times New Roman" w:hAnsi="Times New Roman"/>
          <w:b/>
          <w:color w:val="000000"/>
          <w:spacing w:val="-4"/>
          <w:sz w:val="22"/>
          <w:szCs w:val="22"/>
        </w:rPr>
      </w:r>
      <w:r>
        <w:rPr>
          <w:rFonts w:ascii="Times New Roman" w:hAnsi="Times New Roman"/>
          <w:b/>
          <w:color w:val="000000"/>
          <w:spacing w:val="-4"/>
          <w:sz w:val="22"/>
          <w:szCs w:val="22"/>
        </w:rPr>
      </w:r>
    </w:p>
    <w:p>
      <w:pPr>
        <w:pBdr/>
        <w:shd w:val="clear" w:color="auto" w:fill="ffffff"/>
        <w:spacing w:after="0" w:before="0"/>
        <w:ind w:left="539"/>
        <w:jc w:val="center"/>
        <w:rPr>
          <w:rFonts w:ascii="Times New Roman" w:hAnsi="Times New Roman"/>
          <w:b/>
          <w:color w:val="000000"/>
          <w:spacing w:val="-4"/>
          <w:sz w:val="22"/>
          <w:szCs w:val="22"/>
        </w:rPr>
      </w:pPr>
      <w:r>
        <w:rPr>
          <w:rFonts w:ascii="Times New Roman" w:hAnsi="Times New Roman"/>
          <w:b/>
          <w:color w:val="000000"/>
          <w:spacing w:val="-4"/>
          <w:sz w:val="22"/>
          <w:szCs w:val="22"/>
        </w:rPr>
        <w:t xml:space="preserve">5. Гарантийные обязательства</w:t>
      </w:r>
      <w:r>
        <w:rPr>
          <w:rFonts w:ascii="Times New Roman" w:hAnsi="Times New Roman"/>
          <w:b/>
          <w:color w:val="000000"/>
          <w:spacing w:val="-4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695" w:left="14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5.1.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Лицензиар/Сублицензиар гарантирует, что имеет законные основания на предоставление</w:t>
      </w:r>
      <w:r>
        <w:rPr>
          <w:rFonts w:ascii="Times New Roman" w:hAnsi="Times New Roman"/>
          <w:color w:val="000000" w:themeColor="text1"/>
          <w:spacing w:val="17"/>
          <w:sz w:val="22"/>
          <w:szCs w:val="22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неисключительных прав на использование программного продукта Сублицензиату, на момент предоставления Сублицензиату прав они не заложены</w:t>
      </w:r>
      <w:r>
        <w:rPr>
          <w:rFonts w:ascii="Times New Roman" w:hAnsi="Times New Roman"/>
          <w:color w:val="000000" w:themeColor="text1"/>
          <w:spacing w:val="6"/>
          <w:sz w:val="22"/>
          <w:szCs w:val="22"/>
        </w:rPr>
        <w:t xml:space="preserve">, не арестованы, не являются предметом исков третьих лиц и являются 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лицензионным продуктом.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72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3"/>
          <w:sz w:val="22"/>
          <w:szCs w:val="22"/>
        </w:rPr>
        <w:t xml:space="preserve">5.2. Право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Лицензиата</w:t>
      </w:r>
      <w:r>
        <w:rPr>
          <w:rFonts w:ascii="Times New Roman" w:hAnsi="Times New Roman"/>
          <w:color w:val="000000" w:themeColor="text1"/>
          <w:spacing w:val="3"/>
          <w:sz w:val="22"/>
          <w:szCs w:val="22"/>
        </w:rPr>
        <w:t xml:space="preserve"> на использование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неисключительных прав программных продуктов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 устанавливается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б</w:t>
      </w:r>
      <w:r>
        <w:rPr>
          <w:rFonts w:ascii="Times New Roman" w:hAnsi="Times New Roman"/>
          <w:color w:val="000000" w:themeColor="text1"/>
          <w:spacing w:val="4"/>
          <w:sz w:val="22"/>
          <w:szCs w:val="22"/>
        </w:rPr>
        <w:t xml:space="preserve">ез ограничения срока действия (но не свыше срока действия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исключительного права или срока действия лицензионного договора) на территории Российской Федерации и включают в себя: право инсталляции, запуска </w:t>
      </w:r>
      <w:r>
        <w:rPr>
          <w:rFonts w:ascii="Times New Roman" w:hAnsi="Times New Roman"/>
          <w:color w:val="000000" w:themeColor="text1"/>
          <w:spacing w:val="8"/>
          <w:sz w:val="22"/>
          <w:szCs w:val="22"/>
        </w:rPr>
        <w:t xml:space="preserve">лицензионного программного обеспечения, переноса на другие аппаратные </w:t>
      </w:r>
      <w:r>
        <w:rPr>
          <w:rFonts w:ascii="Times New Roman" w:hAnsi="Times New Roman"/>
          <w:color w:val="000000" w:themeColor="text1"/>
          <w:spacing w:val="-3"/>
          <w:sz w:val="22"/>
          <w:szCs w:val="22"/>
        </w:rPr>
        <w:t xml:space="preserve">средства.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02"/>
        </w:tabs>
        <w:spacing w:after="0" w:before="0"/>
        <w:ind w:firstLine="567"/>
        <w:rPr>
          <w:rFonts w:ascii="Times New Roman" w:hAnsi="Times New Roman"/>
          <w:color w:val="000000"/>
          <w:spacing w:val="-4"/>
          <w:sz w:val="22"/>
          <w:szCs w:val="22"/>
        </w:rPr>
      </w:pPr>
      <w:r>
        <w:rPr>
          <w:rFonts w:ascii="Times New Roman" w:hAnsi="Times New Roman"/>
          <w:color w:val="000000"/>
          <w:spacing w:val="-4"/>
          <w:sz w:val="22"/>
          <w:szCs w:val="22"/>
        </w:rPr>
      </w:r>
      <w:r>
        <w:rPr>
          <w:rFonts w:ascii="Times New Roman" w:hAnsi="Times New Roman"/>
          <w:color w:val="000000"/>
          <w:spacing w:val="-4"/>
          <w:sz w:val="22"/>
          <w:szCs w:val="22"/>
        </w:rPr>
      </w:r>
    </w:p>
    <w:p>
      <w:pPr>
        <w:pBdr/>
        <w:shd w:val="clear" w:color="auto" w:fill="ffffff"/>
        <w:tabs>
          <w:tab w:val="left" w:leader="none" w:pos="709"/>
          <w:tab w:val="left" w:leader="none" w:pos="3119"/>
        </w:tabs>
        <w:spacing w:after="0" w:before="0"/>
        <w:ind w:firstLine="567" w:left="540"/>
        <w:jc w:val="center"/>
        <w:rPr>
          <w:rFonts w:ascii="Times New Roman" w:hAnsi="Times New Roman"/>
          <w:b/>
          <w:color w:val="000000"/>
          <w:spacing w:val="-4"/>
          <w:sz w:val="22"/>
          <w:szCs w:val="22"/>
        </w:rPr>
      </w:pPr>
      <w:r>
        <w:rPr>
          <w:rFonts w:ascii="Times New Roman" w:hAnsi="Times New Roman"/>
          <w:b/>
          <w:color w:val="000000"/>
          <w:spacing w:val="-4"/>
          <w:sz w:val="22"/>
          <w:szCs w:val="22"/>
        </w:rPr>
        <w:t xml:space="preserve">6. Ответственность сторон</w:t>
      </w:r>
      <w:r>
        <w:rPr>
          <w:rFonts w:ascii="Times New Roman" w:hAnsi="Times New Roman"/>
          <w:b/>
          <w:color w:val="000000"/>
          <w:spacing w:val="-4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6.1. За невыполнение или ненадлежащее выполнение обязательств по настоящему Контракту Лицензиар/Сублицензиар и Лицензиат</w:t>
      </w:r>
      <w:r>
        <w:rPr>
          <w:rFonts w:ascii="Times New Roman" w:hAnsi="Times New Roman"/>
          <w:sz w:val="22"/>
          <w:szCs w:val="22"/>
        </w:rPr>
        <w:t xml:space="preserve">/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/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6.2. Размер штрафа устан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hAnsi="Times New Roman"/>
          <w:color w:val="000000"/>
          <w:sz w:val="22"/>
          <w:szCs w:val="22"/>
          <w:lang w:eastAsia="en-US"/>
        </w:rPr>
        <w:t xml:space="preserve">Контрактом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rFonts w:ascii="Times New Roman" w:hAnsi="Times New Roman"/>
          <w:color w:val="000000"/>
          <w:sz w:val="22"/>
          <w:szCs w:val="22"/>
          <w:lang w:eastAsia="en-US"/>
        </w:rPr>
        <w:t xml:space="preserve">Контрактом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, утвержденными постановлением Правительства Российской Федерации от 30 августа 2017 г. № 1042  (далее – Правила определения размера штрафа).</w:t>
      </w:r>
      <w:r>
        <w:rPr>
          <w:rFonts w:ascii="Times New Roman" w:hAnsi="Times New Roman"/>
          <w:bCs/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6.3. В случае просрочки исполнения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Лицензиатом</w:t>
      </w:r>
      <w:r>
        <w:rPr>
          <w:rFonts w:ascii="Times New Roman" w:hAnsi="Times New Roman"/>
          <w:sz w:val="22"/>
          <w:szCs w:val="22"/>
        </w:rPr>
        <w:t xml:space="preserve">/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Сублицензиатом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Лицензиатом</w:t>
      </w:r>
      <w:r>
        <w:rPr>
          <w:rFonts w:ascii="Times New Roman" w:hAnsi="Times New Roman"/>
          <w:sz w:val="22"/>
          <w:szCs w:val="22"/>
        </w:rPr>
        <w:t xml:space="preserve">/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Сублицензиатом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обязательств, предусмотренных Контрактом,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Лицензиар/Сублицензиар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вправе потребовать уплаты неустоек (штрафов, пеней).</w:t>
      </w:r>
      <w:r>
        <w:rPr>
          <w:rFonts w:ascii="Times New Roman" w:hAnsi="Times New Roman"/>
          <w:bCs/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6.4. Пеня начисляется за каждый день просрочки исполнения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Лицензиатом</w:t>
      </w:r>
      <w:r>
        <w:rPr>
          <w:rFonts w:ascii="Times New Roman" w:hAnsi="Times New Roman"/>
          <w:sz w:val="22"/>
          <w:szCs w:val="22"/>
        </w:rPr>
        <w:t xml:space="preserve">/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Сублицензиатом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обязательства, предусмотренного Контрактом, начиная со дня, следующего посл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/>
          <w:bCs/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6.5. За каждый факт неисполнения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Лицензиатом</w:t>
      </w:r>
      <w:r>
        <w:rPr>
          <w:rFonts w:ascii="Times New Roman" w:hAnsi="Times New Roman"/>
          <w:sz w:val="22"/>
          <w:szCs w:val="22"/>
        </w:rPr>
        <w:t xml:space="preserve">/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Сублицензиатом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Лицензиар/Сублицензиар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вправе взыскать с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Лицензиата</w:t>
      </w:r>
      <w:r>
        <w:rPr>
          <w:rFonts w:ascii="Times New Roman" w:hAnsi="Times New Roman"/>
          <w:sz w:val="22"/>
          <w:szCs w:val="22"/>
        </w:rPr>
        <w:t xml:space="preserve">/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Сублицензиата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штраф в размере 1000 рублей.</w:t>
      </w:r>
      <w:r>
        <w:rPr>
          <w:rFonts w:ascii="Times New Roman" w:hAnsi="Times New Roman"/>
          <w:bCs/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6.6. Общая сумма начисленных штрафов за ненадлежащее исполнение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Лицензиатом</w:t>
      </w:r>
      <w:r>
        <w:rPr>
          <w:rFonts w:ascii="Times New Roman" w:hAnsi="Times New Roman"/>
          <w:sz w:val="22"/>
          <w:szCs w:val="22"/>
        </w:rPr>
        <w:t xml:space="preserve">/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Сублицензиатом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  <w:r>
        <w:rPr>
          <w:rFonts w:ascii="Times New Roman" w:hAnsi="Times New Roman"/>
          <w:bCs/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6.7. В случае просрочки исполнения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Лицензиаром/Сублицензиаром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Лицензиаром/Сублицензиаром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обязательств, предусмотренных Контрактом,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Лицензиат</w:t>
      </w:r>
      <w:r>
        <w:rPr>
          <w:rFonts w:ascii="Times New Roman" w:hAnsi="Times New Roman"/>
          <w:sz w:val="22"/>
          <w:szCs w:val="22"/>
        </w:rPr>
        <w:t xml:space="preserve">/</w:t>
      </w:r>
      <w:r>
        <w:rPr>
          <w:rFonts w:ascii="Times New Roman" w:hAnsi="Times New Roman"/>
          <w:color w:val="000000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направляет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Лицензиару/Сублицензиару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требование об уплате неустоек (штрафов, пеней).</w:t>
      </w:r>
      <w:r>
        <w:rPr>
          <w:rFonts w:ascii="Times New Roman" w:hAnsi="Times New Roman"/>
          <w:bCs/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6.8. Пеня начисляется за каждый день просрочки исполнения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Лицензиаром/Сублицензиаром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обязательства, предусмотренного К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Лицензиаром/Сублицензиаром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.</w:t>
      </w:r>
      <w:r>
        <w:rPr>
          <w:rFonts w:ascii="Times New Roman" w:hAnsi="Times New Roman"/>
          <w:bCs/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6.9. За каждый факт неисполнения или ненадлежащего исполнения </w:t>
      </w:r>
      <w:r>
        <w:rPr>
          <w:rFonts w:ascii="Times New Roman" w:hAnsi="Times New Roman"/>
          <w:color w:val="000000"/>
          <w:sz w:val="22"/>
          <w:szCs w:val="22"/>
        </w:rPr>
        <w:t xml:space="preserve">Лицензиаром/Сублицензиаром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обязательств, предусмотрен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Лицензиаром/Сублицензиаром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выплачивает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Лицензиат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у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Сублицензиату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штраф в размере 10 процентов цены Контракта (этапа).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6.10. Общая сумма начисленных штрафов за неисполнение или ненадлежащее исполнение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Лицензиаром/Сублицензиаром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6.11. Сторона освобождается от уплаты неустойки (штрафов,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567" w:left="53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6.12. Лицензиар/Сублицензиар не несет ответственности за любые убытки Лицензиата/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связанные с использованием или невозможностью использования ПО, если такие убытки возникли в результате действий или бездействия Лицензиата/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несоответствующих условиям эксплуатации, указанным в документации Лицензиара/Сублицензиара.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 w:firstLine="567" w:left="53"/>
        <w:rPr>
          <w:rFonts w:ascii="Times New Roman" w:hAnsi="Times New Roman"/>
          <w:color w:val="000000" w:themeColor="text1"/>
          <w:spacing w:val="-2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6.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13.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путём подписания соответствующего соглашения о расторжении.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</w:r>
    </w:p>
    <w:p>
      <w:pPr>
        <w:pBdr/>
        <w:shd w:val="clear" w:color="auto" w:fill="ffffff"/>
        <w:tabs>
          <w:tab w:val="left" w:leader="none" w:pos="878"/>
        </w:tabs>
        <w:spacing w:after="0" w:before="0"/>
        <w:ind w:firstLine="567"/>
        <w:rPr>
          <w:rFonts w:ascii="Times New Roman" w:hAnsi="Times New Roman"/>
          <w:color w:val="000000" w:themeColor="text1"/>
          <w:spacing w:val="-2"/>
          <w:sz w:val="22"/>
          <w:szCs w:val="22"/>
        </w:rPr>
      </w:pP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6.14. Контракт может быть расторгнут в одностороннем порядке Лицензиаром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/Сублицензиаром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  <w:t xml:space="preserve"> в следующих случаях:</w:t>
      </w:r>
      <w:r>
        <w:rPr>
          <w:rFonts w:ascii="Times New Roman" w:hAnsi="Times New Roman"/>
          <w:color w:val="000000" w:themeColor="text1"/>
          <w:spacing w:val="-2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6.14.1. 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 нарушил сроки оплаты, предусмотренные Контрактом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более чем на 15 рабочих дней.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6.14.2. 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 уклоняется от приемки прав, в том числе не подписывает акт передачи неисключительных (пользовательских) прав в течение 5 рабочих дней без предоставления мотивированного отказа.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6.14.3. Наступления обстоятельств, предусмотренных статьёй 451 Гражданского кодекса РФ, включая существенное изменение обстоятельств, влияющих на возможность исполнения Контракта (например, изменение законодательства, введение новых налогов и сборов).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6.14.4. Отказ Лицензиата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Сублицензиата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 от предоставления необходимых документов, сведений или условий, без которых выполнение обязательств Лицензиара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/Сублицензиара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 невозможно.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6.14.5. Наступление обстоятельств непреодолимой силы (форс-мажоры), делающих невозможным исполнение Контракта.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tabs>
          <w:tab w:val="left" w:leader="none" w:pos="709"/>
        </w:tabs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6.14.6. Лицензиат/</w:t>
      </w:r>
      <w:r>
        <w:rPr>
          <w:rFonts w:ascii="Times New Roman" w:hAnsi="Times New Roman"/>
          <w:color w:val="000000" w:themeColor="text1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вправе принять решение об одностороннем отказе от исполнения </w:t>
      </w: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Контракта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в следующих случаях: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6.14.7. В случае просрочки передачи Права Лицензиаром/Сублицензиаром более чем на 10 (десяти) дней.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  <w:lang w:eastAsia="en-US"/>
        </w:rPr>
        <w:t xml:space="preserve">6.14.8.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В иных случаях, предусмотренных действующим законодательством.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2"/>
        <w:pBdr/>
        <w:spacing w:line="228" w:lineRule="auto"/>
        <w:ind w:firstLine="34"/>
        <w:jc w:val="center"/>
        <w:outlineLvl w:val="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2"/>
        <w:pBdr/>
        <w:spacing/>
        <w:ind w:firstLine="567"/>
        <w:jc w:val="center"/>
        <w:outlineLvl w:val="1"/>
        <w:rPr>
          <w:rFonts w:ascii="Times New Roman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</w:rPr>
        <w:t xml:space="preserve">7. Антикоррупционная оговорка</w:t>
      </w:r>
      <w:r>
        <w:rPr>
          <w:rFonts w:ascii="Times New Roman" w:hAnsi="Times New Roman"/>
          <w:b/>
          <w:color w:val="000000" w:themeColor="text1"/>
          <w:sz w:val="22"/>
          <w:szCs w:val="22"/>
        </w:rPr>
      </w:r>
    </w:p>
    <w:p>
      <w:pPr>
        <w:pStyle w:val="1012"/>
        <w:pBdr/>
        <w:spacing/>
        <w:ind w:firstLine="567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7.1. При исполнении своих обязательств по настоящему контракту Стороны, их аффилированные лица, работники или посредники не выплачивают, н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2"/>
        <w:pBdr/>
        <w:spacing/>
        <w:ind w:firstLine="567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7.2. При исполнении своих обязательств по настоящему контракту Стороны, их аффилированные лица, работники или по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противодействии легализации (отмыванию) доходов, полученных преступным путем.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2"/>
        <w:pBdr/>
        <w:spacing/>
        <w:ind w:firstLine="567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7.3.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2"/>
        <w:pBdr/>
        <w:spacing/>
        <w:ind w:firstLine="567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7.4. В письменном уведомлении Сторона обязана сослаться на обоснованные факты или предоставить материалы,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969"/>
        <w:pBdr/>
        <w:spacing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7.5.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969"/>
        <w:pBdr/>
        <w:spacing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7.6. Стороны гарантируют осуществление надлежащего разбирательства по фактам нарушения положений настоящего раздела контракта и применение эффективных мер по предотвращению возможных конфликтных ситуаций.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tabs>
          <w:tab w:val="left" w:leader="none" w:pos="426"/>
        </w:tabs>
        <w:spacing w:after="0" w:before="0"/>
        <w:ind w:firstLine="567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lang w:eastAsia="ar-SA"/>
        </w:rPr>
        <w:t xml:space="preserve">8. </w:t>
      </w:r>
      <w:r>
        <w:rPr>
          <w:rFonts w:ascii="Times New Roman" w:hAnsi="Times New Roman"/>
          <w:b/>
          <w:color w:val="000000" w:themeColor="text1"/>
          <w:sz w:val="22"/>
          <w:szCs w:val="22"/>
        </w:rPr>
        <w:t xml:space="preserve">Исключительные права  </w:t>
      </w:r>
      <w:r>
        <w:rPr>
          <w:rFonts w:ascii="Times New Roman" w:hAnsi="Times New Roman"/>
          <w:b/>
          <w:color w:val="000000" w:themeColor="text1"/>
          <w:sz w:val="22"/>
          <w:szCs w:val="22"/>
        </w:rPr>
      </w:r>
    </w:p>
    <w:p>
      <w:pPr>
        <w:pBdr/>
        <w:tabs>
          <w:tab w:val="left" w:leader="none" w:pos="709"/>
        </w:tabs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8.1. Лицензиар/Сублицензиар настоящим гарантирует в период срока передачи Прав отсутствие нарушения исключительных прав третьих лиц на результаты интеллектуальной деятельности.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/>
        <w:contextualSpacing w:val="true"/>
        <w:jc w:val="center"/>
        <w:rPr>
          <w:rFonts w:ascii="Times New Roman" w:hAnsi="Times New Roman"/>
          <w:b/>
          <w:color w:val="000000" w:themeColor="text1"/>
          <w:spacing w:val="-2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pacing w:val="-2"/>
          <w:sz w:val="22"/>
          <w:szCs w:val="22"/>
        </w:rPr>
      </w:r>
      <w:r>
        <w:rPr>
          <w:rFonts w:ascii="Times New Roman" w:hAnsi="Times New Roman"/>
          <w:b/>
          <w:color w:val="000000" w:themeColor="text1"/>
          <w:spacing w:val="-2"/>
          <w:sz w:val="22"/>
          <w:szCs w:val="22"/>
        </w:rPr>
      </w:r>
    </w:p>
    <w:p>
      <w:pPr>
        <w:pBdr/>
        <w:shd w:val="clear" w:color="auto" w:fill="ffffff"/>
        <w:spacing w:after="0" w:before="0"/>
        <w:ind/>
        <w:contextualSpacing w:val="true"/>
        <w:jc w:val="center"/>
        <w:rPr>
          <w:rFonts w:ascii="Times New Roman" w:hAnsi="Times New Roman"/>
          <w:b/>
          <w:color w:val="000000" w:themeColor="text1"/>
          <w:spacing w:val="-2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pacing w:val="-2"/>
          <w:sz w:val="22"/>
          <w:szCs w:val="22"/>
        </w:rPr>
        <w:t xml:space="preserve">9. Порядок рассмотрения споров</w:t>
      </w:r>
      <w:r>
        <w:rPr>
          <w:rFonts w:ascii="Times New Roman" w:hAnsi="Times New Roman"/>
          <w:b/>
          <w:color w:val="000000" w:themeColor="text1"/>
          <w:spacing w:val="-2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9.1. Разногласия и споры, которые могут возникнуть при исполнении на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стоящего Контракта, Стороны будут стараться разрешить путем переговоров, а в случае не достижения согласия, споры и разногласия подлежат рассмотрению в судебных органах по месту регистрации ответчика в соответствии с законодательством Российской Федерации.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/>
        <w:contextualSpacing w:val="true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/>
          <w:b/>
          <w:color w:val="000000" w:themeColor="text1"/>
          <w:sz w:val="22"/>
          <w:szCs w:val="22"/>
        </w:rPr>
      </w:r>
    </w:p>
    <w:p>
      <w:pPr>
        <w:pBdr/>
        <w:shd w:val="clear" w:color="auto" w:fill="ffffff"/>
        <w:spacing w:after="0" w:before="0"/>
        <w:ind/>
        <w:contextualSpacing w:val="true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lang w:eastAsia="en-US"/>
        </w:rPr>
        <w:t xml:space="preserve">10. Обстоятельства непреодолимой силы</w:t>
      </w:r>
      <w:r>
        <w:rPr>
          <w:rFonts w:ascii="Times New Roman" w:hAnsi="Times New Roman"/>
          <w:b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10.1.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 Контракту, а также других чрезвычайных обстоятельств,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10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10.3. Сторона, для которой надлежащее исполнение обязательств оказал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обих возникновении, виде и возможной продолжительности действия.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10.4. Если обстоятельства, указанные в </w:t>
      </w:r>
      <w:hyperlink r:id="rId11" w:tooltip="consultantplus://offline/main?base=MLAW;n=129338;fld=134;dst=100180" w:history="1">
        <w:r>
          <w:rPr>
            <w:rFonts w:ascii="Times New Roman" w:hAnsi="Times New Roman"/>
            <w:color w:val="000000" w:themeColor="text1"/>
            <w:sz w:val="22"/>
            <w:szCs w:val="22"/>
          </w:rPr>
          <w:t xml:space="preserve">п. 10.1</w:t>
        </w:r>
      </w:hyperlink>
      <w:r>
        <w:rPr>
          <w:rFonts w:ascii="Times New Roman" w:hAnsi="Times New Roman"/>
          <w:color w:val="000000" w:themeColor="text1"/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</w:t>
      </w:r>
      <w:r>
        <w:rPr>
          <w:rFonts w:ascii="Times New Roman" w:hAnsi="Times New Roman"/>
          <w:color w:val="000000"/>
          <w:sz w:val="22"/>
          <w:szCs w:val="22"/>
        </w:rPr>
        <w:t xml:space="preserve"> настоящий Контракт без требования возмещения убытков, понесенных в связи с наступлением таких обстоятельств.</w:t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10.5. Неуведомление и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02"/>
        </w:tabs>
        <w:spacing w:after="0" w:before="0"/>
        <w:ind w:firstLine="567" w:left="900"/>
        <w:contextualSpacing w:val="true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lang w:eastAsia="en-US"/>
        </w:rPr>
        <w:br/>
        <w:t xml:space="preserve">11. Срок действия контракта и порядок изменения условий</w:t>
      </w:r>
      <w:r>
        <w:rPr>
          <w:rFonts w:ascii="Times New Roman" w:hAnsi="Times New Roman"/>
          <w:b/>
          <w:color w:val="000000" w:themeColor="text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709"/>
          <w:tab w:val="left" w:leader="none" w:pos="851"/>
        </w:tabs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11.1.  Настоящий Контракт вступает в силу с момента его заключения и действует до 31.12.2026. Доступ к ПО (срок действия неисключительных прав) – в течение 12 месяцев, с момента активации лицензии.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11.2.  Лицензиар/Сублицензиар гарантирует, что условия настоящего Контракта не нарушают законных прав и интересов третьих лиц.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3"/>
        <w:pBdr/>
        <w:tabs>
          <w:tab w:val="left" w:leader="none" w:pos="426"/>
        </w:tabs>
        <w:spacing/>
        <w:ind w:firstLine="567"/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11.3. В случаях, не предусмотренных настоящ</w:t>
      </w:r>
      <w:r>
        <w:rPr>
          <w:color w:val="000000"/>
          <w:sz w:val="22"/>
          <w:szCs w:val="22"/>
        </w:rPr>
        <w:t xml:space="preserve">им Контрактом, Стороны руководствуются </w:t>
      </w:r>
      <w:r>
        <w:rPr>
          <w:color w:val="000000"/>
          <w:sz w:val="22"/>
          <w:szCs w:val="22"/>
        </w:rPr>
        <w:t xml:space="preserve">законодательством Российской Федерации.</w:t>
      </w:r>
      <w:r>
        <w:rPr>
          <w:color w:val="000000"/>
          <w:sz w:val="22"/>
          <w:szCs w:val="22"/>
        </w:rPr>
      </w:r>
    </w:p>
    <w:p>
      <w:pPr>
        <w:pStyle w:val="1013"/>
        <w:pBdr/>
        <w:tabs>
          <w:tab w:val="left" w:leader="none" w:pos="426"/>
        </w:tabs>
        <w:spacing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11.4. Настоящий Контракт составлен в 2 (двух) экземплярах, имеющих одинаковую юридическую силу, по 1 (одному) экземпляру для каждой Стороны и включает в себя:</w:t>
      </w:r>
      <w:r>
        <w:rPr>
          <w:color w:val="000000"/>
          <w:sz w:val="22"/>
          <w:szCs w:val="22"/>
        </w:rPr>
      </w:r>
    </w:p>
    <w:p>
      <w:pPr>
        <w:pStyle w:val="1013"/>
        <w:pBdr/>
        <w:tabs>
          <w:tab w:val="left" w:leader="none" w:pos="426"/>
        </w:tabs>
        <w:spacing/>
        <w:ind w:firstLine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1. Спецификация;</w:t>
      </w:r>
      <w:r>
        <w:rPr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Приложение 2. Техническая часть;</w:t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Приложение 3. Акт на передачу неисключительных (пользовательских) прав на программное обеспечение;</w:t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1014"/>
        <w:pBdr/>
        <w:spacing w:after="0"/>
        <w:ind w:left="90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12. Реквизиты и подписи сторон:</w:t>
      </w:r>
      <w:r>
        <w:rPr>
          <w:b/>
          <w:color w:val="000000"/>
          <w:sz w:val="22"/>
          <w:szCs w:val="22"/>
        </w:rPr>
      </w:r>
    </w:p>
    <w:p>
      <w:pPr>
        <w:pStyle w:val="1014"/>
        <w:pBdr/>
        <w:spacing w:after="0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tbl>
      <w:tblPr>
        <w:tblInd w:w="392" w:type="dxa"/>
        <w:tblW w:w="10348" w:type="dxa"/>
        <w:tblBorders/>
        <w:tblLook w:val="01E0" w:firstRow="1" w:lastRow="1" w:firstColumn="1" w:lastColumn="1" w:noHBand="0" w:noVBand="0"/>
      </w:tblPr>
      <w:tblGrid>
        <w:gridCol w:w="5103"/>
        <w:gridCol w:w="5245"/>
      </w:tblGrid>
      <w:tr>
        <w:trPr>
          <w:trHeight w:val="467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textDirection w:val="lrTb"/>
            <w:noWrap w:val="false"/>
          </w:tcPr>
          <w:p>
            <w:pPr>
              <w:keepLines w:val="true"/>
              <w:pBdr/>
              <w:spacing w:after="0" w:before="0"/>
              <w:ind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Лицензиат/</w:t>
            </w:r>
            <w:r>
              <w:rPr>
                <w:rFonts w:ascii="Times New Roman" w:hAnsi="Times New Roman"/>
                <w:b/>
                <w:color w:val="000000" w:themeColor="text1"/>
                <w:spacing w:val="-1"/>
                <w:sz w:val="22"/>
                <w:szCs w:val="22"/>
              </w:rPr>
              <w:t xml:space="preserve">Сублицензиат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ФГБОУ ВО ДВГМУ Минздрава России 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Юридический/почтовый адрес: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680000, Хабаровский край, г. Хабаровск,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ул.  Муравьева-Амурского, д. 35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Тел./факс (4212) 32-55-92.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snab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@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m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il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fesmu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ИНН 2721020896 КПП 272101001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УФК по Приморскому краю (ФГБОУ ВО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ДВГМУ Минздрава России ЛС 20226Х51140)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ОКЦ №1 ДГУ Банка России//УФК по Приморскому краю г. Владивосток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БИК 010507002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Номер счета банка получателя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(Единый казначейский счет) 40102810545370000012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Номер счета получателя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  <w:highlight w:val="red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(казначейский счет) 03214643000000012006</w:t>
            </w:r>
            <w:r>
              <w:rPr>
                <w:rFonts w:ascii="Times New Roman" w:hAnsi="Times New Roman"/>
                <w:color w:val="auto"/>
                <w:sz w:val="22"/>
                <w:szCs w:val="22"/>
                <w:highlight w:val="red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  <w:highlight w:val="red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highlight w:val="red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highlight w:val="red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Должность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___________________/ _______ /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Подпись, печать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Лицензиар/Сублицензиар: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Наименование организации_________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Юридический адрес: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Тел./факс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ИНН/КПП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р/с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к/с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Банк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БИК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ОКПО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ОГРН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ОКТМО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ar-SA"/>
              </w:rPr>
              <w:t xml:space="preserve">Электр.почта: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Должность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_______________ / _______ /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Подпись, печать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5"/>
        <w:pageBreakBefore w:val="true"/>
        <w:pBdr/>
        <w:spacing/>
        <w:ind/>
        <w:jc w:val="right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1 к Контракту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1015"/>
        <w:pBdr/>
        <w:spacing/>
        <w:ind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№ ____ от "___" _____ 202___ г.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1015"/>
        <w:pBdr/>
        <w:spacing/>
        <w:ind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1015"/>
        <w:pBdr/>
        <w:spacing/>
        <w:ind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1015"/>
        <w:pBdr/>
        <w:spacing/>
        <w:ind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СПЕЦИФИКАЦИЯ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1015"/>
        <w:pBdr/>
        <w:spacing/>
        <w:ind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tbl>
      <w:tblPr>
        <w:tblInd w:w="115" w:type="dxa"/>
        <w:tblW w:w="4931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52"/>
        <w:gridCol w:w="1477"/>
        <w:gridCol w:w="1171"/>
        <w:gridCol w:w="1346"/>
        <w:gridCol w:w="838"/>
        <w:gridCol w:w="1134"/>
        <w:gridCol w:w="1134"/>
        <w:gridCol w:w="1134"/>
        <w:gridCol w:w="127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п/п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Страна происхождения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46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ОКПД2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38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Ед. изм.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Объем исполненных обязательств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Цена ед., руб.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Сумма с НДС/без НДС, руб.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Общая стоимость, руб.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Россия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4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58.29.13.000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38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Штука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Россия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4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58.29.29.000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38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Штука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Россия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46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jc w:val="center"/>
              <w:rPr/>
            </w:pPr>
            <w:r>
              <w:t xml:space="preserve">58.29.29.000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38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Штука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Россия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4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58.29.29.000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38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Штука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ИТОГО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46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38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1016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1015"/>
        <w:pBdr/>
        <w:spacing/>
        <w:ind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5"/>
        <w:pBdr/>
        <w:spacing/>
        <w:ind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5"/>
        <w:pBdr/>
        <w:spacing/>
        <w:ind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Цена Контракта составляет: _____________(_____) рублей (цифрами и прописью) _____ копеек, в том числе НДС  _____ (_____) рублей _____ копеек / либо НДС не облагается.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1015"/>
        <w:pBdr/>
        <w:spacing/>
        <w:ind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1015"/>
        <w:pBdr/>
        <w:spacing/>
        <w:ind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tbl>
      <w:tblPr>
        <w:tblInd w:w="108" w:type="dxa"/>
        <w:tblW w:w="10065" w:type="dxa"/>
        <w:tblBorders/>
        <w:tblLook w:val="04A0" w:firstRow="1" w:lastRow="0" w:firstColumn="1" w:lastColumn="0" w:noHBand="0" w:noVBand="1"/>
      </w:tblPr>
      <w:tblGrid>
        <w:gridCol w:w="5387"/>
        <w:gridCol w:w="4678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87" w:type="dxa"/>
            <w:textDirection w:val="lrTb"/>
            <w:noWrap w:val="false"/>
          </w:tcPr>
          <w:p>
            <w:pPr>
              <w:pBdr/>
              <w:spacing w:after="0" w:before="0"/>
              <w:ind w:right="183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Лицензиат/</w:t>
            </w:r>
            <w:r>
              <w:rPr>
                <w:rFonts w:ascii="Times New Roman" w:hAnsi="Times New Roman"/>
                <w:b/>
                <w:color w:val="000000" w:themeColor="text1"/>
                <w:spacing w:val="-1"/>
                <w:sz w:val="22"/>
                <w:szCs w:val="22"/>
              </w:rPr>
              <w:t xml:space="preserve">Сублицензиат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: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1200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1200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tabs>
                <w:tab w:val="left" w:leader="none" w:pos="1200"/>
              </w:tabs>
              <w:spacing w:after="0" w:before="0"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 w:right="181" w:hanging="437" w:left="437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_______________ /________/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 w:hanging="851" w:left="851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Подпись, печать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pBdr/>
              <w:spacing w:after="0" w:before="0"/>
              <w:ind w:right="181" w:firstLine="448" w:left="-273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Лицензиар/Сублицензиар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: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 w:right="183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 w:right="183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 w:right="183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 w:right="181" w:hanging="437" w:left="437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_______________ /________/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 w:after="0" w:before="0"/>
              <w:ind w:right="181" w:hanging="342" w:left="342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Подпись, печать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5"/>
        <w:pageBreakBefore w:val="true"/>
        <w:pBdr/>
        <w:spacing/>
        <w:ind/>
        <w:jc w:val="right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2 к Контракту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1015"/>
        <w:pBdr/>
        <w:spacing/>
        <w:ind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№ ____ от "___" _____ 202__ г.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1015"/>
        <w:pBdr/>
        <w:spacing/>
        <w:ind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widowControl w:val="false"/>
        <w:pBdr/>
        <w:spacing w:after="0"/>
        <w:ind/>
        <w:contextualSpacing w:val="true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</w:rPr>
        <w:t xml:space="preserve">ТЕХНИЧЕСКАЯ ЧАСТЬ</w:t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widowControl w:val="false"/>
        <w:pBdr/>
        <w:spacing w:after="0"/>
        <w:ind/>
        <w:contextualSpacing w:val="true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</w:rPr>
        <w:t xml:space="preserve">СВЕДЕНИЯ ОБ ОБЪЕКТЕ ЗАКУПКИ</w:t>
      </w:r>
      <w:r>
        <w:rPr>
          <w:rFonts w:ascii="Times New Roman" w:hAnsi="Times New Roman"/>
          <w:b/>
          <w:color w:val="000000" w:themeColor="text1"/>
          <w:sz w:val="22"/>
          <w:szCs w:val="22"/>
        </w:rPr>
      </w:r>
    </w:p>
    <w:p>
      <w:pPr>
        <w:widowControl w:val="false"/>
        <w:pBdr/>
        <w:spacing w:after="0"/>
        <w:ind/>
        <w:contextualSpacing w:val="true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/>
          <w:b/>
          <w:color w:val="000000" w:themeColor="text1"/>
          <w:sz w:val="22"/>
          <w:szCs w:val="22"/>
        </w:rPr>
      </w:r>
    </w:p>
    <w:p>
      <w:pPr>
        <w:pBdr/>
        <w:spacing w:after="0"/>
        <w:ind/>
        <w:jc w:val="center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 xml:space="preserve">Предмет закупки: </w:t>
      </w:r>
      <w:r>
        <w:rPr>
          <w:rFonts w:ascii="Times New Roman" w:hAnsi="Times New Roman"/>
          <w:bCs/>
          <w:color w:val="auto"/>
          <w:sz w:val="22"/>
          <w:szCs w:val="22"/>
        </w:rPr>
        <w:t xml:space="preserve">Приобретение неисключительного права на использование обновлений программного обеспечения и баз данных «Программного комплекса «ГРАНД-смета»</w:t>
      </w:r>
      <w:r>
        <w:rPr>
          <w:rFonts w:ascii="Times New Roman" w:hAnsi="Times New Roman"/>
          <w:bCs/>
          <w:color w:val="auto"/>
          <w:sz w:val="22"/>
          <w:szCs w:val="22"/>
        </w:rPr>
      </w:r>
    </w:p>
    <w:p>
      <w:pPr>
        <w:pBdr/>
        <w:spacing w:after="0"/>
        <w:ind/>
        <w:contextualSpacing w:val="true"/>
        <w:rPr>
          <w:rFonts w:ascii="Times New Roman" w:hAnsi="Times New Roman"/>
          <w:color w:val="auto"/>
          <w:sz w:val="22"/>
          <w:szCs w:val="22"/>
          <w:highlight w:val="red"/>
        </w:rPr>
      </w:pPr>
      <w:r>
        <w:rPr>
          <w:rFonts w:ascii="Times New Roman" w:hAnsi="Times New Roman"/>
          <w:color w:val="auto"/>
          <w:sz w:val="22"/>
          <w:szCs w:val="22"/>
          <w:highlight w:val="red"/>
        </w:rPr>
      </w:r>
      <w:r>
        <w:rPr>
          <w:rFonts w:ascii="Times New Roman" w:hAnsi="Times New Roman"/>
          <w:color w:val="auto"/>
          <w:sz w:val="22"/>
          <w:szCs w:val="22"/>
          <w:highlight w:val="red"/>
        </w:rPr>
      </w:r>
    </w:p>
    <w:p>
      <w:pPr>
        <w:pBdr/>
        <w:spacing w:after="0"/>
        <w:ind/>
        <w:contextualSpacing w:val="true"/>
        <w:rPr>
          <w:rFonts w:ascii="Times New Roman" w:hAnsi="Times New Roman"/>
          <w:b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 xml:space="preserve">Цель закупки: </w:t>
      </w:r>
      <w:r>
        <w:rPr>
          <w:rFonts w:ascii="Times New Roman" w:hAnsi="Times New Roman"/>
          <w:color w:val="auto"/>
          <w:sz w:val="22"/>
          <w:szCs w:val="22"/>
        </w:rPr>
        <w:t xml:space="preserve">приобретение неисключительного права на использование обновлений </w:t>
      </w:r>
      <w:r>
        <w:rPr>
          <w:rFonts w:ascii="Times New Roman" w:hAnsi="Times New Roman"/>
          <w:color w:val="auto"/>
          <w:spacing w:val="2"/>
          <w:sz w:val="22"/>
          <w:szCs w:val="22"/>
          <w:shd w:val="clear" w:color="auto" w:fill="ffffff"/>
        </w:rPr>
        <w:t xml:space="preserve">«Программного комплекса «ГРАНД-Смета» для</w:t>
      </w:r>
      <w:r>
        <w:rPr>
          <w:rFonts w:ascii="Times New Roman" w:hAnsi="Times New Roman"/>
          <w:color w:val="auto"/>
          <w:sz w:val="22"/>
          <w:szCs w:val="22"/>
          <w:shd w:val="clear" w:color="auto" w:fill="ffffff"/>
        </w:rPr>
        <w:t xml:space="preserve"> обоснования инвестиций, получения расчета стоимости работ и материалов, а также контроля качества и сроков реализации строительных или ремонтных проектов.</w:t>
      </w:r>
      <w:r>
        <w:rPr>
          <w:rFonts w:ascii="Times New Roman" w:hAnsi="Times New Roman"/>
          <w:b/>
          <w:color w:val="auto"/>
          <w:sz w:val="22"/>
          <w:szCs w:val="22"/>
        </w:rPr>
      </w:r>
    </w:p>
    <w:p>
      <w:pPr>
        <w:pBdr/>
        <w:spacing w:after="0"/>
        <w:ind/>
        <w:contextualSpacing w:val="true"/>
        <w:rPr>
          <w:rFonts w:ascii="Times New Roman" w:hAnsi="Times New Roman"/>
          <w:b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</w:r>
      <w:r>
        <w:rPr>
          <w:rFonts w:ascii="Times New Roman" w:hAnsi="Times New Roman"/>
          <w:b/>
          <w:color w:val="auto"/>
          <w:sz w:val="22"/>
          <w:szCs w:val="22"/>
        </w:rPr>
      </w:r>
    </w:p>
    <w:p>
      <w:pPr>
        <w:pBdr/>
        <w:spacing w:after="0"/>
        <w:ind/>
        <w:contextualSpacing w:val="true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 xml:space="preserve">Электронный адрес предоставления прав: </w:t>
      </w:r>
      <w:r>
        <w:rPr>
          <w:rFonts w:ascii="Times New Roman" w:hAnsi="Times New Roman"/>
          <w:color w:val="auto"/>
          <w:sz w:val="22"/>
          <w:szCs w:val="22"/>
          <w:lang w:val="en-US"/>
        </w:rPr>
        <w:t xml:space="preserve">oks</w:t>
      </w:r>
      <w:r>
        <w:rPr>
          <w:rFonts w:ascii="Times New Roman" w:hAnsi="Times New Roman"/>
          <w:color w:val="auto"/>
          <w:sz w:val="22"/>
          <w:szCs w:val="22"/>
        </w:rPr>
        <w:t xml:space="preserve">@</w:t>
      </w:r>
      <w:r>
        <w:rPr>
          <w:rFonts w:ascii="Times New Roman" w:hAnsi="Times New Roman"/>
          <w:color w:val="auto"/>
          <w:sz w:val="22"/>
          <w:szCs w:val="22"/>
          <w:lang w:val="en-US"/>
        </w:rPr>
        <w:t xml:space="preserve">mail</w:t>
      </w:r>
      <w:r>
        <w:rPr>
          <w:rFonts w:ascii="Times New Roman" w:hAnsi="Times New Roman"/>
          <w:color w:val="auto"/>
          <w:sz w:val="22"/>
          <w:szCs w:val="22"/>
        </w:rPr>
        <w:t xml:space="preserve">.</w:t>
      </w:r>
      <w:r>
        <w:rPr>
          <w:rFonts w:ascii="Times New Roman" w:hAnsi="Times New Roman"/>
          <w:color w:val="auto"/>
          <w:sz w:val="22"/>
          <w:szCs w:val="22"/>
          <w:lang w:val="en-US"/>
        </w:rPr>
        <w:t xml:space="preserve">fesmu</w:t>
      </w:r>
      <w:r>
        <w:rPr>
          <w:rFonts w:ascii="Times New Roman" w:hAnsi="Times New Roman"/>
          <w:color w:val="auto"/>
          <w:sz w:val="22"/>
          <w:szCs w:val="22"/>
        </w:rPr>
        <w:t xml:space="preserve">.</w:t>
      </w:r>
      <w:r>
        <w:rPr>
          <w:rFonts w:ascii="Times New Roman" w:hAnsi="Times New Roman"/>
          <w:color w:val="auto"/>
          <w:sz w:val="22"/>
          <w:szCs w:val="22"/>
          <w:lang w:val="en-US"/>
        </w:rPr>
        <w:t xml:space="preserve">ru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/>
        <w:ind/>
        <w:contextualSpacing w:val="true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 xml:space="preserve">Срок передачи прав: </w:t>
      </w:r>
      <w:r>
        <w:rPr>
          <w:rFonts w:ascii="Times New Roman" w:hAnsi="Times New Roman"/>
          <w:color w:val="auto"/>
          <w:sz w:val="22"/>
          <w:szCs w:val="22"/>
        </w:rPr>
        <w:t xml:space="preserve">в течение 5 рабочих дней с даты заключения контракта (договора).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/>
        <w:ind/>
        <w:contextualSpacing w:val="true"/>
        <w:rPr>
          <w:rFonts w:ascii="Times New Roman" w:hAnsi="Times New Roman"/>
          <w:b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 xml:space="preserve">Количество к поставке:</w:t>
      </w:r>
      <w:r>
        <w:rPr>
          <w:rFonts w:ascii="Times New Roman" w:hAnsi="Times New Roman"/>
          <w:b/>
          <w:color w:val="auto"/>
          <w:sz w:val="22"/>
          <w:szCs w:val="22"/>
        </w:rPr>
      </w:r>
    </w:p>
    <w:p>
      <w:pPr>
        <w:pBdr/>
        <w:spacing w:after="0"/>
        <w:ind/>
        <w:contextualSpacing w:val="tru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tbl>
      <w:tblPr>
        <w:jc w:val="center"/>
        <w:tblW w:w="5090" w:type="pct"/>
        <w:tblBorders/>
        <w:tblpPr w:horzAnchor="margin" w:tblpXSpec="center" w:vertAnchor="text" w:tblpY="80" w:leftFromText="180" w:topFromText="0" w:rightFromText="180" w:bottomFromText="0"/>
        <w:tblLook w:val="04A0" w:firstRow="1" w:lastRow="0" w:firstColumn="1" w:lastColumn="0" w:noHBand="0" w:noVBand="1"/>
      </w:tblPr>
      <w:tblGrid>
        <w:gridCol w:w="723"/>
        <w:gridCol w:w="3490"/>
        <w:gridCol w:w="1295"/>
        <w:gridCol w:w="835"/>
        <w:gridCol w:w="2512"/>
        <w:gridCol w:w="1639"/>
      </w:tblGrid>
      <w:tr>
        <w:trPr>
          <w:jc w:val="center"/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№ п/п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3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Наименование 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Единица измерения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Кол-во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97" w:type="pct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КТРУ</w:t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81" w:type="pct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ОКПД2</w:t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jc w:val="center"/>
          <w:trHeight w:val="284" w:hRule="exact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3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Шт</w:t>
            </w:r>
            <w:bookmarkStart w:id="0" w:name="_GoBack"/>
            <w:r/>
            <w:bookmarkEnd w:id="0"/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ука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97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58.29.11.000-00000004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81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58.29.13.000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jc w:val="center"/>
          <w:trHeight w:val="284" w:hRule="exact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3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Штука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97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58.29.11.000-00000004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81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58.29.29.000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jc w:val="center"/>
          <w:trHeight w:val="284" w:hRule="exact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3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Штука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97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58.29.11.000-00000004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81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58.29.29.000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jc w:val="center"/>
          <w:trHeight w:val="284" w:hRule="exact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3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Штука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97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58.29.11.000-00000004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81" w:type="pct"/>
            <w:vAlign w:val="center"/>
            <w:textDirection w:val="lrTb"/>
            <w:noWrap w:val="false"/>
          </w:tcPr>
          <w:p>
            <w:pPr>
              <w:pStyle w:val="969"/>
              <w:pBdr/>
              <w:spacing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58.29.29.000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Bdr/>
        <w:spacing w:after="0"/>
        <w:ind/>
        <w:contextualSpacing w:val="tru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spacing/>
        <w:ind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Функциональные, технические и качественные характеристи</w:t>
      </w:r>
      <w:r>
        <w:rPr>
          <w:rFonts w:ascii="Times New Roman" w:hAnsi="Times New Roman"/>
          <w:b/>
          <w:color w:val="auto"/>
        </w:rPr>
        <w:t xml:space="preserve">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  <w:r>
        <w:rPr>
          <w:rFonts w:ascii="Times New Roman" w:hAnsi="Times New Roman"/>
          <w:b/>
          <w:color w:val="auto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660"/>
        <w:gridCol w:w="3653"/>
        <w:gridCol w:w="3084"/>
        <w:gridCol w:w="2911"/>
      </w:tblGrid>
      <w:tr>
        <w:trPr>
          <w:trHeight w:val="576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Характеристики товара, параметры товара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jc w:val="center"/>
              <w:rPr/>
            </w:pPr>
            <w:r>
              <w:t xml:space="preserve">Требуемое значение, величина параметра</w:t>
            </w:r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jc w:val="center"/>
              <w:rPr/>
            </w:pPr>
            <w:r>
              <w:t xml:space="preserve">Обоснование необходимости использования характеристик</w:t>
            </w:r>
            <w:r/>
          </w:p>
        </w:tc>
      </w:tr>
      <w:tr>
        <w:trPr>
          <w:trHeight w:val="393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 w:left="142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1515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Способ предоставления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48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Класс программ для электронных вычислительных машин и баз данных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12.20 - Информационные системы для решения специфических отраслевых задач</w:t>
            </w:r>
            <w:r/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48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Вид лицензии</w:t>
            </w:r>
            <w:r/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Простая (неисключительная)</w:t>
            </w:r>
            <w:r/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594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Наименование программного обеспечения</w:t>
            </w:r>
            <w:r/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уточнения потребности заказчика</w:t>
            </w:r>
            <w:r/>
          </w:p>
        </w:tc>
      </w:tr>
      <w:tr>
        <w:trPr>
          <w:trHeight w:val="378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jc w:val="both"/>
              <w:rPr/>
            </w:pPr>
            <w:r>
              <w:t xml:space="preserve">Возможность автоматизации всего спектра сметных расчетов:</w:t>
            </w:r>
            <w:r/>
          </w:p>
          <w:p>
            <w:pPr>
              <w:pStyle w:val="1020"/>
              <w:pBdr/>
              <w:spacing/>
              <w:ind w:firstLine="0"/>
              <w:jc w:val="both"/>
              <w:rPr/>
            </w:pPr>
            <w:r>
              <w:t xml:space="preserve">- создание локальных смет базисным, базисно-индексным, ресурсным, ресурсно-индексным методами расчета с поддержкой сочетания методов расчета в одном документе и сравнение итогов;</w:t>
            </w:r>
            <w:r/>
          </w:p>
          <w:p>
            <w:pPr>
              <w:pStyle w:val="1020"/>
              <w:pBdr/>
              <w:spacing/>
              <w:ind w:firstLine="0"/>
              <w:jc w:val="both"/>
              <w:rPr/>
            </w:pPr>
            <w:r>
              <w:t xml:space="preserve">- на основе локальных смет автоматическое создание объектных смет и сводных сметных расчетов с автоматическим распределением затрат по главам и синхронизацией данных при их изменении;</w:t>
            </w:r>
            <w:r/>
          </w:p>
          <w:p>
            <w:pPr>
              <w:pStyle w:val="1020"/>
              <w:pBdr/>
              <w:spacing/>
              <w:ind w:firstLine="0"/>
              <w:jc w:val="both"/>
              <w:rPr/>
            </w:pPr>
            <w:r>
              <w:t xml:space="preserve">- формирование актов о приемке выполненных работ по форме КС-2 как в процентном соотношении от невыполненного остатка, так и по фактически выполненным работам с контролем выполнения в виде гистограммы</w:t>
            </w:r>
            <w:r/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Составление и проверка сметной документации, формирование исполнительной документации</w:t>
            </w:r>
            <w:r/>
          </w:p>
        </w:tc>
      </w:tr>
      <w:tr>
        <w:trPr>
          <w:trHeight w:val="378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jc w:val="both"/>
              <w:rPr/>
            </w:pPr>
            <w:r>
              <w:t xml:space="preserve">В состав Программы включена информационно-справочная система (библиотека сметчика) с большим объемом полезной методической и нормативно-справочной, федеральной и региональной информацией </w:t>
            </w:r>
            <w:r/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Составление и проверка сметной документации, формирование исполнительной документации, контроль ценообразования</w:t>
            </w:r>
            <w:r/>
          </w:p>
        </w:tc>
      </w:tr>
      <w:tr>
        <w:trPr>
          <w:trHeight w:val="378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Защита от вредоносного программного обеспечения</w:t>
            </w:r>
            <w:r/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обеспечения безопасности программного обеспечения в инфраструктуре Заказчика</w:t>
            </w:r>
            <w:r/>
          </w:p>
        </w:tc>
      </w:tr>
      <w:tr>
        <w:trPr>
          <w:trHeight w:val="495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Язык интерфейса: русский</w:t>
            </w:r>
            <w:r/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удобства использования программного обеспечения в инфраструктуре Заказчика</w:t>
            </w:r>
            <w:r/>
          </w:p>
        </w:tc>
      </w:tr>
      <w:tr>
        <w:trPr>
          <w:trHeight w:val="639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Срок действия прав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12 месяцев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Дата начала действия неисключительного права на использование программного обеспечения должна наступать с даты передачи прав на программный продукт по контракту (договору)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 w:left="142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888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Способ предоставления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888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Класс программ для электронных вычислительных машин и баз данных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12.20: Информационные системы для решения специфических отраслевых задач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11.02:Предметно-ориентированные информационные базы данных (EDW)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398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Вид лицензии</w:t>
            </w:r>
            <w:r/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Простая (неисключительная)</w:t>
            </w:r>
            <w:r/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888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Наименование программного обеспечения</w:t>
            </w:r>
            <w:r/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уточнения потребности заказчика</w:t>
            </w:r>
            <w:r/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База данных для хранения комплекса сметных норм, расценок на эксплуатацию строительных машин и автотранспортных средств, сметных цен на материалы, изделия, конструкции и оборудование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Наличие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Составление и проверка сметной документации, формирование исполнительной документации</w:t>
            </w:r>
            <w:r/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и редактирование смет базисно-индексным, ресурсным, ресурсно-индексным методом;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Формирование актов выполненных работ, расчетов за выполненные объемы строительно-монтажных работ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Наличие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Составление и проверка сметной документации, формирование исполнительной документации</w:t>
            </w:r>
            <w:r/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Защита от вредоносного программного обеспечения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обеспечения безопасности программного обеспечения в инфраструктуре Заказчика</w:t>
            </w:r>
            <w:r/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Язык интерфейса: русский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удобства использования программного обеспечения в инфраструктуре Заказчика</w:t>
            </w:r>
            <w:r/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Срок действия прав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12 месяцев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Дата начала действия неисключительного права на использование программного обеспечения должна наступать с даты передачи прав на программный продукт по контракту (договору)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995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 w:left="142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3.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1736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Способ предоставления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564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Класс программ для электронных вычислительных машин и баз данных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96" w:type="pct"/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/>
              <w:ind/>
              <w:outlineLvl w:val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12.08: Программное обеспечение для решения отраслевых задач в области строительства зданий и инженерных сооружений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after="0"/>
              <w:ind/>
              <w:outlineLvl w:val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after="0"/>
              <w:ind/>
              <w:outlineLvl w:val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11.02:Предметно-ориентированные информационные базы данных (EDW)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Вид лицензии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Простая (неисключительная)</w:t>
            </w:r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Наименование программного обеспечения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/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уточнения потребности заказчика</w:t>
            </w:r>
            <w:r/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Возможность хранения данных строительно-технических характеристик по строительным материалам, изделиям, конструкциям и технологиям, машинам и механизмам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Наличие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Информационная поддержка в области строительных матреиалов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Защита от вредоносного программного обеспечения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обеспечения безопасности программного обеспечения в инфраструктуре Заказчика</w:t>
            </w:r>
            <w:r/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Язык интерфейса: русский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удобства использования программного обеспечения в инфраструктуре Заказчика</w:t>
            </w:r>
            <w:r/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Срок действия прав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12 месяцев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Дата начала действия неисключительного права на использование программного обеспечения должна наступать с даты передачи прав на программный продукт по контракту (договору)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 w:left="142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4.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  <w:shd w:val="clear" w:color="auto" w:fill="ffffff"/>
              </w:rPr>
            </w:r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630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pBdr/>
              <w:spacing w:after="0"/>
              <w:ind w:left="142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Способ предоставления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r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1768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Класс программ для электронных вычислительных машин и баз данных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/>
              <w:ind/>
              <w:outlineLvl w:val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12.08: Программное обеспечение для решения отраслевых задач в области строительства зданий и инженерных сооружений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after="0"/>
              <w:ind/>
              <w:outlineLvl w:val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11.02:Предметно-ориентированные информационные базы данных (EDW)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r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344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Вид лицензии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Простая (неисключительная)</w:t>
            </w:r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соответствии с КТРУ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trHeight w:val="1768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Наименование программного обеспечения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/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уточнения потребности заказчика</w:t>
            </w:r>
            <w:r/>
          </w:p>
        </w:tc>
      </w:tr>
      <w:tr>
        <w:trPr>
          <w:trHeight w:val="933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Возможность определения:</w:t>
            </w:r>
            <w:r/>
          </w:p>
          <w:p>
            <w:pPr>
              <w:pStyle w:val="1020"/>
              <w:pBdr/>
              <w:spacing/>
              <w:ind w:firstLine="0"/>
              <w:rPr/>
            </w:pPr>
            <w:r>
              <w:t xml:space="preserve">- стоимости разработки проектной и рабочей документации для строительства;</w:t>
            </w:r>
            <w:r/>
          </w:p>
          <w:p>
            <w:pPr>
              <w:pStyle w:val="1020"/>
              <w:pBdr/>
              <w:spacing/>
              <w:ind w:firstLine="0"/>
              <w:rPr/>
            </w:pPr>
            <w:r>
              <w:t xml:space="preserve">- стоимости изыскательских работ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Составление и проверка сметной документации</w:t>
            </w:r>
            <w:r/>
          </w:p>
        </w:tc>
      </w:tr>
      <w:tr>
        <w:trPr>
          <w:trHeight w:val="689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Защита от вредоносного программного обеспечения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обеспечения безопасности программного обеспечения в инфраструктуре Заказчика</w:t>
            </w:r>
            <w:r/>
          </w:p>
        </w:tc>
      </w:tr>
      <w:tr>
        <w:trPr>
          <w:trHeight w:val="557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Язык интерфейса: русский</w:t>
            </w:r>
            <w:r/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t xml:space="preserve">Для удобства использования программного обеспечения в инфраструктуре Заказчика</w:t>
            </w:r>
            <w:r/>
          </w:p>
        </w:tc>
      </w:tr>
      <w:tr>
        <w:trPr>
          <w:trHeight w:val="876"/>
        </w:trPr>
        <w:tc>
          <w:tcPr>
            <w:tcBorders/>
            <w:tcW w:w="320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77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Срок действия прав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96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12 месяцев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412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Дата начала действия неисключительного права на использование программного обеспечения должна наступать с даты передачи прав на программный продукт по контракту (договору)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widowControl w:val="false"/>
              <w:pBdr/>
              <w:spacing w:after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Bdr/>
        <w:spacing w:after="0" w:line="20" w:lineRule="atLeast"/>
        <w:ind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0" w:lineRule="atLeast"/>
        <w:ind/>
        <w:jc w:val="right"/>
        <w:outlineLvl w:val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Приложение №1 к технической части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line="20" w:lineRule="atLeast"/>
        <w:ind/>
        <w:jc w:val="right"/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tbl>
      <w:tblPr>
        <w:jc w:val="center"/>
        <w:tblW w:w="10262" w:type="dxa"/>
        <w:tblCellMar>
          <w:left w:w="10" w:type="dxa"/>
          <w:right w:w="10" w:type="dxa"/>
        </w:tblCellMar>
        <w:tblBorders/>
        <w:tblLayout w:type="fixed"/>
        <w:tblOverlap w:val="never"/>
        <w:tblLook w:val="0000" w:firstRow="0" w:lastRow="0" w:firstColumn="0" w:lastColumn="0" w:noHBand="0" w:noVBand="0"/>
      </w:tblPr>
      <w:tblGrid>
        <w:gridCol w:w="696"/>
        <w:gridCol w:w="6562"/>
        <w:gridCol w:w="3004"/>
      </w:tblGrid>
      <w:tr>
        <w:trPr>
          <w:jc w:val="center"/>
          <w:trHeight w:val="57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b/>
                <w:bCs/>
                <w:color w:val="000000"/>
              </w:rPr>
              <w:t xml:space="preserve">№</w:t>
            </w:r>
            <w:r/>
          </w:p>
          <w:p>
            <w:pPr>
              <w:pStyle w:val="1020"/>
              <w:pBdr/>
              <w:spacing/>
              <w:ind w:firstLine="0"/>
              <w:rPr/>
            </w:pPr>
            <w:r>
              <w:rPr>
                <w:b/>
                <w:bCs/>
                <w:color w:val="000000"/>
              </w:rPr>
              <w:t xml:space="preserve">п/п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562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b/>
                <w:bCs/>
                <w:color w:val="000000"/>
              </w:rPr>
              <w:t xml:space="preserve">Страна происхождения, номера реестровых записей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4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b/>
                <w:bCs/>
                <w:color w:val="000000"/>
              </w:rPr>
              <w:t xml:space="preserve">Требуемое значение показателя</w:t>
            </w:r>
            <w:r/>
          </w:p>
        </w:tc>
      </w:tr>
      <w:tr>
        <w:trPr>
          <w:jc w:val="center"/>
          <w:trHeight w:val="101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1.1.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6562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Страна происхождения в соответствии с общероссийским классификатором, используемым для идентификации стран мира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004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jc w:val="center"/>
              <w:rPr/>
            </w:pPr>
            <w:r>
              <w:rPr>
                <w:color w:val="000000"/>
              </w:rPr>
              <w:t xml:space="preserve">Указывается</w:t>
            </w:r>
            <w:r/>
          </w:p>
        </w:tc>
      </w:tr>
      <w:tr>
        <w:trPr>
          <w:jc w:val="center"/>
          <w:trHeight w:val="240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1.2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562" w:type="dxa"/>
            <w:vAlign w:val="center"/>
            <w:textDirection w:val="lrTb"/>
            <w:noWrap w:val="false"/>
          </w:tcPr>
          <w:p>
            <w:pPr>
              <w:pStyle w:val="1020"/>
              <w:numPr>
                <w:ilvl w:val="0"/>
                <w:numId w:val="23"/>
              </w:numPr>
              <w:pBdr/>
              <w:tabs>
                <w:tab w:val="left" w:leader="none" w:pos="163"/>
              </w:tabs>
              <w:spacing w:line="276" w:lineRule="auto"/>
              <w:ind w:firstLine="0"/>
              <w:rPr/>
            </w:pPr>
            <w:r>
              <w:rPr>
                <w:color w:val="000000"/>
              </w:rPr>
              <w:t xml:space="preserve">порядковый номер реестровой записи из единого реестра российских программ для электронных вычислительных машин и баз данных (далее - реестр российского программного обеспечения);</w:t>
            </w:r>
            <w:r/>
          </w:p>
          <w:p>
            <w:pPr>
              <w:pStyle w:val="1020"/>
              <w:numPr>
                <w:ilvl w:val="0"/>
                <w:numId w:val="23"/>
              </w:numPr>
              <w:pBdr/>
              <w:tabs>
                <w:tab w:val="left" w:leader="none" w:pos="144"/>
              </w:tabs>
              <w:spacing w:line="276" w:lineRule="auto"/>
              <w:ind w:firstLine="0"/>
              <w:rPr/>
            </w:pPr>
            <w:r>
              <w:rPr>
                <w:color w:val="000000"/>
              </w:rPr>
              <w:t xml:space="preserve">поряд</w:t>
            </w:r>
            <w:r>
              <w:rPr>
                <w:color w:val="000000"/>
              </w:rPr>
              <w:t xml:space="preserve">ковый номер реестровой записи из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 (далее - реестр евразийского программного обеспечения)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4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 w:left="133"/>
              <w:rPr/>
            </w:pPr>
            <w:r>
              <w:rPr>
                <w:color w:val="000000"/>
              </w:rPr>
              <w:t xml:space="preserve">Указывается участником Установлен запрет закупок товаров, происходящих из иностранных государств, выполняемых работ, оказываемых услуг иностранными лицами в соответствии с ПП 1875</w:t>
            </w:r>
            <w:r/>
          </w:p>
        </w:tc>
      </w:tr>
    </w:tbl>
    <w:p>
      <w:pPr>
        <w:pBdr/>
        <w:spacing w:after="0" w:line="20" w:lineRule="atLeast"/>
        <w:ind/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98"/>
        <w:numPr>
          <w:ilvl w:val="0"/>
          <w:numId w:val="25"/>
        </w:numPr>
        <w:pBdr/>
        <w:spacing w:after="0" w:before="0"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Общие требования к передаваемым правам</w:t>
      </w:r>
      <w:r>
        <w:rPr>
          <w:rFonts w:ascii="Times New Roman" w:hAnsi="Times New Roman"/>
          <w:b/>
          <w:sz w:val="22"/>
          <w:szCs w:val="22"/>
        </w:rPr>
      </w:r>
    </w:p>
    <w:p>
      <w:pPr>
        <w:pBdr/>
        <w:spacing w:after="0"/>
        <w:ind w:left="34"/>
        <w:rPr>
          <w:rFonts w:ascii="Times New Roman" w:hAnsi="Times New Roman"/>
          <w:color w:val="auto"/>
          <w:sz w:val="22"/>
          <w:szCs w:val="22"/>
          <w:lang w:eastAsia="zh-CN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1.1 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Приобретение передаваемых неисключительных прав осуществляется с необходимостью обеспечить совместимость с уже используемым программным обеспечением у Заказчика в формате флеш-версии </w:t>
      </w:r>
      <w:r>
        <w:rPr>
          <w:rFonts w:ascii="Times New Roman" w:hAnsi="Times New Roman"/>
          <w:color w:val="auto"/>
          <w:spacing w:val="2"/>
          <w:sz w:val="22"/>
          <w:szCs w:val="22"/>
          <w:shd w:val="clear" w:color="auto" w:fill="ffffff"/>
        </w:rPr>
        <w:t xml:space="preserve">программы для ЭВМ «Программный комплекс «ГРАНД-Смета»:</w:t>
      </w:r>
      <w:r>
        <w:rPr>
          <w:rFonts w:ascii="Times New Roman" w:hAnsi="Times New Roman"/>
          <w:color w:val="auto"/>
          <w:sz w:val="22"/>
          <w:szCs w:val="22"/>
          <w:lang w:eastAsia="zh-CN"/>
        </w:rPr>
      </w:r>
    </w:p>
    <w:p>
      <w:pPr>
        <w:pBdr/>
        <w:spacing w:after="0"/>
        <w:ind w:left="34"/>
        <w:rPr>
          <w:rFonts w:ascii="Times New Roman" w:hAnsi="Times New Roman"/>
          <w:color w:val="auto"/>
          <w:sz w:val="22"/>
          <w:szCs w:val="22"/>
          <w:lang w:val="en-US" w:eastAsia="zh-CN"/>
        </w:rPr>
      </w:pP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Модель</w:t>
      </w:r>
      <w:r>
        <w:rPr>
          <w:rFonts w:ascii="Times New Roman" w:hAnsi="Times New Roman"/>
          <w:color w:val="auto"/>
          <w:sz w:val="22"/>
          <w:szCs w:val="22"/>
          <w:lang w:val="en-US" w:eastAsia="zh-CN"/>
        </w:rPr>
        <w:t xml:space="preserve">: Guardant Sign MicroSD, 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Версия</w:t>
      </w:r>
      <w:r>
        <w:rPr>
          <w:rFonts w:ascii="Times New Roman" w:hAnsi="Times New Roman"/>
          <w:color w:val="auto"/>
          <w:sz w:val="22"/>
          <w:szCs w:val="22"/>
          <w:lang w:val="en-US" w:eastAsia="zh-CN"/>
        </w:rPr>
        <w:t xml:space="preserve"> API: 7.0.301.0</w:t>
      </w:r>
      <w:r>
        <w:rPr>
          <w:rFonts w:ascii="Times New Roman" w:hAnsi="Times New Roman"/>
          <w:color w:val="auto"/>
          <w:sz w:val="22"/>
          <w:szCs w:val="22"/>
          <w:lang w:val="en-US" w:eastAsia="zh-CN"/>
        </w:rPr>
      </w:r>
    </w:p>
    <w:p>
      <w:pPr>
        <w:pBdr/>
        <w:spacing w:after="0"/>
        <w:ind w:left="34"/>
        <w:rPr>
          <w:rFonts w:ascii="Times New Roman" w:hAnsi="Times New Roman"/>
          <w:color w:val="000000"/>
          <w:sz w:val="22"/>
          <w:szCs w:val="22"/>
          <w:lang w:eastAsia="zh-CN"/>
        </w:rPr>
      </w:pPr>
      <w:r>
        <w:rPr>
          <w:rFonts w:ascii="Times New Roman" w:hAnsi="Times New Roman"/>
          <w:color w:val="000000"/>
          <w:sz w:val="22"/>
          <w:szCs w:val="22"/>
          <w:lang w:eastAsia="zh-CN"/>
        </w:rPr>
        <w:t xml:space="preserve">ID: 1016550774, Дата изготовления: 23 апреля 2020 г.</w:t>
      </w:r>
      <w:r>
        <w:rPr>
          <w:rFonts w:ascii="Times New Roman" w:hAnsi="Times New Roman"/>
          <w:color w:val="000000"/>
          <w:sz w:val="22"/>
          <w:szCs w:val="22"/>
          <w:lang w:eastAsia="zh-CN"/>
        </w:rPr>
      </w:r>
    </w:p>
    <w:p>
      <w:pPr>
        <w:pBdr/>
        <w:spacing w:after="0"/>
        <w:ind w:left="34"/>
        <w:rPr>
          <w:rFonts w:ascii="Times New Roman" w:hAnsi="Times New Roman"/>
          <w:color w:val="000000"/>
          <w:sz w:val="22"/>
          <w:szCs w:val="22"/>
          <w:lang w:eastAsia="zh-CN"/>
        </w:rPr>
      </w:pPr>
      <w:r>
        <w:rPr>
          <w:rFonts w:ascii="Times New Roman" w:hAnsi="Times New Roman"/>
          <w:color w:val="000000"/>
          <w:sz w:val="22"/>
          <w:szCs w:val="22"/>
          <w:lang w:eastAsia="zh-CN"/>
        </w:rPr>
        <w:t xml:space="preserve">Тип ключа: Проф, Версия прошивки: 3</w:t>
      </w:r>
      <w:r>
        <w:rPr>
          <w:rFonts w:ascii="Times New Roman" w:hAnsi="Times New Roman"/>
          <w:color w:val="000000"/>
          <w:sz w:val="22"/>
          <w:szCs w:val="22"/>
          <w:lang w:eastAsia="zh-CN"/>
        </w:rPr>
      </w:r>
    </w:p>
    <w:p>
      <w:pPr>
        <w:pBdr/>
        <w:spacing w:after="0"/>
        <w:ind w:left="34"/>
        <w:rPr>
          <w:rFonts w:ascii="Times New Roman" w:hAnsi="Times New Roman"/>
          <w:color w:val="000000"/>
          <w:sz w:val="22"/>
          <w:szCs w:val="22"/>
          <w:lang w:eastAsia="zh-CN"/>
        </w:rPr>
      </w:pPr>
      <w:r>
        <w:rPr>
          <w:rFonts w:ascii="Times New Roman" w:hAnsi="Times New Roman"/>
          <w:color w:val="000000"/>
          <w:sz w:val="22"/>
          <w:szCs w:val="22"/>
          <w:lang w:eastAsia="zh-CN"/>
        </w:rPr>
        <w:t xml:space="preserve">Серийный номер: 4887, Номер партии: 200</w:t>
      </w:r>
      <w:r>
        <w:rPr>
          <w:rFonts w:ascii="Times New Roman" w:hAnsi="Times New Roman"/>
          <w:color w:val="000000"/>
          <w:sz w:val="22"/>
          <w:szCs w:val="22"/>
          <w:lang w:eastAsia="zh-CN"/>
        </w:rPr>
      </w:r>
    </w:p>
    <w:p>
      <w:pPr>
        <w:pBdr/>
        <w:spacing w:after="0"/>
        <w:ind w:left="34"/>
        <w:rPr>
          <w:rFonts w:ascii="Times New Roman" w:hAnsi="Times New Roman"/>
          <w:color w:val="000000"/>
          <w:sz w:val="22"/>
          <w:szCs w:val="22"/>
          <w:lang w:eastAsia="zh-CN"/>
        </w:rPr>
      </w:pPr>
      <w:r>
        <w:rPr>
          <w:rFonts w:ascii="Times New Roman" w:hAnsi="Times New Roman"/>
          <w:color w:val="000000"/>
          <w:sz w:val="22"/>
          <w:szCs w:val="22"/>
          <w:lang w:eastAsia="zh-CN"/>
        </w:rPr>
        <w:t xml:space="preserve">Лимит пользователей ключа: 1</w:t>
      </w:r>
      <w:r>
        <w:rPr>
          <w:rFonts w:ascii="Times New Roman" w:hAnsi="Times New Roman"/>
          <w:color w:val="000000"/>
          <w:sz w:val="22"/>
          <w:szCs w:val="22"/>
          <w:lang w:eastAsia="zh-CN"/>
        </w:rPr>
      </w:r>
    </w:p>
    <w:p>
      <w:pPr>
        <w:pStyle w:val="1027"/>
        <w:keepNext w:val="true"/>
        <w:keepLines w:val="true"/>
        <w:pBdr/>
        <w:spacing/>
        <w:ind/>
        <w:jc w:val="left"/>
        <w:rPr>
          <w:b w:val="0"/>
        </w:rPr>
      </w:pPr>
      <w:r>
        <w:rPr>
          <w:b w:val="0"/>
          <w:color w:val="000000"/>
        </w:rPr>
        <w:t xml:space="preserve">1.2 </w:t>
      </w:r>
      <w:bookmarkStart w:id="1" w:name="bookmark20"/>
      <w:r/>
      <w:bookmarkStart w:id="2" w:name="bookmark21"/>
      <w:r/>
      <w:bookmarkStart w:id="3" w:name="bookmark22"/>
      <w:r>
        <w:rPr>
          <w:b w:val="0"/>
          <w:color w:val="000000"/>
        </w:rPr>
        <w:t xml:space="preserve">Объём передаваемых прав</w:t>
      </w:r>
      <w:bookmarkEnd w:id="1"/>
      <w:r/>
      <w:bookmarkEnd w:id="2"/>
      <w:r/>
      <w:bookmarkEnd w:id="3"/>
      <w:r>
        <w:rPr>
          <w:b w:val="0"/>
          <w:color w:val="000000"/>
        </w:rPr>
        <w:t xml:space="preserve">:</w:t>
      </w:r>
      <w:r>
        <w:rPr>
          <w:b w:val="0"/>
        </w:rPr>
      </w:r>
    </w:p>
    <w:p>
      <w:pPr>
        <w:pStyle w:val="1025"/>
        <w:pBdr/>
        <w:spacing/>
        <w:ind w:firstLine="720"/>
        <w:jc w:val="both"/>
        <w:rPr/>
      </w:pPr>
      <w:r>
        <w:rPr>
          <w:color w:val="000000"/>
        </w:rPr>
        <w:t xml:space="preserve">Неисключительное право, предоставляемое Лицензиату, включает в себя право использовать программное обеспечение на территории Российской Федерации следующими способами:</w:t>
      </w:r>
      <w:r/>
    </w:p>
    <w:p>
      <w:pPr>
        <w:pStyle w:val="1025"/>
        <w:numPr>
          <w:ilvl w:val="0"/>
          <w:numId w:val="24"/>
        </w:numPr>
        <w:pBdr/>
        <w:tabs>
          <w:tab w:val="left" w:leader="none" w:pos="920"/>
        </w:tabs>
        <w:spacing/>
        <w:ind w:firstLine="720"/>
        <w:jc w:val="both"/>
        <w:rPr/>
      </w:pPr>
      <w:r/>
      <w:bookmarkStart w:id="4" w:name="bookmark23"/>
      <w:r/>
      <w:bookmarkEnd w:id="4"/>
      <w:r>
        <w:rPr>
          <w:color w:val="000000"/>
        </w:rPr>
        <w:t xml:space="preserve">запись и хранение программного обеспечения в памяти ЭВМ и осуществление действий, необходимых для функционирования программного обеспечения в соответствии с его прямым назначением;</w:t>
      </w:r>
      <w:r/>
    </w:p>
    <w:p>
      <w:pPr>
        <w:pStyle w:val="1025"/>
        <w:numPr>
          <w:ilvl w:val="0"/>
          <w:numId w:val="24"/>
        </w:numPr>
        <w:pBdr/>
        <w:tabs>
          <w:tab w:val="left" w:leader="none" w:pos="920"/>
        </w:tabs>
        <w:spacing/>
        <w:ind w:firstLine="720"/>
        <w:jc w:val="both"/>
        <w:rPr/>
      </w:pPr>
      <w:r/>
      <w:bookmarkStart w:id="5" w:name="bookmark24"/>
      <w:r/>
      <w:bookmarkEnd w:id="5"/>
      <w:r>
        <w:rPr>
          <w:color w:val="000000"/>
        </w:rPr>
        <w:t xml:space="preserve">адаптация программного обеспечения встроенными в него средствами исключительно для собственных нужд;</w:t>
      </w:r>
      <w:r/>
    </w:p>
    <w:p>
      <w:pPr>
        <w:pStyle w:val="1025"/>
        <w:numPr>
          <w:ilvl w:val="0"/>
          <w:numId w:val="24"/>
        </w:numPr>
        <w:pBdr/>
        <w:tabs>
          <w:tab w:val="left" w:leader="none" w:pos="920"/>
        </w:tabs>
        <w:spacing/>
        <w:ind w:firstLine="720"/>
        <w:jc w:val="both"/>
        <w:rPr/>
      </w:pPr>
      <w:r/>
      <w:bookmarkStart w:id="6" w:name="bookmark25"/>
      <w:r/>
      <w:bookmarkEnd w:id="6"/>
      <w:r>
        <w:rPr>
          <w:color w:val="000000"/>
        </w:rPr>
        <w:t xml:space="preserve">изготовление копий программного обеспечения для собственных нужд, при условии, что эти копии предназначены только для архивных целей, или для осуществления тестовы</w:t>
      </w:r>
      <w:r>
        <w:rPr>
          <w:color w:val="000000"/>
        </w:rPr>
        <w:t xml:space="preserve">х работ, проводимых для апробации модернизированной версии программного обеспечения перед вводом ее в эксплуатацию, или для замены экземпляра программного обеспечения в случаях, когда такой экземпляр утерян, уничтожен или стал непригоден для использования.</w:t>
      </w:r>
      <w:r/>
    </w:p>
    <w:p>
      <w:pPr>
        <w:pStyle w:val="1025"/>
        <w:pBdr/>
        <w:spacing w:after="280"/>
        <w:ind w:firstLine="720"/>
        <w:jc w:val="both"/>
        <w:rPr>
          <w:color w:val="000000"/>
        </w:rPr>
      </w:pPr>
      <w:r>
        <w:rPr>
          <w:color w:val="000000"/>
        </w:rPr>
        <w:t xml:space="preserve">Неисключительное право не должно являться предметом претензий о нарушениях патентного права любой третьей стороны.</w:t>
      </w:r>
      <w:r>
        <w:rPr>
          <w:color w:val="000000"/>
        </w:rPr>
      </w:r>
    </w:p>
    <w:p>
      <w:pPr>
        <w:pStyle w:val="1025"/>
        <w:pBdr/>
        <w:spacing/>
        <w:ind w:firstLine="0"/>
        <w:jc w:val="both"/>
        <w:rPr>
          <w:color w:val="000000"/>
        </w:rPr>
      </w:pPr>
      <w:r>
        <w:rPr>
          <w:color w:val="000000"/>
          <w:lang w:eastAsia="zh-CN"/>
        </w:rPr>
        <w:t xml:space="preserve">1.3. </w:t>
      </w:r>
      <w:r>
        <w:rPr>
          <w:color w:val="000000"/>
        </w:rPr>
        <w:t xml:space="preserve">Дата окончания срока действия текущей лицензии: 23.09.2025. </w:t>
      </w:r>
      <w:r>
        <w:rPr>
          <w:color w:val="000000"/>
        </w:rPr>
      </w:r>
    </w:p>
    <w:p>
      <w:pPr>
        <w:widowControl w:val="false"/>
        <w:pBdr/>
        <w:spacing w:after="0"/>
        <w:ind/>
        <w:rPr>
          <w:rFonts w:ascii="Times New Roman" w:hAnsi="Times New Roman"/>
          <w:color w:val="000000"/>
          <w:sz w:val="22"/>
          <w:szCs w:val="22"/>
          <w:lang w:eastAsia="zh-CN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1.4. Срок действия приобретаемой лицензии: </w:t>
      </w:r>
      <w:r>
        <w:rPr>
          <w:rFonts w:ascii="Times New Roman" w:hAnsi="Times New Roman"/>
          <w:b/>
          <w:bCs/>
          <w:color w:val="1a1919"/>
          <w:sz w:val="22"/>
          <w:szCs w:val="22"/>
        </w:rPr>
        <w:t xml:space="preserve">12 месяцев.</w:t>
      </w:r>
      <w:r>
        <w:rPr>
          <w:rFonts w:ascii="Times New Roman" w:hAnsi="Times New Roman"/>
          <w:color w:val="000000"/>
          <w:sz w:val="22"/>
          <w:szCs w:val="22"/>
          <w:lang w:eastAsia="zh-CN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zh-CN"/>
        </w:rPr>
      </w:r>
    </w:p>
    <w:p>
      <w:pPr>
        <w:pBdr/>
        <w:spacing w:after="0"/>
        <w:ind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Дата начала действия неисключительного пр</w:t>
      </w:r>
      <w:r>
        <w:rPr>
          <w:rFonts w:ascii="Times New Roman" w:hAnsi="Times New Roman"/>
          <w:color w:val="auto"/>
          <w:sz w:val="22"/>
          <w:szCs w:val="22"/>
        </w:rPr>
        <w:t xml:space="preserve">ава на использование программного обеспечения должна наступать с даты передачи прав на программный продукт по контракту. Передача неисключительного права на программы для ЭВМ подтверждается передачей Заказчику именной лицензии (лицензионного сертификата) в</w:t>
      </w:r>
      <w:r>
        <w:rPr>
          <w:rFonts w:ascii="Times New Roman" w:hAnsi="Times New Roman" w:eastAsiaTheme="minorHAnsi"/>
          <w:color w:val="auto"/>
          <w:sz w:val="22"/>
          <w:szCs w:val="22"/>
        </w:rPr>
        <w:t xml:space="preserve"> электронном виде, в комплекте с необходимыми сертификатами, содержащими пароли и коды доступа (при наличии).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1025"/>
        <w:pBdr/>
        <w:spacing/>
        <w:ind w:firstLine="0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1025"/>
        <w:pBdr/>
        <w:spacing/>
        <w:ind w:firstLine="0"/>
        <w:jc w:val="center"/>
        <w:rPr>
          <w:b/>
        </w:rPr>
      </w:pPr>
      <w:r>
        <w:rPr>
          <w:b/>
          <w:color w:val="000000"/>
        </w:rPr>
        <w:t xml:space="preserve">2. Требования к гарантии</w:t>
      </w:r>
      <w:r>
        <w:rPr>
          <w:b/>
        </w:rPr>
      </w:r>
    </w:p>
    <w:tbl>
      <w:tblPr>
        <w:jc w:val="center"/>
        <w:tblW w:w="0" w:type="auto"/>
        <w:tblCellMar>
          <w:left w:w="10" w:type="dxa"/>
          <w:right w:w="10" w:type="dxa"/>
        </w:tblCellMar>
        <w:tblBorders/>
        <w:tblLayout w:type="fixed"/>
        <w:tblOverlap w:val="never"/>
        <w:tblLook w:val="0000" w:firstRow="0" w:lastRow="0" w:firstColumn="0" w:lastColumn="0" w:noHBand="0" w:noVBand="0"/>
      </w:tblPr>
      <w:tblGrid>
        <w:gridCol w:w="701"/>
        <w:gridCol w:w="6768"/>
        <w:gridCol w:w="2520"/>
      </w:tblGrid>
      <w:tr>
        <w:trPr>
          <w:jc w:val="center"/>
          <w:trHeight w:val="53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01" w:type="dxa"/>
            <w:vAlign w:val="bottom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№ п/п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6768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jc w:val="both"/>
              <w:rPr/>
            </w:pPr>
            <w:r>
              <w:rPr>
                <w:color w:val="000000"/>
              </w:rPr>
              <w:t xml:space="preserve">Требование к гарантии и ее срокам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20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jc w:val="center"/>
              <w:rPr/>
            </w:pPr>
            <w:r>
              <w:rPr>
                <w:color w:val="000000"/>
              </w:rPr>
              <w:t xml:space="preserve">Значение показателя</w:t>
            </w:r>
            <w:r/>
          </w:p>
        </w:tc>
      </w:tr>
      <w:tr>
        <w:trPr>
          <w:jc w:val="center"/>
          <w:trHeight w:val="773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6768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обновлений программного комплекса в течение не менее 12 месяцев с даты активации неисключительных (пользовательских) прав</w:t>
            </w:r>
            <w:r>
              <w:rPr>
                <w:color w:val="000000"/>
              </w:rPr>
            </w:r>
          </w:p>
          <w:p>
            <w:pPr>
              <w:pStyle w:val="1020"/>
              <w:pBdr/>
              <w:spacing/>
              <w:ind w:firstLine="0"/>
              <w:rPr/>
            </w:pPr>
            <w:r/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20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Наличие</w:t>
            </w:r>
            <w:r/>
          </w:p>
        </w:tc>
      </w:tr>
      <w:tr>
        <w:trPr>
          <w:jc w:val="center"/>
          <w:trHeight w:val="41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6768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Гарантийный срок эксплуатации не менее 12 месяцев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20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Наличие</w:t>
            </w:r>
            <w:r/>
          </w:p>
        </w:tc>
      </w:tr>
      <w:tr>
        <w:trPr>
          <w:jc w:val="center"/>
          <w:trHeight w:val="121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768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Консультационная помощь по вопросам установки и эксплуатации программного обеспечения, включая идентификацию ошибок в работе программного обеспечения и выработку решений по их устранению в течение не менее 12 месяцев</w:t>
            </w:r>
            <w:r>
              <w:rPr>
                <w:color w:val="000000"/>
              </w:rPr>
            </w:r>
          </w:p>
          <w:p>
            <w:pPr>
              <w:pStyle w:val="1020"/>
              <w:pBdr/>
              <w:spacing/>
              <w:ind w:firstLine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1020"/>
              <w:pBdr/>
              <w:spacing/>
              <w:ind w:firstLine="0"/>
              <w:rPr/>
            </w:pPr>
            <w:r/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0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/>
              <w:ind w:firstLine="0"/>
              <w:rPr/>
            </w:pPr>
            <w:r>
              <w:rPr>
                <w:color w:val="000000"/>
              </w:rPr>
              <w:t xml:space="preserve">Наличие</w:t>
            </w:r>
            <w:r/>
          </w:p>
        </w:tc>
      </w:tr>
    </w:tbl>
    <w:p>
      <w:pPr>
        <w:pStyle w:val="1025"/>
        <w:pBdr/>
        <w:spacing/>
        <w:ind w:firstLine="708"/>
        <w:jc w:val="both"/>
        <w:rPr/>
      </w:pPr>
      <w:r>
        <w:rPr>
          <w:color w:val="000000"/>
        </w:rPr>
        <w:t xml:space="preserve">В течение всего срока действия гарантии Лицензиар предоставляет Лицензиату:</w:t>
      </w:r>
      <w:r/>
    </w:p>
    <w:p>
      <w:pPr>
        <w:pStyle w:val="1025"/>
        <w:numPr>
          <w:ilvl w:val="0"/>
          <w:numId w:val="24"/>
        </w:numPr>
        <w:pBdr/>
        <w:tabs>
          <w:tab w:val="left" w:leader="none" w:pos="925"/>
        </w:tabs>
        <w:spacing/>
        <w:ind w:firstLine="720"/>
        <w:jc w:val="both"/>
        <w:rPr/>
      </w:pPr>
      <w:r/>
      <w:bookmarkStart w:id="7" w:name="bookmark26"/>
      <w:r/>
      <w:bookmarkEnd w:id="7"/>
      <w:r>
        <w:rPr>
          <w:color w:val="000000"/>
        </w:rPr>
        <w:t xml:space="preserve">доступ к сайту разработчика для скачивания экземпляров программного обеспечения;</w:t>
      </w:r>
      <w:r/>
    </w:p>
    <w:p>
      <w:pPr>
        <w:pStyle w:val="1025"/>
        <w:numPr>
          <w:ilvl w:val="0"/>
          <w:numId w:val="24"/>
        </w:numPr>
        <w:pBdr/>
        <w:tabs>
          <w:tab w:val="left" w:leader="none" w:pos="911"/>
        </w:tabs>
        <w:spacing/>
        <w:ind w:firstLine="720"/>
        <w:jc w:val="both"/>
        <w:rPr/>
      </w:pPr>
      <w:r/>
      <w:bookmarkStart w:id="8" w:name="bookmark27"/>
      <w:r/>
      <w:bookmarkEnd w:id="8"/>
      <w:r>
        <w:rPr>
          <w:color w:val="000000"/>
        </w:rPr>
        <w:t xml:space="preserve">доступ к сайту разработчика для скачивания новых версий программного обеспечения в течении гарантийного срока;</w:t>
      </w:r>
      <w:r/>
    </w:p>
    <w:p>
      <w:pPr>
        <w:pStyle w:val="1025"/>
        <w:numPr>
          <w:ilvl w:val="0"/>
          <w:numId w:val="24"/>
        </w:numPr>
        <w:pBdr/>
        <w:tabs>
          <w:tab w:val="left" w:leader="none" w:pos="925"/>
        </w:tabs>
        <w:spacing/>
        <w:ind w:firstLine="720"/>
        <w:jc w:val="both"/>
        <w:rPr/>
      </w:pPr>
      <w:r/>
      <w:bookmarkStart w:id="9" w:name="bookmark28"/>
      <w:r/>
      <w:bookmarkEnd w:id="9"/>
      <w:r>
        <w:rPr>
          <w:color w:val="000000"/>
        </w:rPr>
        <w:t xml:space="preserve">консультации со специалистами разработчика по телефону или электронной почте;</w:t>
      </w:r>
      <w:r/>
    </w:p>
    <w:p>
      <w:pPr>
        <w:pStyle w:val="1025"/>
        <w:numPr>
          <w:ilvl w:val="0"/>
          <w:numId w:val="24"/>
        </w:numPr>
        <w:pBdr/>
        <w:tabs>
          <w:tab w:val="left" w:leader="none" w:pos="925"/>
        </w:tabs>
        <w:spacing/>
        <w:ind w:firstLine="720"/>
        <w:jc w:val="both"/>
        <w:rPr/>
      </w:pPr>
      <w:r/>
      <w:bookmarkStart w:id="10" w:name="bookmark29"/>
      <w:r/>
      <w:bookmarkEnd w:id="10"/>
      <w:r>
        <w:rPr>
          <w:color w:val="000000"/>
        </w:rPr>
        <w:t xml:space="preserve">приём и обработку запросов Заказчика на оказание технической поддержки.</w:t>
      </w:r>
      <w:r/>
    </w:p>
    <w:p>
      <w:pPr>
        <w:pStyle w:val="1025"/>
        <w:pBdr/>
        <w:spacing w:after="280"/>
        <w:ind w:firstLine="720"/>
        <w:jc w:val="both"/>
        <w:rPr>
          <w:color w:val="000000"/>
        </w:rPr>
      </w:pPr>
      <w:r>
        <w:rPr>
          <w:color w:val="000000"/>
        </w:rPr>
        <w:t xml:space="preserve">Лицензиар гарантирует действительност</w:t>
      </w:r>
      <w:r>
        <w:rPr>
          <w:color w:val="000000"/>
        </w:rPr>
        <w:t xml:space="preserve">ь и полноту объема передаваемого права на использование программного обеспечения на условиях простой (неисключительной) лицензии на Программный комплекс в соответствии с настоящим Техническим заданием и отсутствие нарушения исключительных прав третьих лиц.</w:t>
      </w:r>
      <w:r>
        <w:rPr>
          <w:color w:val="000000"/>
        </w:rPr>
      </w:r>
    </w:p>
    <w:p>
      <w:pPr>
        <w:pStyle w:val="1027"/>
        <w:keepNext w:val="true"/>
        <w:keepLines w:val="true"/>
        <w:pBdr/>
        <w:spacing w:line="257" w:lineRule="auto"/>
        <w:ind/>
        <w:rPr>
          <w:color w:val="000000"/>
        </w:rPr>
      </w:pPr>
      <w:r/>
      <w:bookmarkStart w:id="11" w:name="bookmark30"/>
      <w:r/>
      <w:bookmarkStart w:id="12" w:name="bookmark31"/>
      <w:r/>
      <w:bookmarkStart w:id="13" w:name="bookmark32"/>
      <w:r>
        <w:rPr>
          <w:color w:val="000000"/>
        </w:rPr>
        <w:t xml:space="preserve">3. Порядок передачи программного обеспечения</w:t>
      </w:r>
      <w:bookmarkEnd w:id="11"/>
      <w:r/>
      <w:bookmarkEnd w:id="12"/>
      <w:r/>
      <w:bookmarkEnd w:id="13"/>
      <w:r/>
      <w:r>
        <w:rPr>
          <w:color w:val="000000"/>
        </w:rPr>
      </w:r>
    </w:p>
    <w:p>
      <w:pPr>
        <w:pStyle w:val="1025"/>
        <w:pBdr/>
        <w:spacing/>
        <w:ind w:firstLine="720"/>
        <w:jc w:val="both"/>
        <w:rPr>
          <w:color w:val="000000"/>
        </w:rPr>
      </w:pPr>
      <w:r>
        <w:rPr>
          <w:color w:val="000000"/>
        </w:rPr>
        <w:t xml:space="preserve">Для взаимодействия ответственных лиц со стороны Лицензиата и Лицензиара стороны обмениваются контактными данными (номер телефона, электронный почтовый ящик). Электронный почтовый ящик Лицензиата: oks@mail.fesmu.ru</w:t>
      </w:r>
      <w:r>
        <w:rPr>
          <w:color w:val="000000"/>
        </w:rPr>
      </w:r>
    </w:p>
    <w:p>
      <w:pPr>
        <w:pStyle w:val="1025"/>
        <w:pBdr/>
        <w:spacing/>
        <w:ind w:firstLine="720"/>
        <w:jc w:val="both"/>
        <w:rPr>
          <w:color w:val="000000"/>
        </w:rPr>
      </w:pPr>
      <w:r>
        <w:rPr>
          <w:color w:val="000000"/>
        </w:rPr>
        <w:t xml:space="preserve">Лицензиар передает Лицензиату неисключительное право на программное обеспечение в виде электронной версии лицензионного соглашения и файла лицензии (ключа) путём направления на электронный почтовый ящик Лицензиата oks@mail.fesmu.ru</w:t>
      </w:r>
      <w:r>
        <w:rPr>
          <w:color w:val="000000"/>
        </w:rPr>
      </w:r>
    </w:p>
    <w:p>
      <w:pPr>
        <w:pBdr/>
        <w:spacing w:after="0"/>
        <w:ind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 xml:space="preserve">4. Требования к результатам закупки</w:t>
      </w:r>
      <w:r>
        <w:rPr>
          <w:rFonts w:ascii="Times New Roman" w:hAnsi="Times New Roman"/>
          <w:b/>
          <w:bCs/>
          <w:color w:val="auto"/>
          <w:sz w:val="22"/>
          <w:szCs w:val="22"/>
        </w:rPr>
      </w:r>
    </w:p>
    <w:p>
      <w:pPr>
        <w:pBdr/>
        <w:spacing w:after="0"/>
        <w:ind w:firstLine="709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 w:eastAsia="Nimbus Roman"/>
          <w:color w:val="auto"/>
          <w:sz w:val="22"/>
          <w:szCs w:val="22"/>
        </w:rPr>
        <w:t xml:space="preserve">Результатом закупки является передача неисключительных прав в полном объеме, в соответствии с Технической частью.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/>
        <w:ind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Bdr/>
        <w:spacing w:after="0"/>
        <w:ind/>
        <w:contextualSpacing w:val="true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</w:r>
      <w:r>
        <w:rPr>
          <w:rFonts w:ascii="Times New Roman" w:hAnsi="Times New Roman"/>
          <w:b/>
          <w:color w:val="auto"/>
        </w:rPr>
      </w:r>
    </w:p>
    <w:p>
      <w:pPr>
        <w:pStyle w:val="969"/>
        <w:pBdr/>
        <w:spacing/>
        <w:ind/>
        <w:outlineLvl w:val="0"/>
        <w:rPr>
          <w:rFonts w:ascii="Times New Roman" w:hAnsi="Times New Roman" w:eastAsia="Calibri"/>
          <w:b/>
          <w:bCs/>
          <w:color w:val="auto"/>
          <w:sz w:val="18"/>
          <w:szCs w:val="18"/>
        </w:rPr>
      </w:pPr>
      <w:r>
        <w:rPr>
          <w:rFonts w:ascii="Times New Roman" w:hAnsi="Times New Roman" w:eastAsia="Calibri"/>
          <w:b/>
          <w:color w:val="auto"/>
          <w:sz w:val="18"/>
          <w:szCs w:val="18"/>
        </w:rPr>
        <w:t xml:space="preserve">Примечание: </w:t>
      </w:r>
      <w:r>
        <w:rPr>
          <w:rFonts w:ascii="Times New Roman" w:hAnsi="Times New Roman" w:eastAsia="Calibri"/>
          <w:b/>
          <w:bCs/>
          <w:color w:val="auto"/>
          <w:sz w:val="18"/>
          <w:szCs w:val="18"/>
        </w:rPr>
      </w:r>
    </w:p>
    <w:p>
      <w:pPr>
        <w:keepLines w:val="true"/>
        <w:suppressLineNumbers w:val="true"/>
        <w:pBdr/>
        <w:spacing/>
        <w:ind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 xml:space="preserve">Во всех случаях, когда в Технической части или в приложениях к ней (при наличии) имеются ссылки на конкретные стандарт</w:t>
      </w:r>
      <w:r>
        <w:rPr>
          <w:rFonts w:ascii="Times New Roman" w:hAnsi="Times New Roman"/>
          <w:color w:val="auto"/>
          <w:sz w:val="18"/>
          <w:szCs w:val="18"/>
        </w:rPr>
        <w:t xml:space="preserve">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rFonts w:ascii="Times New Roman" w:hAnsi="Times New Roman"/>
          <w:color w:val="auto"/>
          <w:sz w:val="18"/>
          <w:szCs w:val="18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rFonts w:ascii="Times New Roman" w:hAnsi="Times New Roman"/>
          <w:color w:val="auto"/>
          <w:sz w:val="18"/>
          <w:szCs w:val="18"/>
        </w:rPr>
      </w:r>
    </w:p>
    <w:p>
      <w:pPr>
        <w:pBdr/>
        <w:spacing/>
        <w:ind w:firstLine="709"/>
        <w:jc w:val="lef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  <w:r>
        <w:rPr>
          <w:rFonts w:ascii="Times New Roman" w:hAnsi="Times New Roman"/>
          <w:color w:val="auto"/>
          <w:sz w:val="22"/>
          <w:szCs w:val="22"/>
        </w:rPr>
      </w:r>
    </w:p>
    <w:tbl>
      <w:tblPr>
        <w:tblW w:w="10065" w:type="dxa"/>
        <w:tblBorders/>
        <w:tblpPr w:horzAnchor="margin" w:tblpXSpec="left" w:vertAnchor="text" w:tblpY="-55" w:leftFromText="180" w:topFromText="0" w:rightFromText="180" w:bottomFromText="0"/>
        <w:tblLook w:val="04A0" w:firstRow="1" w:lastRow="0" w:firstColumn="1" w:lastColumn="0" w:noHBand="0" w:noVBand="1"/>
      </w:tblPr>
      <w:tblGrid>
        <w:gridCol w:w="5387"/>
        <w:gridCol w:w="4678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87" w:type="dxa"/>
            <w:textDirection w:val="lrTb"/>
            <w:noWrap w:val="false"/>
          </w:tcPr>
          <w:p>
            <w:pPr>
              <w:pBdr/>
              <w:spacing w:after="0" w:before="0"/>
              <w:ind w:right="183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Лицензиат/</w:t>
            </w:r>
            <w:r>
              <w:rPr>
                <w:rFonts w:ascii="Times New Roman" w:hAnsi="Times New Roman"/>
                <w:b/>
                <w:color w:val="auto"/>
                <w:spacing w:val="-1"/>
                <w:sz w:val="22"/>
                <w:szCs w:val="22"/>
              </w:rPr>
              <w:t xml:space="preserve">Сублицензиат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  <w:t xml:space="preserve">: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  <w:p>
            <w:pPr>
              <w:pBdr/>
              <w:tabs>
                <w:tab w:val="left" w:leader="none" w:pos="1200"/>
              </w:tabs>
              <w:spacing w:after="0"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tabs>
                <w:tab w:val="left" w:leader="none" w:pos="1200"/>
              </w:tabs>
              <w:spacing w:after="0"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tabs>
                <w:tab w:val="left" w:leader="none" w:pos="1200"/>
              </w:tabs>
              <w:spacing w:after="0"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1" w:hanging="437" w:left="437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_______________ /________/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hanging="851" w:left="851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Подпись, печать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pBdr/>
              <w:spacing w:after="0" w:before="0"/>
              <w:ind w:right="181" w:firstLine="448" w:left="-273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Лицензиар/Сублицензиар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  <w:t xml:space="preserve">: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1" w:hanging="437" w:left="437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_______________ /________/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1" w:hanging="342" w:left="342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Подпись, печать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ageBreakBefore w:val="true"/>
        <w:pBdr/>
        <w:spacing w:after="0" w:before="0"/>
        <w:ind/>
        <w:jc w:val="right"/>
        <w:outlineLvl w:val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  <w:lang w:eastAsia="en-US"/>
        </w:rPr>
        <w:t xml:space="preserve">Приложение № 3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  <w:lang w:eastAsia="en-US"/>
        </w:rPr>
        <w:t xml:space="preserve">к Контракту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  <w:lang w:eastAsia="en-US"/>
        </w:rPr>
        <w:t xml:space="preserve">                                                                                        от «__» ______ 202__ г. № __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/>
        <w:jc w:val="center"/>
        <w:rPr>
          <w:rFonts w:ascii="Times New Roman" w:hAnsi="Times New Roman"/>
          <w:b/>
          <w:color w:val="auto"/>
          <w:sz w:val="22"/>
          <w:szCs w:val="22"/>
          <w:highlight w:val="red"/>
        </w:rPr>
      </w:pPr>
      <w:r>
        <w:rPr>
          <w:rFonts w:ascii="Times New Roman" w:hAnsi="Times New Roman"/>
          <w:b/>
          <w:color w:val="auto"/>
          <w:sz w:val="22"/>
          <w:szCs w:val="22"/>
          <w:highlight w:val="red"/>
        </w:rPr>
      </w:r>
      <w:r>
        <w:rPr>
          <w:rFonts w:ascii="Times New Roman" w:hAnsi="Times New Roman"/>
          <w:b/>
          <w:color w:val="auto"/>
          <w:sz w:val="22"/>
          <w:szCs w:val="22"/>
          <w:highlight w:val="red"/>
        </w:rPr>
      </w:r>
    </w:p>
    <w:p>
      <w:pPr>
        <w:pBdr/>
        <w:shd w:val="clear" w:color="auto" w:fill="ffffff"/>
        <w:spacing/>
        <w:ind/>
        <w:contextualSpacing w:val="true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 xml:space="preserve">«ОБРАЗЕЦ УТВЕРЖДЕН»</w:t>
      </w:r>
      <w:r>
        <w:rPr>
          <w:rFonts w:ascii="Times New Roman" w:hAnsi="Times New Roman"/>
          <w:b/>
          <w:bCs/>
          <w:color w:val="auto"/>
          <w:sz w:val="22"/>
          <w:szCs w:val="22"/>
        </w:rPr>
      </w:r>
    </w:p>
    <w:p>
      <w:pPr>
        <w:pBdr/>
        <w:spacing w:after="0" w:before="0"/>
        <w:ind/>
        <w:jc w:val="center"/>
        <w:outlineLvl w:val="0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</w:r>
      <w:r>
        <w:rPr>
          <w:rFonts w:ascii="Times New Roman" w:hAnsi="Times New Roman"/>
          <w:b/>
          <w:bCs/>
          <w:color w:val="auto"/>
          <w:sz w:val="22"/>
          <w:szCs w:val="22"/>
        </w:rPr>
      </w:r>
    </w:p>
    <w:p>
      <w:pPr>
        <w:pBdr/>
        <w:spacing w:after="0" w:before="0"/>
        <w:ind/>
        <w:jc w:val="center"/>
        <w:outlineLvl w:val="0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 xml:space="preserve">Акт на передачу</w:t>
      </w: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неисключительных (пользовательских) прав</w:t>
      </w:r>
      <w:r>
        <w:rPr>
          <w:rFonts w:ascii="Times New Roman" w:hAnsi="Times New Roman"/>
          <w:b/>
          <w:bCs/>
          <w:color w:val="auto"/>
          <w:sz w:val="22"/>
          <w:szCs w:val="22"/>
        </w:rPr>
      </w:r>
    </w:p>
    <w:p>
      <w:pPr>
        <w:pBdr/>
        <w:spacing w:after="0" w:before="0"/>
        <w:ind/>
        <w:jc w:val="center"/>
        <w:rPr>
          <w:rFonts w:ascii="Times New Roman" w:hAnsi="Times New Roman"/>
          <w:b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 xml:space="preserve">на программное обеспечение </w:t>
      </w:r>
      <w:r>
        <w:rPr>
          <w:rFonts w:ascii="Times New Roman" w:hAnsi="Times New Roman"/>
          <w:b/>
          <w:color w:val="auto"/>
          <w:sz w:val="22"/>
          <w:szCs w:val="22"/>
        </w:rPr>
      </w:r>
    </w:p>
    <w:p>
      <w:pPr>
        <w:pBdr/>
        <w:spacing w:after="0" w:before="0"/>
        <w:ind/>
        <w:jc w:val="center"/>
        <w:rPr>
          <w:rFonts w:ascii="Times New Roman" w:hAnsi="Times New Roman"/>
          <w:b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 xml:space="preserve">№  </w:t>
      </w:r>
      <w:r>
        <w:rPr>
          <w:rFonts w:ascii="Times New Roman" w:hAnsi="Times New Roman"/>
          <w:b/>
          <w:color w:val="auto"/>
          <w:sz w:val="22"/>
          <w:szCs w:val="22"/>
        </w:rPr>
      </w:r>
    </w:p>
    <w:p>
      <w:pPr>
        <w:pBdr/>
        <w:spacing w:after="0" w:before="0"/>
        <w:ind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от «_____» ________ 202__ г.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pacing w:val="-1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</w:t>
      </w:r>
      <w:r>
        <w:rPr>
          <w:rFonts w:ascii="Times New Roman" w:hAnsi="Times New Roman"/>
          <w:color w:val="auto"/>
          <w:spacing w:val="-1"/>
          <w:sz w:val="22"/>
          <w:szCs w:val="22"/>
        </w:rPr>
        <w:t xml:space="preserve">, именуемое в дальнейшем </w:t>
      </w:r>
      <w:r>
        <w:rPr>
          <w:rFonts w:ascii="Times New Roman" w:hAnsi="Times New Roman"/>
          <w:b/>
          <w:color w:val="auto"/>
          <w:spacing w:val="-1"/>
          <w:sz w:val="22"/>
          <w:szCs w:val="22"/>
        </w:rPr>
        <w:t xml:space="preserve">«Лицензиат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/</w:t>
      </w:r>
      <w:r>
        <w:rPr>
          <w:rFonts w:ascii="Times New Roman" w:hAnsi="Times New Roman"/>
          <w:b/>
          <w:color w:val="auto"/>
          <w:spacing w:val="-1"/>
          <w:sz w:val="22"/>
          <w:szCs w:val="22"/>
        </w:rPr>
        <w:t xml:space="preserve">Сублицензиат»</w:t>
      </w:r>
      <w:r>
        <w:rPr>
          <w:rFonts w:ascii="Times New Roman" w:hAnsi="Times New Roman"/>
          <w:color w:val="auto"/>
          <w:spacing w:val="-1"/>
          <w:sz w:val="22"/>
          <w:szCs w:val="22"/>
        </w:rPr>
        <w:t xml:space="preserve">, в лице ___________________________________________, действующего на основании ____________, с одной стороны и </w:t>
      </w:r>
      <w:r>
        <w:rPr>
          <w:rFonts w:ascii="Times New Roman" w:hAnsi="Times New Roman"/>
          <w:b/>
          <w:color w:val="auto"/>
          <w:spacing w:val="-1"/>
          <w:sz w:val="22"/>
          <w:szCs w:val="22"/>
        </w:rPr>
        <w:t xml:space="preserve">______ (______)</w:t>
      </w:r>
      <w:r>
        <w:rPr>
          <w:rFonts w:ascii="Times New Roman" w:hAnsi="Times New Roman"/>
          <w:color w:val="auto"/>
          <w:spacing w:val="-1"/>
          <w:sz w:val="22"/>
          <w:szCs w:val="22"/>
        </w:rPr>
        <w:t xml:space="preserve">, именуемое в дальнейшем </w:t>
      </w:r>
      <w:r>
        <w:rPr>
          <w:rFonts w:ascii="Times New Roman" w:hAnsi="Times New Roman"/>
          <w:b/>
          <w:color w:val="auto"/>
          <w:spacing w:val="-1"/>
          <w:sz w:val="22"/>
          <w:szCs w:val="22"/>
        </w:rPr>
        <w:t xml:space="preserve">«Лицензиар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/Сублицензиар</w:t>
      </w:r>
      <w:r>
        <w:rPr>
          <w:rFonts w:ascii="Times New Roman" w:hAnsi="Times New Roman"/>
          <w:b/>
          <w:color w:val="auto"/>
          <w:spacing w:val="-1"/>
          <w:sz w:val="22"/>
          <w:szCs w:val="22"/>
        </w:rPr>
        <w:t xml:space="preserve">»</w:t>
      </w:r>
      <w:r>
        <w:rPr>
          <w:rFonts w:ascii="Times New Roman" w:hAnsi="Times New Roman"/>
          <w:color w:val="auto"/>
          <w:spacing w:val="-1"/>
          <w:sz w:val="22"/>
          <w:szCs w:val="22"/>
        </w:rPr>
        <w:t xml:space="preserve">, </w:t>
      </w:r>
      <w:r>
        <w:rPr>
          <w:rFonts w:ascii="Times New Roman" w:hAnsi="Times New Roman"/>
          <w:color w:val="auto"/>
          <w:sz w:val="22"/>
          <w:szCs w:val="22"/>
        </w:rPr>
        <w:t xml:space="preserve">в лице </w:t>
      </w:r>
      <w:r>
        <w:rPr>
          <w:rFonts w:ascii="Times New Roman" w:hAnsi="Times New Roman"/>
          <w:color w:val="auto"/>
          <w:spacing w:val="-1"/>
          <w:sz w:val="22"/>
          <w:szCs w:val="22"/>
        </w:rPr>
        <w:t xml:space="preserve">_________________________________, действующего на основании ____________, с другой стороны, совместно именуемые как «Стороны», составили и подписали настоящий Акт о том, что ______ передало, а ФГБОУ ВО ДВГМУ Минздрава России </w:t>
      </w:r>
      <w:r>
        <w:rPr>
          <w:rFonts w:ascii="Times New Roman" w:hAnsi="Times New Roman"/>
          <w:color w:val="auto"/>
          <w:sz w:val="22"/>
          <w:szCs w:val="22"/>
        </w:rPr>
        <w:t xml:space="preserve">приняло права, как они описаны в Лицензионном Контракте № ______ от «_____» __________ 2026 г. между сторонами, сроком на 12 месяцев, на указанные ниже программное обеспечение в составе: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 w:firstLine="567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  <w:r>
        <w:rPr>
          <w:rFonts w:ascii="Times New Roman" w:hAnsi="Times New Roman"/>
          <w:color w:val="auto"/>
          <w:sz w:val="22"/>
          <w:szCs w:val="22"/>
        </w:rPr>
      </w:r>
    </w:p>
    <w:tbl>
      <w:tblPr>
        <w:jc w:val="center"/>
        <w:tblW w:w="4859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578"/>
        <w:gridCol w:w="4485"/>
        <w:gridCol w:w="1420"/>
        <w:gridCol w:w="753"/>
        <w:gridCol w:w="1553"/>
        <w:gridCol w:w="1228"/>
      </w:tblGrid>
      <w:tr>
        <w:trPr>
          <w:jc w:val="center"/>
          <w:trHeight w:val="23"/>
        </w:trPr>
        <w:tc>
          <w:tcPr>
            <w:shd w:val="clear" w:color="ffffff" w:fill="ffffff"/>
            <w:tcBorders/>
            <w:tcW w:w="580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4570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Наименование программного обеспечения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426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единица измерения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756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Кол-во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560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Цена, руб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238" w:type="dxa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Сумма, руб.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ffffff" w:fill="ffffff"/>
            <w:tcBorders/>
            <w:tcW w:w="580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480"/>
                <w:tab w:val="left" w:leader="none" w:pos="720"/>
                <w:tab w:val="left" w:leader="none" w:pos="5670"/>
              </w:tabs>
              <w:spacing w:after="0"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4570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426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jc w:val="center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756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jc w:val="center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 w:after="0" w:before="0"/>
              <w:ind w:left="11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  <w:tc>
          <w:tcPr>
            <w:tcBorders/>
            <w:tcW w:w="1238" w:type="dxa"/>
            <w:textDirection w:val="lrTb"/>
            <w:noWrap w:val="false"/>
          </w:tcPr>
          <w:p>
            <w:pPr>
              <w:pBdr/>
              <w:spacing w:after="0" w:before="0"/>
              <w:ind w:left="11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ffffff" w:fill="ffffff"/>
            <w:tcBorders/>
            <w:tcW w:w="580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480"/>
                <w:tab w:val="left" w:leader="none" w:pos="720"/>
                <w:tab w:val="left" w:leader="none" w:pos="5670"/>
              </w:tabs>
              <w:spacing w:after="0"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45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42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jc w:val="center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75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560" w:type="dxa"/>
            <w:vMerge w:val="restart"/>
            <w:textDirection w:val="lrTb"/>
            <w:noWrap w:val="false"/>
          </w:tcPr>
          <w:p>
            <w:pPr>
              <w:pBdr/>
              <w:spacing w:after="0" w:before="0"/>
              <w:ind w:left="11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  <w:tc>
          <w:tcPr>
            <w:tcBorders/>
            <w:tcW w:w="1238" w:type="dxa"/>
            <w:vMerge w:val="restart"/>
            <w:textDirection w:val="lrTb"/>
            <w:noWrap w:val="false"/>
          </w:tcPr>
          <w:p>
            <w:pPr>
              <w:pBdr/>
              <w:spacing w:after="0" w:before="0"/>
              <w:ind w:left="11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ffffff" w:fill="ffffff"/>
            <w:tcBorders/>
            <w:tcW w:w="580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480"/>
                <w:tab w:val="left" w:leader="none" w:pos="720"/>
                <w:tab w:val="left" w:leader="none" w:pos="5670"/>
              </w:tabs>
              <w:spacing w:after="0"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4570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426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jc w:val="center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756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 w:after="0" w:before="0"/>
              <w:ind w:left="11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  <w:tc>
          <w:tcPr>
            <w:tcBorders/>
            <w:tcW w:w="1238" w:type="dxa"/>
            <w:textDirection w:val="lrTb"/>
            <w:noWrap w:val="false"/>
          </w:tcPr>
          <w:p>
            <w:pPr>
              <w:pBdr/>
              <w:spacing w:after="0" w:before="0"/>
              <w:ind w:left="11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ffffff" w:fill="ffffff"/>
            <w:tcBorders/>
            <w:tcW w:w="580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480"/>
                <w:tab w:val="left" w:leader="none" w:pos="720"/>
                <w:tab w:val="left" w:leader="none" w:pos="5670"/>
              </w:tabs>
              <w:spacing w:after="0" w:before="0"/>
              <w:ind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4570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426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jc w:val="center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756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 w:left="11"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 w:after="0" w:before="0"/>
              <w:ind w:left="11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  <w:tc>
          <w:tcPr>
            <w:tcBorders/>
            <w:tcW w:w="1238" w:type="dxa"/>
            <w:textDirection w:val="lrTb"/>
            <w:noWrap w:val="false"/>
          </w:tcPr>
          <w:p>
            <w:pPr>
              <w:pBdr/>
              <w:spacing w:after="0" w:before="0"/>
              <w:ind w:left="11"/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pacing w:val="-1"/>
                <w:sz w:val="22"/>
                <w:szCs w:val="22"/>
              </w:rPr>
            </w:r>
          </w:p>
        </w:tc>
      </w:tr>
      <w:tr>
        <w:trPr>
          <w:jc w:val="center"/>
          <w:trHeight w:val="23"/>
        </w:trPr>
        <w:tc>
          <w:tcPr>
            <w:gridSpan w:val="4"/>
            <w:shd w:val="clear" w:color="ffffff" w:fill="ffffff"/>
            <w:tcBorders>
              <w:left w:val="none" w:color="000000" w:sz="4" w:space="0"/>
              <w:bottom w:val="none" w:color="000000" w:sz="4" w:space="0"/>
            </w:tcBorders>
            <w:tcW w:w="7332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 w:after="0" w:before="0"/>
              <w:ind w:right="420"/>
              <w:jc w:val="right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Итого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238" w:type="dxa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jc w:val="center"/>
          <w:trHeight w:val="23"/>
        </w:trPr>
        <w:tc>
          <w:tcPr>
            <w:gridSpan w:val="4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7332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 w:after="0" w:before="0"/>
              <w:ind w:right="115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Без налога (НДС)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238" w:type="dxa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>
          <w:jc w:val="center"/>
          <w:trHeight w:val="23"/>
        </w:trPr>
        <w:tc>
          <w:tcPr>
            <w:gridSpan w:val="4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7332" w:type="dxa"/>
            <w:vAlign w:val="center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 w:after="0" w:before="0"/>
              <w:ind w:right="420"/>
              <w:jc w:val="right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Всего к оплате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1238" w:type="dxa"/>
            <w:textDirection w:val="lrTb"/>
            <w:noWrap w:val="false"/>
          </w:tcPr>
          <w:p>
            <w:pPr>
              <w:pBdr/>
              <w:spacing w:after="0" w:before="0"/>
              <w:ind/>
              <w:contextualSpacing w:val="true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Bdr/>
        <w:spacing w:after="0" w:before="0"/>
        <w:ind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Акт составлен на одном листе и содержит 2 (два) порядковых номера записи.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 w:right="11" w:firstLine="680"/>
        <w:rPr>
          <w:rFonts w:ascii="Times New Roman" w:hAnsi="Times New Roman"/>
          <w:color w:val="auto"/>
          <w:spacing w:val="-2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Всего отпущено на сумму ____________ (______________) </w:t>
      </w:r>
      <w:r>
        <w:rPr>
          <w:rFonts w:ascii="Times New Roman" w:hAnsi="Times New Roman"/>
          <w:color w:val="auto"/>
          <w:spacing w:val="-2"/>
          <w:sz w:val="22"/>
          <w:szCs w:val="22"/>
        </w:rPr>
        <w:t xml:space="preserve">рублей ___ копеек, </w:t>
      </w:r>
      <w:r>
        <w:rPr>
          <w:rFonts w:ascii="Times New Roman" w:hAnsi="Times New Roman"/>
          <w:color w:val="auto"/>
          <w:sz w:val="22"/>
          <w:szCs w:val="22"/>
        </w:rPr>
        <w:t xml:space="preserve">в том числе НДС  _____ (_____) рублей _____ копеек / либо НДС не облагается</w:t>
      </w:r>
      <w:r>
        <w:rPr>
          <w:rFonts w:ascii="Times New Roman" w:hAnsi="Times New Roman"/>
          <w:color w:val="auto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pacing w:val="-2"/>
          <w:sz w:val="22"/>
          <w:szCs w:val="22"/>
        </w:rPr>
      </w:r>
    </w:p>
    <w:p>
      <w:pPr>
        <w:pBdr/>
        <w:spacing w:after="0" w:before="0"/>
        <w:ind w:right="11" w:firstLine="680"/>
        <w:rPr>
          <w:rFonts w:ascii="Times New Roman" w:hAnsi="Times New Roman"/>
          <w:color w:val="auto"/>
          <w:spacing w:val="-2"/>
          <w:sz w:val="22"/>
          <w:szCs w:val="22"/>
        </w:rPr>
      </w:pPr>
      <w:r>
        <w:rPr>
          <w:rFonts w:ascii="Times New Roman" w:hAnsi="Times New Roman"/>
          <w:color w:val="auto"/>
          <w:spacing w:val="-2"/>
          <w:sz w:val="22"/>
          <w:szCs w:val="22"/>
        </w:rPr>
        <w:t xml:space="preserve">Вышеперечисленные права выполнены полностью в срок.</w:t>
      </w:r>
      <w:r>
        <w:rPr>
          <w:rFonts w:ascii="Times New Roman" w:hAnsi="Times New Roman"/>
          <w:color w:val="auto"/>
          <w:spacing w:val="-2"/>
          <w:sz w:val="22"/>
          <w:szCs w:val="22"/>
        </w:rPr>
      </w:r>
    </w:p>
    <w:p>
      <w:pPr>
        <w:pBdr/>
        <w:spacing w:after="0" w:before="0"/>
        <w:ind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Лицензиат/</w:t>
      </w:r>
      <w:r>
        <w:rPr>
          <w:rFonts w:ascii="Times New Roman" w:hAnsi="Times New Roman"/>
          <w:color w:val="auto"/>
          <w:spacing w:val="-1"/>
          <w:sz w:val="22"/>
          <w:szCs w:val="22"/>
        </w:rPr>
        <w:t xml:space="preserve">Сублицензиат</w:t>
      </w:r>
      <w:r>
        <w:rPr>
          <w:rFonts w:ascii="Times New Roman" w:hAnsi="Times New Roman"/>
          <w:color w:val="auto"/>
          <w:sz w:val="22"/>
          <w:szCs w:val="22"/>
        </w:rPr>
        <w:t xml:space="preserve"> претензий по объему, качеству и срокам передачи неисключительных (пользовательских) прав не имеет.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/>
        <w:ind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 w:after="0" w:before="0"/>
        <w:ind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  <w:r>
        <w:rPr>
          <w:rFonts w:ascii="Times New Roman" w:hAnsi="Times New Roman"/>
          <w:color w:val="auto"/>
          <w:sz w:val="22"/>
          <w:szCs w:val="22"/>
        </w:rPr>
      </w:r>
    </w:p>
    <w:tbl>
      <w:tblPr>
        <w:tblInd w:w="-34" w:type="dxa"/>
        <w:tblW w:w="9922" w:type="dxa"/>
        <w:tblBorders/>
        <w:tblLook w:val="04A0" w:firstRow="1" w:lastRow="0" w:firstColumn="1" w:lastColumn="0" w:noHBand="0" w:noVBand="1"/>
      </w:tblPr>
      <w:tblGrid>
        <w:gridCol w:w="5244"/>
        <w:gridCol w:w="4678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4" w:type="dxa"/>
            <w:textDirection w:val="lrTb"/>
            <w:noWrap w:val="false"/>
          </w:tcPr>
          <w:p>
            <w:pPr>
              <w:pBdr/>
              <w:spacing w:after="0" w:before="0"/>
              <w:ind w:right="183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Лицензиат/</w:t>
            </w:r>
            <w:r>
              <w:rPr>
                <w:rFonts w:ascii="Times New Roman" w:hAnsi="Times New Roman"/>
                <w:b/>
                <w:color w:val="auto"/>
                <w:spacing w:val="-1"/>
                <w:sz w:val="22"/>
                <w:szCs w:val="22"/>
              </w:rPr>
              <w:t xml:space="preserve">Сублицензиат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  <w:t xml:space="preserve">: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  <w:p>
            <w:pPr>
              <w:pBdr/>
              <w:tabs>
                <w:tab w:val="left" w:leader="none" w:pos="1200"/>
              </w:tabs>
              <w:spacing w:after="0"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tabs>
                <w:tab w:val="left" w:leader="none" w:pos="1200"/>
              </w:tabs>
              <w:spacing w:after="0" w:before="0"/>
              <w:ind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1" w:hanging="437" w:left="437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_______________ /________/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hanging="851" w:left="851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Подпись, печать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pBdr/>
              <w:spacing w:after="0" w:before="0"/>
              <w:ind w:right="181" w:hanging="437" w:left="-273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            Лицензиар/Сублицензиар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  <w:t xml:space="preserve">: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1" w:hanging="437" w:left="437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_______________ /________/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  <w:p>
            <w:pPr>
              <w:pBdr/>
              <w:spacing w:after="0" w:before="0"/>
              <w:ind w:right="181" w:hanging="342" w:left="342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Подпись, печать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Bdr/>
        <w:spacing/>
        <w:ind/>
        <w:contextualSpacing w:val="true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  <w:r>
        <w:rPr>
          <w:rFonts w:ascii="Times New Roman" w:hAnsi="Times New Roman"/>
          <w:color w:val="auto"/>
          <w:sz w:val="22"/>
          <w:szCs w:val="22"/>
        </w:rPr>
      </w:r>
    </w:p>
    <w:p>
      <w:pPr>
        <w:pBdr/>
        <w:spacing/>
        <w:ind w:firstLine="709"/>
        <w:jc w:val="lef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  <w:r>
        <w:rPr>
          <w:rFonts w:ascii="Times New Roman" w:hAnsi="Times New Roman"/>
          <w:color w:val="auto"/>
          <w:sz w:val="22"/>
          <w:szCs w:val="22"/>
        </w:rPr>
      </w:r>
    </w:p>
    <w:sectPr>
      <w:footnotePr/>
      <w:endnotePr/>
      <w:type w:val="nextPage"/>
      <w:pgSz w:h="16838" w:orient="portrait" w:w="11906"/>
      <w:pgMar w:top="567" w:right="680" w:bottom="568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before="0"/>
        <w:ind/>
        <w:rPr/>
      </w:pPr>
      <w:r>
        <w:separator/>
      </w:r>
      <w:r/>
    </w:p>
  </w:endnote>
  <w:endnote w:type="continuationSeparator" w:id="0">
    <w:p>
      <w:pPr>
        <w:pBdr/>
        <w:spacing w:after="0" w:before="0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Nimbus Roman">
    <w:panose1 w:val="00000500000000000000"/>
  </w:font>
  <w:font w:name="Wingdings">
    <w:panose1 w:val="05010000000000000000"/>
  </w:font>
  <w:font w:name="GaramondC">
    <w:panose1 w:val="02020603050405020304"/>
  </w:font>
  <w:font w:name="Source Han Serif CN">
    <w:panose1 w:val="02020603050405020304"/>
  </w:font>
  <w:font w:name="Noto Sans Devanagari">
    <w:panose1 w:val="020B0502040504020204"/>
  </w:font>
  <w:font w:name="Liberation Serif">
    <w:panose1 w:val="02020603050405020304"/>
  </w:font>
  <w:font w:name="Calibri">
    <w:panose1 w:val="020F0502020204030204"/>
  </w:font>
  <w:font w:name="Liberation Mono">
    <w:panose1 w:val="020704090202050204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85A5D"/>
    <w:lvl w:ilvl="0">
      <w:isLgl w:val="false"/>
      <w:lvlJc w:val="left"/>
      <w:lvlText w:val="•"/>
      <w:numFmt w:val="bullet"/>
      <w:pPr>
        <w:pBdr/>
        <w:spacing/>
        <w:ind w:hanging="437" w:left="794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">
    <w:nsid w:val="1489059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1932562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1DC667F1"/>
    <w:lvl w:ilvl="0">
      <w:isLgl w:val="false"/>
      <w:lvlJc w:val="left"/>
      <w:lvlText w:val="%1."/>
      <w:numFmt w:val="decimal"/>
      <w:pPr>
        <w:pBdr/>
        <w:spacing/>
        <w:ind w:firstLine="0" w:left="0"/>
      </w:pPr>
      <w:rPr>
        <w:rFonts w:hint="default" w:eastAsia="Tahoma"/>
        <w:b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firstLine="0" w:left="0"/>
      </w:pPr>
      <w:rPr>
        <w:b w:val="0"/>
      </w:rPr>
      <w:start w:val="1"/>
      <w:suff w:val="space"/>
    </w:lvl>
    <w:lvl w:ilvl="2">
      <w:isLgl w:val="true"/>
      <w:lvlJc w:val="left"/>
      <w:lvlText w:val="%1.%2.%3."/>
      <w:numFmt w:val="decimal"/>
      <w:pPr>
        <w:pBdr/>
        <w:spacing/>
        <w:ind w:firstLine="0" w:left="0"/>
      </w:pPr>
      <w:rPr>
        <w:rFonts w:hint="default" w:eastAsia="Tahoma"/>
      </w:rPr>
      <w:start w:val="1"/>
      <w:suff w:val="space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 w:eastAsia="Tahoma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 w:eastAsia="Tahoma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 w:eastAsia="Tahoma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080" w:left="1440"/>
      </w:pPr>
      <w:rPr>
        <w:rFonts w:hint="default" w:eastAsia="Tahoma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 w:eastAsia="Tahoma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440" w:left="1800"/>
      </w:pPr>
      <w:rPr>
        <w:rFonts w:hint="default" w:eastAsia="Tahoma"/>
      </w:rPr>
      <w:start w:val="1"/>
      <w:suff w:val="tab"/>
    </w:lvl>
  </w:abstractNum>
  <w:abstractNum w:abstractNumId="4">
    <w:nsid w:val="206A2FAA"/>
    <w:lvl w:ilvl="0">
      <w:isLgl w:val="false"/>
      <w:lvlJc w:val="left"/>
      <w:lvlText w:val=""/>
      <w:numFmt w:val="bullet"/>
      <w:pPr>
        <w:pBdr/>
        <w:spacing/>
        <w:ind w:hanging="72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228D3E54"/>
    <w:lvl w:ilvl="0">
      <w:isLgl w:val="false"/>
      <w:lvlJc w:val="left"/>
      <w:lvlText w:val="5.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/>
        <w:sz w:val="28"/>
        <w:szCs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28766C2C"/>
    <w:lvl w:ilvl="0">
      <w:isLgl w:val="false"/>
      <w:lvlJc w:val="left"/>
      <w:lvlText w:val="%1."/>
      <w:numFmt w:val="decimal"/>
      <w:pPr>
        <w:pBdr/>
        <w:spacing/>
        <w:ind w:hanging="540" w:left="54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540" w:left="54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/>
      <w:start w:val="1"/>
      <w:suff w:val="tab"/>
    </w:lvl>
  </w:abstractNum>
  <w:abstractNum w:abstractNumId="7">
    <w:nsid w:val="2C480F57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8">
    <w:nsid w:val="2C5E4372"/>
    <w:lvl w:ilvl="0">
      <w:isLgl w:val="false"/>
      <w:lvlJc w:val="left"/>
      <w:lvlText w:val="%1."/>
      <w:numFmt w:val="decimal"/>
      <w:pPr>
        <w:pBdr/>
        <w:spacing/>
        <w:ind w:hanging="360" w:left="900"/>
      </w:pPr>
      <w:rPr>
        <w:rFonts w:hint="default"/>
      </w:rPr>
      <w:start w:val="9"/>
      <w:suff w:val="tab"/>
    </w:lvl>
    <w:lvl w:ilvl="1">
      <w:isLgl w:val="true"/>
      <w:lvlJc w:val="left"/>
      <w:lvlText w:val="%1.%2"/>
      <w:numFmt w:val="decimal"/>
      <w:pPr>
        <w:pBdr/>
        <w:spacing/>
        <w:ind w:hanging="420" w:left="96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126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720" w:left="126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162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080" w:left="162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198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440" w:left="198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1800" w:left="2340"/>
      </w:pPr>
      <w:rPr>
        <w:rFonts w:hint="default"/>
      </w:rPr>
      <w:start w:val="1"/>
      <w:suff w:val="tab"/>
    </w:lvl>
  </w:abstractNum>
  <w:abstractNum w:abstractNumId="9">
    <w:nsid w:val="2FC72C23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57" w:left="357"/>
      </w:pPr>
      <w:rPr>
        <w:rFonts w:hint="default"/>
      </w:rPr>
      <w:start w:val="5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10">
    <w:nsid w:val="33D405BA"/>
    <w:lvl w:ilvl="0">
      <w:isLgl w:val="false"/>
      <w:lvlJc w:val="left"/>
      <w:lvlText w:val="4.1.%1."/>
      <w:numFmt w:val="decimal"/>
      <w:pPr>
        <w:pBdr/>
        <w:spacing/>
        <w:ind w:hanging="360" w:left="720"/>
      </w:pPr>
      <w:rPr>
        <w:rFonts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35A8280E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57" w:left="357"/>
      </w:pPr>
      <w:rPr>
        <w:rFonts w:hint="default"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12">
    <w:nsid w:val="36046993"/>
    <w:lvl w:ilvl="0">
      <w:isLgl w:val="false"/>
      <w:lvlJc w:val="left"/>
      <w:lvlText w:val="-"/>
      <w:numFmt w:val="bullet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1a1919"/>
        <w:spacing w:val="0"/>
        <w:position w:val="0"/>
        <w:sz w:val="20"/>
        <w:szCs w:val="20"/>
        <w:u w:val="none"/>
        <w:shd w:val="clear" w:color="auto" w:fill="auto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13">
    <w:nsid w:val="36701C68"/>
    <w:lvl w:ilvl="0">
      <w:isLgl w:val="false"/>
      <w:lvlJc w:val="left"/>
      <w:lvlText w:val="-"/>
      <w:numFmt w:val="bullet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14">
    <w:nsid w:val="3A2D01C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57" w:left="357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15">
    <w:nsid w:val="55346B5F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57" w:left="357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16">
    <w:nsid w:val="59376547"/>
    <w:lvl w:ilvl="0">
      <w:isLgl w:val="false"/>
      <w:legacy w:legacy="true" w:legacyIndent="0" w:legacySpace="0"/>
      <w:lvlJc w:val="left"/>
      <w:lvlText w:val="1.%1."/>
      <w:numFmt w:val="decimal"/>
      <w:pPr>
        <w:pBdr/>
        <w:spacing/>
        <w:ind/>
      </w:pPr>
      <w:rPr>
        <w:rFonts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5E9945D6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8">
    <w:nsid w:val="6D7B5396"/>
    <w:lvl w:ilvl="0">
      <w:isLgl w:val="false"/>
      <w:lvlJc w:val="left"/>
      <w:lvlText w:val="%1."/>
      <w:numFmt w:val="decimal"/>
      <w:pPr>
        <w:pBdr/>
        <w:spacing/>
        <w:ind w:firstLine="0" w:left="0"/>
      </w:pPr>
      <w:rPr>
        <w:rFonts w:hint="default"/>
        <w:b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firstLine="0" w:left="0"/>
      </w:pPr>
      <w:rPr>
        <w:b w:val="0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firstLine="0" w:left="0"/>
      </w:pPr>
      <w:rPr>
        <w:rFonts w:hint="default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19">
    <w:nsid w:val="73637409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57" w:left="357"/>
      </w:pPr>
      <w:rPr>
        <w:rFonts w:hint="default"/>
      </w:rPr>
      <w:start w:val="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num w:numId="1">
    <w:abstractNumId w:val="4"/>
  </w:num>
  <w:num w:numId="2">
    <w:abstractNumId w:val="15"/>
  </w:num>
  <w:num w:numId="3">
    <w:abstractNumId w:val="15"/>
    <w:lvlOverride w:ilvl="0">
      <w:lvl w:ilvl="0">
        <w:isLgl w:val="false"/>
        <w:lvlJc w:val="left"/>
        <w:lvlText w:val="%1."/>
        <w:numFmt w:val="decimal"/>
        <w:pPr>
          <w:pBdr/>
          <w:spacing/>
          <w:ind w:hanging="357" w:left="357"/>
        </w:pPr>
        <w:rPr>
          <w:rFonts w:hint="default"/>
        </w:rPr>
        <w:start w:val="1"/>
        <w:suff w:val="tab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hanging="357" w:left="357"/>
        </w:pPr>
        <w:rPr>
          <w:rFonts w:hint="default"/>
        </w:rPr>
        <w:start w:val="1"/>
        <w:suff w:val="tab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hanging="794" w:left="794"/>
        </w:pPr>
        <w:rPr>
          <w:rFonts w:hint="default"/>
        </w:rPr>
        <w:start w:val="1"/>
        <w:suff w:val="tab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hanging="357" w:left="357"/>
        </w:pPr>
        <w:rPr>
          <w:rFonts w:hint="default"/>
        </w:rPr>
        <w:start w:val="1"/>
        <w:suff w:val="tab"/>
      </w:lvl>
    </w:lvlOverride>
    <w:lvlOverride w:ilvl="4">
      <w:lvl w:ilvl="4">
        <w:isLgl w:val="false"/>
        <w:lvlJc w:val="left"/>
        <w:lvlText w:val="%1.%2.%3.%4.%5."/>
        <w:numFmt w:val="decimal"/>
        <w:pPr>
          <w:pBdr/>
          <w:spacing/>
          <w:ind w:hanging="357" w:left="357"/>
        </w:pPr>
        <w:rPr>
          <w:rFonts w:hint="default"/>
        </w:rPr>
        <w:start w:val="1"/>
        <w:suff w:val="tab"/>
      </w:lvl>
    </w:lvlOverride>
    <w:lvlOverride w:ilvl="5">
      <w:lvl w:ilvl="5">
        <w:isLgl w:val="false"/>
        <w:lvlJc w:val="left"/>
        <w:lvlText w:val="%1.%2.%3.%4.%5.%6."/>
        <w:numFmt w:val="decimal"/>
        <w:pPr>
          <w:pBdr/>
          <w:spacing/>
          <w:ind w:hanging="357" w:left="357"/>
        </w:pPr>
        <w:rPr>
          <w:rFonts w:hint="default"/>
        </w:rPr>
        <w:start w:val="1"/>
        <w:suff w:val="tab"/>
      </w:lvl>
    </w:lvlOverride>
    <w:lvlOverride w:ilvl="6">
      <w:lvl w:ilvl="6">
        <w:isLgl w:val="false"/>
        <w:lvlJc w:val="left"/>
        <w:lvlText w:val="%1.%2.%3.%4.%5.%6.%7."/>
        <w:numFmt w:val="decimal"/>
        <w:pPr>
          <w:pBdr/>
          <w:spacing/>
          <w:ind w:hanging="357" w:left="357"/>
        </w:pPr>
        <w:rPr>
          <w:rFonts w:hint="default"/>
        </w:rPr>
        <w:start w:val="1"/>
        <w:suff w:val="tab"/>
      </w:lvl>
    </w:lvlOverride>
    <w:lvlOverride w:ilvl="7">
      <w:lvl w:ilvl="7">
        <w:isLgl w:val="false"/>
        <w:lvlJc w:val="left"/>
        <w:lvlText w:val="%1.%2.%3.%4.%5.%6.%7.%8."/>
        <w:numFmt w:val="decimal"/>
        <w:pPr>
          <w:pBdr/>
          <w:spacing/>
          <w:ind w:hanging="357" w:left="357"/>
        </w:pPr>
        <w:rPr>
          <w:rFonts w:hint="default"/>
        </w:rPr>
        <w:start w:val="1"/>
        <w:suff w:val="tab"/>
      </w:lvl>
    </w:lvlOverride>
    <w:lvlOverride w:ilvl="8">
      <w:lvl w:ilvl="8">
        <w:isLgl w:val="false"/>
        <w:lvlJc w:val="left"/>
        <w:lvlText w:val="%1.%2.%3.%4.%5.%6.%7.%8.%9."/>
        <w:numFmt w:val="decimal"/>
        <w:pPr>
          <w:pBdr/>
          <w:spacing/>
          <w:ind w:hanging="357" w:left="357"/>
        </w:pPr>
        <w:rPr>
          <w:rFonts w:hint="default"/>
        </w:rPr>
        <w:start w:val="1"/>
        <w:suff w:val="tab"/>
      </w:lvl>
    </w:lvlOverride>
  </w:num>
  <w:num w:numId="4">
    <w:abstractNumId w:val="0"/>
  </w:num>
  <w:num w:numId="5">
    <w:abstractNumId w:val="14"/>
  </w:num>
  <w:num w:numId="6">
    <w:abstractNumId w:val="11"/>
  </w:num>
  <w:num w:numId="7">
    <w:abstractNumId w:val="9"/>
  </w:num>
  <w:num w:numId="8">
    <w:abstractNumId w:val="19"/>
  </w:num>
  <w:num w:numId="9">
    <w:abstractNumId w:val="18"/>
  </w:num>
  <w:num w:numId="10">
    <w:abstractNumId w:val="3"/>
  </w:num>
  <w:num w:numId="11">
    <w:abstractNumId w:val="1"/>
  </w:num>
  <w:num w:numId="12">
    <w:abstractNumId w:val="16"/>
  </w:num>
  <w:num w:numId="13">
    <w:abstractNumId w:val="17"/>
  </w:num>
  <w:num w:numId="14">
    <w:abstractNumId w:val="1"/>
  </w:num>
  <w:num w:numId="15">
    <w:abstractNumId w:val="6"/>
  </w:num>
  <w:num w:numId="16">
    <w:abstractNumId w:val="10"/>
  </w:num>
  <w:num w:numId="17">
    <w:abstractNumId w:val="5"/>
  </w:num>
  <w:num w:numId="18">
    <w:abstractNumId w:val="6"/>
  </w:num>
  <w:num w:numId="19">
    <w:abstractNumId w:val="6"/>
  </w:num>
  <w:num w:numId="20">
    <w:abstractNumId w:val="8"/>
  </w:num>
  <w:num w:numId="21">
    <w:abstractNumId w:val="8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1">
    <w:name w:val="Heading 2 Char"/>
    <w:basedOn w:val="755"/>
    <w:link w:val="7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45" w:default="1">
    <w:name w:val="Normal"/>
    <w:uiPriority w:val="4"/>
    <w:qFormat/>
    <w:pPr>
      <w:pBdr/>
      <w:spacing w:after="120" w:before="120" w:line="240" w:lineRule="auto"/>
      <w:ind/>
      <w:jc w:val="both"/>
    </w:pPr>
    <w:rPr>
      <w:rFonts w:ascii="Tahoma" w:hAnsi="Tahoma" w:eastAsia="Times New Roman" w:cs="Times New Roman"/>
      <w:color w:val="16394f"/>
      <w:sz w:val="20"/>
      <w:szCs w:val="20"/>
      <w:lang w:eastAsia="ru-RU"/>
    </w:rPr>
  </w:style>
  <w:style w:type="paragraph" w:styleId="746">
    <w:name w:val="Heading 1"/>
    <w:basedOn w:val="745"/>
    <w:next w:val="74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47">
    <w:name w:val="Heading 2"/>
    <w:basedOn w:val="745"/>
    <w:next w:val="745"/>
    <w:link w:val="78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48">
    <w:name w:val="Heading 3"/>
    <w:basedOn w:val="745"/>
    <w:next w:val="74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49">
    <w:name w:val="Heading 4"/>
    <w:basedOn w:val="745"/>
    <w:next w:val="74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50">
    <w:name w:val="Heading 5"/>
    <w:basedOn w:val="745"/>
    <w:next w:val="74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51">
    <w:name w:val="Heading 6"/>
    <w:basedOn w:val="745"/>
    <w:next w:val="7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2">
    <w:name w:val="Heading 7"/>
    <w:basedOn w:val="745"/>
    <w:next w:val="7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3">
    <w:name w:val="Heading 8"/>
    <w:basedOn w:val="745"/>
    <w:next w:val="74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4">
    <w:name w:val="Heading 9"/>
    <w:basedOn w:val="745"/>
    <w:next w:val="7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55" w:default="1">
    <w:name w:val="Default Paragraph Font"/>
    <w:uiPriority w:val="1"/>
    <w:semiHidden/>
    <w:unhideWhenUsed/>
    <w:pPr>
      <w:pBdr/>
      <w:spacing/>
      <w:ind/>
    </w:pPr>
  </w:style>
  <w:style w:type="table" w:styleId="75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7" w:default="1">
    <w:name w:val="No List"/>
    <w:uiPriority w:val="99"/>
    <w:semiHidden/>
    <w:unhideWhenUsed/>
    <w:pPr>
      <w:pBdr/>
      <w:spacing/>
      <w:ind/>
    </w:pPr>
  </w:style>
  <w:style w:type="table" w:styleId="758">
    <w:name w:val="Plain Table 1"/>
    <w:basedOn w:val="75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2"/>
    <w:basedOn w:val="75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5 Dark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6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7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7">
    <w:name w:val="Header"/>
    <w:basedOn w:val="745"/>
    <w:uiPriority w:val="99"/>
    <w:unhideWhenUsed/>
    <w:pPr>
      <w:pBdr/>
      <w:tabs>
        <w:tab w:val="center" w:leader="none" w:pos="4844"/>
        <w:tab w:val="right" w:leader="none" w:pos="9689"/>
      </w:tabs>
      <w:spacing w:after="0"/>
      <w:ind/>
    </w:pPr>
  </w:style>
  <w:style w:type="paragraph" w:styleId="778">
    <w:name w:val="Footer"/>
    <w:basedOn w:val="745"/>
    <w:uiPriority w:val="99"/>
    <w:unhideWhenUsed/>
    <w:pPr>
      <w:pBdr/>
      <w:tabs>
        <w:tab w:val="center" w:leader="none" w:pos="4844"/>
        <w:tab w:val="right" w:leader="none" w:pos="9689"/>
      </w:tabs>
      <w:spacing w:after="0"/>
      <w:ind/>
    </w:pPr>
  </w:style>
  <w:style w:type="paragraph" w:styleId="779">
    <w:name w:val="Caption"/>
    <w:basedOn w:val="745"/>
    <w:next w:val="745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character" w:styleId="780" w:customStyle="1">
    <w:name w:val="Заголовок 2 Знак2"/>
    <w:basedOn w:val="755"/>
    <w:link w:val="74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81" w:customStyle="1">
    <w:name w:val="Заголовок 11"/>
    <w:basedOn w:val="745"/>
    <w:next w:val="74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82" w:customStyle="1">
    <w:name w:val="Заголовок 21"/>
    <w:basedOn w:val="745"/>
    <w:next w:val="745"/>
    <w:link w:val="9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83" w:customStyle="1">
    <w:name w:val="Заголовок 31"/>
    <w:basedOn w:val="745"/>
    <w:next w:val="74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84" w:customStyle="1">
    <w:name w:val="Заголовок 41"/>
    <w:basedOn w:val="745"/>
    <w:next w:val="74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85" w:customStyle="1">
    <w:name w:val="Заголовок 51"/>
    <w:basedOn w:val="745"/>
    <w:next w:val="74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86" w:customStyle="1">
    <w:name w:val="Заголовок 61"/>
    <w:basedOn w:val="745"/>
    <w:next w:val="7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87" w:customStyle="1">
    <w:name w:val="Заголовок 71"/>
    <w:basedOn w:val="745"/>
    <w:next w:val="7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88" w:customStyle="1">
    <w:name w:val="Заголовок 81"/>
    <w:basedOn w:val="745"/>
    <w:next w:val="74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89" w:customStyle="1">
    <w:name w:val="Заголовок 91"/>
    <w:basedOn w:val="745"/>
    <w:next w:val="7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table" w:styleId="790" w:customStyle="1">
    <w:name w:val="Таблица простая 11"/>
    <w:basedOn w:val="75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Таблица простая 21"/>
    <w:basedOn w:val="75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Таблица простая 3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Таблица простая 4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Таблица простая 5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Таблица-сетка 1 светл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Таблица-сетка 2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Таблица-сетка 3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Таблица-сетка 41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Таблица-сетка 5 тем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Таблица-сетка 6 цвет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Таблица-сетка 7 цвет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Список-таблица 1 светл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Список-таблица 2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Список-таблица 3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Список-таблица 4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Список-таблица 5 тем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Список-таблица 6 цвет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Список-таблица 7 цвет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9" w:customStyle="1">
    <w:name w:val="Title Char"/>
    <w:basedOn w:val="75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10" w:customStyle="1">
    <w:name w:val="Subtitle Char"/>
    <w:basedOn w:val="7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1" w:customStyle="1">
    <w:name w:val="Quote Char"/>
    <w:basedOn w:val="75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2" w:customStyle="1">
    <w:name w:val="Intense Quote Char"/>
    <w:basedOn w:val="755"/>
    <w:uiPriority w:val="30"/>
    <w:pPr>
      <w:pBdr/>
      <w:spacing/>
      <w:ind/>
    </w:pPr>
    <w:rPr>
      <w:i/>
      <w:iCs/>
      <w:color w:val="365f91" w:themeColor="accent1" w:themeShade="BF"/>
    </w:rPr>
  </w:style>
  <w:style w:type="paragraph" w:styleId="813" w:customStyle="1">
    <w:name w:val="Верхний колонтитул1"/>
    <w:basedOn w:val="745"/>
    <w:uiPriority w:val="99"/>
    <w:unhideWhenUsed/>
    <w:pPr>
      <w:pBdr/>
      <w:tabs>
        <w:tab w:val="center" w:leader="none" w:pos="4844"/>
        <w:tab w:val="right" w:leader="none" w:pos="9689"/>
      </w:tabs>
      <w:spacing w:after="0"/>
      <w:ind/>
    </w:pPr>
  </w:style>
  <w:style w:type="paragraph" w:styleId="814" w:customStyle="1">
    <w:name w:val="Нижний колонтитул1"/>
    <w:basedOn w:val="745"/>
    <w:uiPriority w:val="99"/>
    <w:unhideWhenUsed/>
    <w:pPr>
      <w:pBdr/>
      <w:tabs>
        <w:tab w:val="center" w:leader="none" w:pos="4844"/>
        <w:tab w:val="right" w:leader="none" w:pos="9689"/>
      </w:tabs>
      <w:spacing w:after="0"/>
      <w:ind/>
    </w:pPr>
  </w:style>
  <w:style w:type="paragraph" w:styleId="815" w:customStyle="1">
    <w:name w:val="Название объекта1"/>
    <w:basedOn w:val="745"/>
    <w:next w:val="745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character" w:styleId="816" w:customStyle="1">
    <w:name w:val="Footnote Text Char"/>
    <w:basedOn w:val="755"/>
    <w:uiPriority w:val="99"/>
    <w:semiHidden/>
    <w:pPr>
      <w:pBdr/>
      <w:spacing/>
      <w:ind/>
    </w:pPr>
    <w:rPr>
      <w:sz w:val="20"/>
      <w:szCs w:val="20"/>
    </w:rPr>
  </w:style>
  <w:style w:type="table" w:styleId="817" w:customStyle="1">
    <w:name w:val="Table Grid Light"/>
    <w:basedOn w:val="75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Таблица простая 11"/>
    <w:basedOn w:val="75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Таблица простая 21"/>
    <w:basedOn w:val="75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Таблица простая 3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Таблица простая 4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Таблица простая 5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а-сетка 1 светл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а-сетка 2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а-сетка 3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а-сетка 41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а-сетка 5 тем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а-сетка 6 цвет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а-сетка 7 цвет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Список-таблица 1 светл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Список-таблица 2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Список-таблица 3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Список-таблица 4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Список-таблица 5 тем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Список-таблица 6 цвет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Список-таблица 7 цветная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2" w:customStyle="1">
    <w:name w:val="Заголовок 11"/>
    <w:basedOn w:val="745"/>
    <w:next w:val="745"/>
    <w:link w:val="9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943" w:customStyle="1">
    <w:name w:val="Заголовок 31"/>
    <w:basedOn w:val="745"/>
    <w:next w:val="745"/>
    <w:link w:val="9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944" w:customStyle="1">
    <w:name w:val="Заголовок 41"/>
    <w:basedOn w:val="745"/>
    <w:next w:val="745"/>
    <w:link w:val="9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945" w:customStyle="1">
    <w:name w:val="Заголовок 51"/>
    <w:basedOn w:val="745"/>
    <w:next w:val="745"/>
    <w:link w:val="9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46" w:customStyle="1">
    <w:name w:val="Заголовок 61"/>
    <w:basedOn w:val="745"/>
    <w:next w:val="745"/>
    <w:link w:val="9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47" w:customStyle="1">
    <w:name w:val="Заголовок 71"/>
    <w:basedOn w:val="745"/>
    <w:next w:val="745"/>
    <w:link w:val="9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48" w:customStyle="1">
    <w:name w:val="Заголовок 81"/>
    <w:basedOn w:val="745"/>
    <w:next w:val="745"/>
    <w:link w:val="9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49" w:customStyle="1">
    <w:name w:val="Заголовок 91"/>
    <w:basedOn w:val="745"/>
    <w:next w:val="745"/>
    <w:link w:val="9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50" w:customStyle="1">
    <w:name w:val="Heading 1 Char"/>
    <w:basedOn w:val="755"/>
    <w:link w:val="94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51" w:customStyle="1">
    <w:name w:val="Заголовок 2 Знак1"/>
    <w:basedOn w:val="755"/>
    <w:link w:val="78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52" w:customStyle="1">
    <w:name w:val="Heading 3 Char"/>
    <w:basedOn w:val="755"/>
    <w:link w:val="94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53" w:customStyle="1">
    <w:name w:val="Heading 4 Char"/>
    <w:basedOn w:val="755"/>
    <w:link w:val="94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54" w:customStyle="1">
    <w:name w:val="Heading 5 Char"/>
    <w:basedOn w:val="755"/>
    <w:link w:val="94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55" w:customStyle="1">
    <w:name w:val="Heading 6 Char"/>
    <w:basedOn w:val="755"/>
    <w:link w:val="9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56" w:customStyle="1">
    <w:name w:val="Heading 7 Char"/>
    <w:basedOn w:val="755"/>
    <w:link w:val="94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57" w:customStyle="1">
    <w:name w:val="Heading 8 Char"/>
    <w:basedOn w:val="755"/>
    <w:link w:val="9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8" w:customStyle="1">
    <w:name w:val="Heading 9 Char"/>
    <w:basedOn w:val="755"/>
    <w:link w:val="9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59">
    <w:name w:val="Title"/>
    <w:basedOn w:val="745"/>
    <w:next w:val="745"/>
    <w:link w:val="96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60" w:customStyle="1">
    <w:name w:val="Заголовок Знак"/>
    <w:basedOn w:val="755"/>
    <w:link w:val="9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61">
    <w:name w:val="Subtitle"/>
    <w:basedOn w:val="745"/>
    <w:next w:val="745"/>
    <w:link w:val="9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62" w:customStyle="1">
    <w:name w:val="Подзаголовок Знак"/>
    <w:basedOn w:val="755"/>
    <w:link w:val="9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63">
    <w:name w:val="Quote"/>
    <w:basedOn w:val="745"/>
    <w:next w:val="745"/>
    <w:link w:val="9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64" w:customStyle="1">
    <w:name w:val="Цитата 2 Знак"/>
    <w:basedOn w:val="755"/>
    <w:link w:val="9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65">
    <w:name w:val="Intense Emphasis"/>
    <w:basedOn w:val="75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66">
    <w:name w:val="Intense Quote"/>
    <w:basedOn w:val="745"/>
    <w:next w:val="745"/>
    <w:link w:val="96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67" w:customStyle="1">
    <w:name w:val="Выделенная цитата Знак"/>
    <w:basedOn w:val="755"/>
    <w:link w:val="96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68">
    <w:name w:val="Intense Reference"/>
    <w:basedOn w:val="75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69">
    <w:name w:val="No Spacing"/>
    <w:basedOn w:val="745"/>
    <w:link w:val="1021"/>
    <w:uiPriority w:val="1"/>
    <w:qFormat/>
    <w:pPr>
      <w:pBdr/>
      <w:spacing w:after="0"/>
      <w:ind/>
    </w:pPr>
  </w:style>
  <w:style w:type="character" w:styleId="970">
    <w:name w:val="Subtle Emphasis"/>
    <w:basedOn w:val="75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71">
    <w:name w:val="Emphasis"/>
    <w:basedOn w:val="755"/>
    <w:uiPriority w:val="20"/>
    <w:qFormat/>
    <w:pPr>
      <w:pBdr/>
      <w:spacing/>
      <w:ind/>
    </w:pPr>
    <w:rPr>
      <w:i/>
      <w:iCs/>
    </w:rPr>
  </w:style>
  <w:style w:type="character" w:styleId="972">
    <w:name w:val="Strong"/>
    <w:basedOn w:val="755"/>
    <w:qFormat/>
    <w:pPr>
      <w:pBdr/>
      <w:spacing/>
      <w:ind/>
    </w:pPr>
    <w:rPr>
      <w:b/>
      <w:bCs/>
    </w:rPr>
  </w:style>
  <w:style w:type="character" w:styleId="973">
    <w:name w:val="Subtle Reference"/>
    <w:basedOn w:val="75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74">
    <w:name w:val="Book Title"/>
    <w:basedOn w:val="75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75" w:customStyle="1">
    <w:name w:val="Верхний колонтитул1"/>
    <w:basedOn w:val="745"/>
    <w:link w:val="976"/>
    <w:uiPriority w:val="99"/>
    <w:unhideWhenUsed/>
    <w:pPr>
      <w:pBdr/>
      <w:tabs>
        <w:tab w:val="center" w:leader="none" w:pos="4844"/>
        <w:tab w:val="right" w:leader="none" w:pos="9689"/>
      </w:tabs>
      <w:spacing w:after="0"/>
      <w:ind/>
    </w:pPr>
  </w:style>
  <w:style w:type="character" w:styleId="976" w:customStyle="1">
    <w:name w:val="Header Char"/>
    <w:basedOn w:val="755"/>
    <w:link w:val="975"/>
    <w:uiPriority w:val="99"/>
    <w:pPr>
      <w:pBdr/>
      <w:spacing/>
      <w:ind/>
    </w:pPr>
  </w:style>
  <w:style w:type="paragraph" w:styleId="977" w:customStyle="1">
    <w:name w:val="Нижний колонтитул1"/>
    <w:basedOn w:val="745"/>
    <w:link w:val="978"/>
    <w:uiPriority w:val="99"/>
    <w:unhideWhenUsed/>
    <w:pPr>
      <w:pBdr/>
      <w:tabs>
        <w:tab w:val="center" w:leader="none" w:pos="4844"/>
        <w:tab w:val="right" w:leader="none" w:pos="9689"/>
      </w:tabs>
      <w:spacing w:after="0"/>
      <w:ind/>
    </w:pPr>
  </w:style>
  <w:style w:type="character" w:styleId="978" w:customStyle="1">
    <w:name w:val="Footer Char"/>
    <w:basedOn w:val="755"/>
    <w:link w:val="977"/>
    <w:uiPriority w:val="99"/>
    <w:pPr>
      <w:pBdr/>
      <w:spacing/>
      <w:ind/>
    </w:pPr>
  </w:style>
  <w:style w:type="paragraph" w:styleId="979" w:customStyle="1">
    <w:name w:val="Название объекта1"/>
    <w:basedOn w:val="745"/>
    <w:next w:val="745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980">
    <w:name w:val="footnote text"/>
    <w:basedOn w:val="745"/>
    <w:link w:val="981"/>
    <w:uiPriority w:val="99"/>
    <w:semiHidden/>
    <w:unhideWhenUsed/>
    <w:pPr>
      <w:pBdr/>
      <w:spacing w:after="0"/>
      <w:ind/>
    </w:pPr>
  </w:style>
  <w:style w:type="character" w:styleId="981" w:customStyle="1">
    <w:name w:val="Текст сноски Знак"/>
    <w:basedOn w:val="755"/>
    <w:link w:val="980"/>
    <w:uiPriority w:val="99"/>
    <w:semiHidden/>
    <w:pPr>
      <w:pBdr/>
      <w:spacing/>
      <w:ind/>
    </w:pPr>
    <w:rPr>
      <w:sz w:val="20"/>
      <w:szCs w:val="20"/>
    </w:rPr>
  </w:style>
  <w:style w:type="character" w:styleId="982">
    <w:name w:val="footnote reference"/>
    <w:basedOn w:val="755"/>
    <w:uiPriority w:val="99"/>
    <w:semiHidden/>
    <w:unhideWhenUsed/>
    <w:pPr>
      <w:pBdr/>
      <w:spacing/>
      <w:ind/>
    </w:pPr>
    <w:rPr>
      <w:vertAlign w:val="superscript"/>
    </w:rPr>
  </w:style>
  <w:style w:type="character" w:styleId="983" w:customStyle="1">
    <w:name w:val="Endnote Text Char"/>
    <w:basedOn w:val="755"/>
    <w:uiPriority w:val="99"/>
    <w:semiHidden/>
    <w:pPr>
      <w:pBdr/>
      <w:spacing/>
      <w:ind/>
    </w:pPr>
    <w:rPr>
      <w:sz w:val="20"/>
      <w:szCs w:val="20"/>
    </w:rPr>
  </w:style>
  <w:style w:type="paragraph" w:styleId="984">
    <w:name w:val="toc 1"/>
    <w:basedOn w:val="745"/>
    <w:next w:val="745"/>
    <w:uiPriority w:val="39"/>
    <w:unhideWhenUsed/>
    <w:pPr>
      <w:pBdr/>
      <w:spacing w:after="100"/>
      <w:ind/>
    </w:pPr>
  </w:style>
  <w:style w:type="paragraph" w:styleId="985">
    <w:name w:val="toc 2"/>
    <w:basedOn w:val="745"/>
    <w:next w:val="745"/>
    <w:uiPriority w:val="39"/>
    <w:unhideWhenUsed/>
    <w:pPr>
      <w:pBdr/>
      <w:spacing w:after="100"/>
      <w:ind w:left="220"/>
    </w:pPr>
  </w:style>
  <w:style w:type="paragraph" w:styleId="986">
    <w:name w:val="toc 3"/>
    <w:basedOn w:val="745"/>
    <w:next w:val="745"/>
    <w:uiPriority w:val="39"/>
    <w:unhideWhenUsed/>
    <w:pPr>
      <w:pBdr/>
      <w:spacing w:after="100"/>
      <w:ind w:left="440"/>
    </w:pPr>
  </w:style>
  <w:style w:type="paragraph" w:styleId="987">
    <w:name w:val="toc 4"/>
    <w:basedOn w:val="745"/>
    <w:next w:val="745"/>
    <w:uiPriority w:val="39"/>
    <w:unhideWhenUsed/>
    <w:pPr>
      <w:pBdr/>
      <w:spacing w:after="100"/>
      <w:ind w:left="660"/>
    </w:pPr>
  </w:style>
  <w:style w:type="paragraph" w:styleId="988">
    <w:name w:val="toc 5"/>
    <w:basedOn w:val="745"/>
    <w:next w:val="745"/>
    <w:uiPriority w:val="39"/>
    <w:unhideWhenUsed/>
    <w:pPr>
      <w:pBdr/>
      <w:spacing w:after="100"/>
      <w:ind w:left="880"/>
    </w:pPr>
  </w:style>
  <w:style w:type="paragraph" w:styleId="989">
    <w:name w:val="toc 6"/>
    <w:basedOn w:val="745"/>
    <w:next w:val="745"/>
    <w:uiPriority w:val="39"/>
    <w:unhideWhenUsed/>
    <w:pPr>
      <w:pBdr/>
      <w:spacing w:after="100"/>
      <w:ind w:left="1100"/>
    </w:pPr>
  </w:style>
  <w:style w:type="paragraph" w:styleId="990">
    <w:name w:val="toc 7"/>
    <w:basedOn w:val="745"/>
    <w:next w:val="745"/>
    <w:uiPriority w:val="39"/>
    <w:unhideWhenUsed/>
    <w:pPr>
      <w:pBdr/>
      <w:spacing w:after="100"/>
      <w:ind w:left="1320"/>
    </w:pPr>
  </w:style>
  <w:style w:type="paragraph" w:styleId="991">
    <w:name w:val="toc 8"/>
    <w:basedOn w:val="745"/>
    <w:next w:val="745"/>
    <w:uiPriority w:val="39"/>
    <w:unhideWhenUsed/>
    <w:pPr>
      <w:pBdr/>
      <w:spacing w:after="100"/>
      <w:ind w:left="1540"/>
    </w:pPr>
  </w:style>
  <w:style w:type="paragraph" w:styleId="992">
    <w:name w:val="toc 9"/>
    <w:basedOn w:val="745"/>
    <w:next w:val="745"/>
    <w:uiPriority w:val="39"/>
    <w:unhideWhenUsed/>
    <w:pPr>
      <w:pBdr/>
      <w:spacing w:after="100"/>
      <w:ind w:left="1760"/>
    </w:pPr>
  </w:style>
  <w:style w:type="character" w:styleId="993">
    <w:name w:val="Placeholder Text"/>
    <w:basedOn w:val="755"/>
    <w:uiPriority w:val="99"/>
    <w:semiHidden/>
    <w:pPr>
      <w:pBdr/>
      <w:spacing/>
      <w:ind/>
    </w:pPr>
    <w:rPr>
      <w:color w:val="666666"/>
    </w:rPr>
  </w:style>
  <w:style w:type="paragraph" w:styleId="994">
    <w:name w:val="TOC Heading"/>
    <w:uiPriority w:val="39"/>
    <w:unhideWhenUsed/>
    <w:pPr>
      <w:pBdr/>
      <w:spacing/>
      <w:ind/>
    </w:pPr>
  </w:style>
  <w:style w:type="paragraph" w:styleId="995">
    <w:name w:val="table of figures"/>
    <w:basedOn w:val="745"/>
    <w:next w:val="745"/>
    <w:uiPriority w:val="99"/>
    <w:unhideWhenUsed/>
    <w:pPr>
      <w:pBdr/>
      <w:spacing w:after="0"/>
      <w:ind/>
    </w:pPr>
  </w:style>
  <w:style w:type="paragraph" w:styleId="996" w:customStyle="1">
    <w:name w:val="Заголовок 21"/>
    <w:basedOn w:val="745"/>
    <w:next w:val="745"/>
    <w:link w:val="997"/>
    <w:uiPriority w:val="2"/>
    <w:qFormat/>
    <w:pPr>
      <w:keepNext w:val="true"/>
      <w:pBdr/>
      <w:spacing w:before="400"/>
      <w:ind/>
      <w:jc w:val="left"/>
      <w:outlineLvl w:val="1"/>
    </w:pPr>
    <w:rPr>
      <w:color w:val="003366"/>
      <w:sz w:val="32"/>
      <w:szCs w:val="44"/>
    </w:rPr>
  </w:style>
  <w:style w:type="character" w:styleId="997" w:customStyle="1">
    <w:name w:val="Заголовок 2 Знак"/>
    <w:basedOn w:val="755"/>
    <w:link w:val="996"/>
    <w:uiPriority w:val="2"/>
    <w:pPr>
      <w:pBdr/>
      <w:spacing/>
      <w:ind/>
    </w:pPr>
    <w:rPr>
      <w:rFonts w:ascii="Tahoma" w:hAnsi="Tahoma" w:eastAsia="Times New Roman" w:cs="Times New Roman"/>
      <w:color w:val="003366"/>
      <w:sz w:val="32"/>
      <w:szCs w:val="44"/>
      <w:lang w:eastAsia="ru-RU"/>
    </w:rPr>
  </w:style>
  <w:style w:type="paragraph" w:styleId="998">
    <w:name w:val="List Paragraph"/>
    <w:basedOn w:val="745"/>
    <w:link w:val="1028"/>
    <w:qFormat/>
    <w:pPr>
      <w:pBdr/>
      <w:spacing/>
      <w:ind w:left="720"/>
      <w:contextualSpacing w:val="true"/>
    </w:pPr>
  </w:style>
  <w:style w:type="paragraph" w:styleId="999" w:customStyle="1">
    <w:name w:val="paragraph"/>
    <w:basedOn w:val="745"/>
    <w:pPr>
      <w:pBdr/>
      <w:spacing w:after="100" w:afterAutospacing="1" w:before="100" w:beforeAutospacing="1"/>
      <w:ind/>
      <w:jc w:val="left"/>
    </w:pPr>
    <w:rPr>
      <w:rFonts w:ascii="Times New Roman" w:hAnsi="Times New Roman"/>
      <w:color w:val="auto"/>
      <w:sz w:val="24"/>
      <w:szCs w:val="24"/>
    </w:rPr>
  </w:style>
  <w:style w:type="character" w:styleId="1000" w:customStyle="1">
    <w:name w:val="normaltextrun"/>
    <w:basedOn w:val="755"/>
    <w:pPr>
      <w:pBdr/>
      <w:spacing/>
      <w:ind/>
    </w:pPr>
  </w:style>
  <w:style w:type="character" w:styleId="1001" w:customStyle="1">
    <w:name w:val="apple-converted-space"/>
    <w:basedOn w:val="755"/>
    <w:pPr>
      <w:pBdr/>
      <w:spacing/>
      <w:ind/>
    </w:pPr>
  </w:style>
  <w:style w:type="character" w:styleId="1002" w:customStyle="1">
    <w:name w:val="spellingerror"/>
    <w:basedOn w:val="755"/>
    <w:pPr>
      <w:pBdr/>
      <w:spacing/>
      <w:ind/>
    </w:pPr>
  </w:style>
  <w:style w:type="character" w:styleId="1003" w:customStyle="1">
    <w:name w:val="eop"/>
    <w:basedOn w:val="755"/>
    <w:pPr>
      <w:pBdr/>
      <w:spacing/>
      <w:ind/>
    </w:pPr>
  </w:style>
  <w:style w:type="character" w:styleId="1004" w:customStyle="1">
    <w:name w:val="scx7026291"/>
    <w:basedOn w:val="755"/>
    <w:pPr>
      <w:pBdr/>
      <w:spacing/>
      <w:ind/>
    </w:pPr>
  </w:style>
  <w:style w:type="table" w:styleId="1005">
    <w:name w:val="Table Grid"/>
    <w:basedOn w:val="75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06">
    <w:name w:val="endnote text"/>
    <w:basedOn w:val="745"/>
    <w:link w:val="1007"/>
    <w:uiPriority w:val="99"/>
    <w:semiHidden/>
    <w:unhideWhenUsed/>
    <w:pPr>
      <w:pBdr/>
      <w:spacing w:after="0" w:before="0"/>
      <w:ind/>
    </w:pPr>
  </w:style>
  <w:style w:type="character" w:styleId="1007" w:customStyle="1">
    <w:name w:val="Текст концевой сноски Знак"/>
    <w:basedOn w:val="755"/>
    <w:link w:val="1006"/>
    <w:uiPriority w:val="99"/>
    <w:semiHidden/>
    <w:pPr>
      <w:pBdr/>
      <w:spacing/>
      <w:ind/>
    </w:pPr>
    <w:rPr>
      <w:rFonts w:ascii="Tahoma" w:hAnsi="Tahoma" w:eastAsia="Times New Roman" w:cs="Times New Roman"/>
      <w:color w:val="16394f"/>
      <w:sz w:val="20"/>
      <w:szCs w:val="20"/>
      <w:lang w:eastAsia="ru-RU"/>
    </w:rPr>
  </w:style>
  <w:style w:type="character" w:styleId="1008">
    <w:name w:val="endnote reference"/>
    <w:basedOn w:val="755"/>
    <w:uiPriority w:val="99"/>
    <w:semiHidden/>
    <w:unhideWhenUsed/>
    <w:pPr>
      <w:pBdr/>
      <w:spacing/>
      <w:ind/>
    </w:pPr>
    <w:rPr>
      <w:vertAlign w:val="superscript"/>
    </w:rPr>
  </w:style>
  <w:style w:type="character" w:styleId="1009">
    <w:name w:val="Hyperlink"/>
    <w:basedOn w:val="755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1010">
    <w:name w:val="FollowedHyperlink"/>
    <w:basedOn w:val="75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table" w:styleId="1011" w:customStyle="1">
    <w:name w:val="Таблица-сетка 1 светлая — акцент 11"/>
    <w:basedOn w:val="756"/>
    <w:uiPriority w:val="46"/>
    <w:pPr>
      <w:pBdr/>
      <w:spacing w:after="0" w:line="240" w:lineRule="auto"/>
      <w:ind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95b3d7" w:themeColor="accent1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5b3d7" w:themeColor="accent1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12" w:customStyle="1">
    <w:name w:val="ConsPlusNormal"/>
    <w:uiPriority w:val="99"/>
    <w:qFormat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1013" w:customStyle="1">
    <w:name w:val="Standard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1014" w:customStyle="1">
    <w:name w:val="Основной текст 3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20" w:line="240" w:lineRule="auto"/>
      <w:ind/>
    </w:pPr>
    <w:rPr>
      <w:rFonts w:ascii="Times New Roman" w:hAnsi="Times New Roman" w:eastAsia="Times New Roman" w:cs="Times New Roman"/>
      <w:sz w:val="16"/>
      <w:szCs w:val="16"/>
      <w:lang w:eastAsia="zh-CN"/>
    </w:rPr>
  </w:style>
  <w:style w:type="paragraph" w:styleId="1015" w:customStyle="1">
    <w:name w:val="Текст в заданном формате"/>
    <w:qFormat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Liberation Mono" w:hAnsi="Liberation Mono" w:eastAsia="Liberation Mono" w:cs="Liberation Mono"/>
      <w:sz w:val="20"/>
      <w:szCs w:val="20"/>
      <w:lang w:val="en-US" w:eastAsia="zh-CN" w:bidi="hi-IN"/>
    </w:rPr>
  </w:style>
  <w:style w:type="paragraph" w:styleId="1016" w:customStyle="1">
    <w:name w:val="Содержимое таблицы"/>
    <w:qFormat/>
    <w:pPr>
      <w:widowControl w:val="false"/>
      <w:suppressLineNumber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Liberation Serif" w:hAnsi="Liberation Serif" w:eastAsia="Source Han Serif CN" w:cs="Noto Sans Devanagari"/>
      <w:sz w:val="24"/>
      <w:szCs w:val="24"/>
      <w:lang w:val="en-US" w:eastAsia="zh-CN" w:bidi="hi-IN"/>
    </w:rPr>
  </w:style>
  <w:style w:type="paragraph" w:styleId="1017">
    <w:name w:val="Balloon Text"/>
    <w:basedOn w:val="745"/>
    <w:link w:val="1018"/>
    <w:uiPriority w:val="99"/>
    <w:semiHidden/>
    <w:unhideWhenUsed/>
    <w:pPr>
      <w:pBdr/>
      <w:spacing w:after="0" w:before="0"/>
      <w:ind/>
    </w:pPr>
    <w:rPr>
      <w:rFonts w:cs="Tahoma"/>
      <w:sz w:val="16"/>
      <w:szCs w:val="16"/>
    </w:rPr>
  </w:style>
  <w:style w:type="character" w:styleId="1018" w:customStyle="1">
    <w:name w:val="Текст выноски Знак"/>
    <w:basedOn w:val="755"/>
    <w:link w:val="1017"/>
    <w:uiPriority w:val="99"/>
    <w:semiHidden/>
    <w:pPr>
      <w:pBdr/>
      <w:spacing/>
      <w:ind/>
    </w:pPr>
    <w:rPr>
      <w:rFonts w:ascii="Tahoma" w:hAnsi="Tahoma" w:eastAsia="Times New Roman" w:cs="Tahoma"/>
      <w:color w:val="16394f"/>
      <w:sz w:val="16"/>
      <w:szCs w:val="16"/>
      <w:lang w:eastAsia="ru-RU"/>
    </w:rPr>
  </w:style>
  <w:style w:type="character" w:styleId="1019" w:customStyle="1">
    <w:name w:val="Другое_"/>
    <w:basedOn w:val="755"/>
    <w:link w:val="1020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020" w:customStyle="1">
    <w:name w:val="Другое"/>
    <w:basedOn w:val="745"/>
    <w:link w:val="1019"/>
    <w:pPr>
      <w:widowControl w:val="false"/>
      <w:pBdr/>
      <w:spacing w:after="0" w:before="0"/>
      <w:ind w:firstLine="40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character" w:styleId="1021" w:customStyle="1">
    <w:name w:val="Без интервала Знак"/>
    <w:basedOn w:val="755"/>
    <w:link w:val="969"/>
    <w:uiPriority w:val="1"/>
    <w:pPr>
      <w:pBdr/>
      <w:spacing/>
      <w:ind/>
    </w:pPr>
    <w:rPr>
      <w:rFonts w:ascii="Tahoma" w:hAnsi="Tahoma" w:eastAsia="Times New Roman" w:cs="Times New Roman"/>
      <w:color w:val="16394f"/>
      <w:sz w:val="20"/>
      <w:szCs w:val="20"/>
      <w:lang w:eastAsia="ru-RU"/>
    </w:rPr>
  </w:style>
  <w:style w:type="paragraph" w:styleId="1022" w:customStyle="1">
    <w:name w:val="03osnovnoytext"/>
    <w:basedOn w:val="745"/>
    <w:qFormat/>
    <w:pPr>
      <w:pBdr/>
      <w:tabs>
        <w:tab w:val="left" w:leader="none" w:pos="708"/>
      </w:tabs>
      <w:spacing w:after="0" w:before="320" w:line="320" w:lineRule="atLeast"/>
      <w:ind w:left="1191"/>
      <w:contextualSpacing w:val="true"/>
    </w:pPr>
    <w:rPr>
      <w:rFonts w:ascii="GaramondC" w:hAnsi="GaramondC"/>
      <w:color w:val="000000"/>
    </w:rPr>
  </w:style>
  <w:style w:type="paragraph" w:styleId="1023" w:customStyle="1">
    <w:name w:val="03bulliti"/>
    <w:basedOn w:val="745"/>
    <w:qFormat/>
    <w:pPr>
      <w:pBdr/>
      <w:tabs>
        <w:tab w:val="left" w:leader="none" w:pos="708"/>
      </w:tabs>
      <w:spacing w:after="0" w:before="170" w:line="320" w:lineRule="atLeast"/>
      <w:ind w:hanging="440" w:left="1640"/>
      <w:contextualSpacing w:val="true"/>
    </w:pPr>
    <w:rPr>
      <w:rFonts w:ascii="GaramondC" w:hAnsi="GaramondC"/>
      <w:color w:val="000000"/>
    </w:rPr>
  </w:style>
  <w:style w:type="character" w:styleId="1024" w:customStyle="1">
    <w:name w:val="Основной текст_"/>
    <w:basedOn w:val="755"/>
    <w:link w:val="1025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025" w:customStyle="1">
    <w:name w:val="Основной текст1"/>
    <w:basedOn w:val="745"/>
    <w:link w:val="1024"/>
    <w:pPr>
      <w:widowControl w:val="false"/>
      <w:pBdr/>
      <w:spacing w:after="0" w:before="0"/>
      <w:ind w:firstLine="40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character" w:styleId="1026" w:customStyle="1">
    <w:name w:val="Заголовок №1_"/>
    <w:basedOn w:val="755"/>
    <w:link w:val="1027"/>
    <w:pPr>
      <w:pBdr/>
      <w:spacing/>
      <w:ind/>
    </w:pPr>
    <w:rPr>
      <w:rFonts w:ascii="Times New Roman" w:hAnsi="Times New Roman" w:eastAsia="Times New Roman" w:cs="Times New Roman"/>
      <w:b/>
      <w:bCs/>
    </w:rPr>
  </w:style>
  <w:style w:type="paragraph" w:styleId="1027" w:customStyle="1">
    <w:name w:val="Заголовок №1"/>
    <w:basedOn w:val="745"/>
    <w:link w:val="1026"/>
    <w:pPr>
      <w:widowControl w:val="false"/>
      <w:pBdr/>
      <w:spacing w:after="0" w:before="0" w:line="259" w:lineRule="auto"/>
      <w:ind/>
      <w:jc w:val="center"/>
      <w:outlineLvl w:val="0"/>
    </w:pPr>
    <w:rPr>
      <w:rFonts w:ascii="Times New Roman" w:hAnsi="Times New Roman"/>
      <w:b/>
      <w:bCs/>
      <w:color w:val="auto"/>
      <w:sz w:val="22"/>
      <w:szCs w:val="22"/>
      <w:lang w:eastAsia="en-US"/>
    </w:rPr>
  </w:style>
  <w:style w:type="character" w:styleId="1028" w:customStyle="1">
    <w:name w:val="Абзац списка Знак"/>
    <w:link w:val="998"/>
    <w:qFormat/>
    <w:pPr>
      <w:pBdr/>
      <w:spacing/>
      <w:ind/>
    </w:pPr>
    <w:rPr>
      <w:rFonts w:ascii="Tahoma" w:hAnsi="Tahoma" w:eastAsia="Times New Roman" w:cs="Times New Roman"/>
      <w:color w:val="16394f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zakupki.gov.ru/epz/orderplan/pg2020/specialPurchase/special-purchase-info.html?plan-number=202603221000038001&amp;position-number=202603221000038001000001&amp;version=0" TargetMode="External"/><Relationship Id="rId11" Type="http://schemas.openxmlformats.org/officeDocument/2006/relationships/hyperlink" Target="consultantplus://offline/main?base=MLAW;n=129338;fld=134;dst=10018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2C697-C5D1-4199-BC96-50404560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revision>36</cp:revision>
  <dcterms:created xsi:type="dcterms:W3CDTF">2026-04-10T00:39:00Z</dcterms:created>
  <dcterms:modified xsi:type="dcterms:W3CDTF">2026-07-28T00:56:54Z</dcterms:modified>
</cp:coreProperties>
</file>