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9D67A6">
        <w:rPr>
          <w:rFonts w:ascii="Times New Roman" w:hAnsi="Times New Roman" w:cs="Times New Roman"/>
          <w:b/>
          <w:sz w:val="22"/>
          <w:szCs w:val="22"/>
        </w:rPr>
        <w:t>38/20</w:t>
      </w:r>
      <w:r w:rsidR="003148E1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46575F" w:rsidRPr="0046575F" w:rsidRDefault="00E81E4C" w:rsidP="0046575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46575F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936CF1" w:rsidRDefault="00936CF1" w:rsidP="00936CF1">
      <w:pPr>
        <w:spacing w:after="120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936CF1">
      <w:pPr>
        <w:spacing w:after="12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</w:t>
      </w:r>
      <w:r w:rsidR="00936CF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="003148E1">
        <w:rPr>
          <w:rFonts w:ascii="Times New Roman" w:hAnsi="Times New Roman" w:cs="Times New Roman"/>
          <w:sz w:val="22"/>
          <w:szCs w:val="22"/>
        </w:rPr>
        <w:t xml:space="preserve"> «ООО___»)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E2593">
        <w:rPr>
          <w:rFonts w:ascii="Times New Roman" w:hAnsi="Times New Roman" w:cs="Times New Roman"/>
          <w:sz w:val="22"/>
          <w:szCs w:val="22"/>
        </w:rPr>
        <w:t>п.</w:t>
      </w:r>
      <w:r w:rsidR="00E81E4C" w:rsidRPr="0046575F">
        <w:rPr>
          <w:rFonts w:ascii="Times New Roman" w:hAnsi="Times New Roman" w:cs="Times New Roman"/>
          <w:sz w:val="22"/>
          <w:szCs w:val="22"/>
        </w:rPr>
        <w:t>5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 ч.1 ст.93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1B35CA" w:rsidRDefault="00554D9B" w:rsidP="00DA509F">
      <w:pPr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9D67A6">
        <w:rPr>
          <w:rStyle w:val="ListLabel4"/>
          <w:b/>
          <w:szCs w:val="22"/>
        </w:rPr>
        <w:t xml:space="preserve">матрицы с пуансонами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1B35CA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46575F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46575F">
        <w:rPr>
          <w:sz w:val="22"/>
          <w:szCs w:val="22"/>
        </w:rPr>
        <w:t xml:space="preserve">Общая сумма </w:t>
      </w:r>
      <w:r w:rsidR="005337EB" w:rsidRPr="0046575F">
        <w:rPr>
          <w:sz w:val="22"/>
          <w:szCs w:val="22"/>
        </w:rPr>
        <w:t>Контракт</w:t>
      </w:r>
      <w:r w:rsidRPr="0046575F">
        <w:rPr>
          <w:sz w:val="22"/>
          <w:szCs w:val="22"/>
        </w:rPr>
        <w:t xml:space="preserve">а составляет </w:t>
      </w:r>
      <w:r w:rsidR="00A15379" w:rsidRPr="0046575F">
        <w:rPr>
          <w:sz w:val="22"/>
          <w:szCs w:val="22"/>
        </w:rPr>
        <w:t>__________</w:t>
      </w:r>
      <w:r w:rsidRPr="0046575F">
        <w:rPr>
          <w:sz w:val="22"/>
          <w:szCs w:val="22"/>
        </w:rPr>
        <w:t xml:space="preserve"> </w:t>
      </w:r>
      <w:r w:rsidR="00EA4635" w:rsidRPr="0046575F">
        <w:rPr>
          <w:b/>
          <w:sz w:val="22"/>
          <w:szCs w:val="22"/>
        </w:rPr>
        <w:t>(</w:t>
      </w:r>
      <w:r w:rsidR="00A15379" w:rsidRPr="0046575F">
        <w:rPr>
          <w:b/>
          <w:sz w:val="22"/>
          <w:szCs w:val="22"/>
        </w:rPr>
        <w:t>_____________________</w:t>
      </w:r>
      <w:r w:rsidR="00EA4635" w:rsidRPr="0046575F">
        <w:rPr>
          <w:b/>
          <w:sz w:val="22"/>
          <w:szCs w:val="22"/>
        </w:rPr>
        <w:t xml:space="preserve">) рублей </w:t>
      </w:r>
      <w:r w:rsidR="00A15379" w:rsidRPr="0046575F">
        <w:rPr>
          <w:b/>
          <w:sz w:val="22"/>
          <w:szCs w:val="22"/>
        </w:rPr>
        <w:t>____</w:t>
      </w:r>
      <w:r w:rsidR="00EA4635" w:rsidRPr="0046575F">
        <w:rPr>
          <w:b/>
          <w:sz w:val="22"/>
          <w:szCs w:val="22"/>
        </w:rPr>
        <w:t xml:space="preserve"> копеек</w:t>
      </w:r>
      <w:r w:rsidR="00E81E4C" w:rsidRPr="0046575F">
        <w:rPr>
          <w:sz w:val="22"/>
          <w:szCs w:val="22"/>
        </w:rPr>
        <w:t>, в т. ч. НДС (2</w:t>
      </w:r>
      <w:r w:rsidR="004B4206" w:rsidRPr="0046575F">
        <w:rPr>
          <w:sz w:val="22"/>
          <w:szCs w:val="22"/>
        </w:rPr>
        <w:t>2</w:t>
      </w:r>
      <w:r w:rsidR="00E81E4C" w:rsidRPr="0046575F">
        <w:rPr>
          <w:sz w:val="22"/>
          <w:szCs w:val="22"/>
        </w:rPr>
        <w:t>%)</w:t>
      </w:r>
      <w:r w:rsidR="00554D9B" w:rsidRPr="0046575F">
        <w:rPr>
          <w:sz w:val="22"/>
          <w:szCs w:val="22"/>
        </w:rPr>
        <w:t>/</w:t>
      </w:r>
      <w:r w:rsidR="00E81E4C" w:rsidRPr="0046575F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46575F">
        <w:rPr>
          <w:sz w:val="22"/>
          <w:szCs w:val="22"/>
        </w:rPr>
        <w:t>, либо иную налоговую ставку (5%</w:t>
      </w:r>
      <w:r w:rsidR="00AA60D1" w:rsidRPr="0046575F">
        <w:rPr>
          <w:sz w:val="22"/>
          <w:szCs w:val="22"/>
        </w:rPr>
        <w:t>,</w:t>
      </w:r>
      <w:r w:rsidR="004B4206" w:rsidRPr="0046575F">
        <w:rPr>
          <w:sz w:val="22"/>
          <w:szCs w:val="22"/>
        </w:rPr>
        <w:t xml:space="preserve"> 7%)</w:t>
      </w:r>
      <w:r w:rsidR="00E81E4C" w:rsidRPr="0046575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3148E1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1B35CA" w:rsidRDefault="00554D9B" w:rsidP="00554D9B">
      <w:pPr>
        <w:pStyle w:val="a7"/>
        <w:tabs>
          <w:tab w:val="left" w:pos="1134"/>
        </w:tabs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3148E1">
        <w:rPr>
          <w:sz w:val="22"/>
          <w:szCs w:val="22"/>
        </w:rPr>
        <w:t xml:space="preserve">в течение </w:t>
      </w:r>
      <w:r w:rsidR="009D67A6">
        <w:rPr>
          <w:b/>
          <w:sz w:val="22"/>
          <w:szCs w:val="22"/>
        </w:rPr>
        <w:t>1</w:t>
      </w:r>
      <w:r w:rsidR="00F61048">
        <w:rPr>
          <w:b/>
          <w:sz w:val="22"/>
          <w:szCs w:val="22"/>
        </w:rPr>
        <w:t>0</w:t>
      </w:r>
      <w:r w:rsidR="003148E1" w:rsidRPr="004A1FF4">
        <w:rPr>
          <w:b/>
          <w:sz w:val="22"/>
          <w:szCs w:val="22"/>
        </w:rPr>
        <w:t xml:space="preserve"> </w:t>
      </w:r>
      <w:r w:rsidR="000A1795" w:rsidRPr="004A1FF4">
        <w:rPr>
          <w:b/>
          <w:sz w:val="22"/>
          <w:szCs w:val="22"/>
        </w:rPr>
        <w:t>(</w:t>
      </w:r>
      <w:r w:rsidR="009D67A6">
        <w:rPr>
          <w:b/>
          <w:sz w:val="22"/>
          <w:szCs w:val="22"/>
        </w:rPr>
        <w:t>десяти</w:t>
      </w:r>
      <w:r w:rsidR="000A1795" w:rsidRPr="004A1FF4">
        <w:rPr>
          <w:b/>
          <w:sz w:val="22"/>
          <w:szCs w:val="22"/>
        </w:rPr>
        <w:t>)</w:t>
      </w:r>
      <w:r w:rsidR="00F61048">
        <w:rPr>
          <w:b/>
          <w:sz w:val="22"/>
          <w:szCs w:val="22"/>
        </w:rPr>
        <w:t xml:space="preserve"> рабочих</w:t>
      </w:r>
      <w:r w:rsidR="003148E1" w:rsidRPr="004A1FF4">
        <w:rPr>
          <w:b/>
          <w:sz w:val="22"/>
          <w:szCs w:val="22"/>
        </w:rPr>
        <w:t xml:space="preserve"> </w:t>
      </w:r>
      <w:r w:rsidR="000559DB" w:rsidRPr="004A1FF4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="007F3F39">
        <w:rPr>
          <w:b/>
          <w:sz w:val="22"/>
          <w:szCs w:val="22"/>
        </w:rPr>
        <w:t xml:space="preserve"> </w:t>
      </w:r>
      <w:r w:rsidR="008C787D" w:rsidRPr="00DA509F">
        <w:rPr>
          <w:b/>
          <w:sz w:val="22"/>
          <w:szCs w:val="22"/>
        </w:rPr>
        <w:t>630090</w:t>
      </w:r>
      <w:r w:rsidR="008C787D">
        <w:rPr>
          <w:b/>
          <w:sz w:val="22"/>
          <w:szCs w:val="22"/>
        </w:rPr>
        <w:t>,</w:t>
      </w:r>
      <w:r w:rsidR="008C787D" w:rsidRPr="00DA509F">
        <w:rPr>
          <w:b/>
          <w:sz w:val="22"/>
          <w:szCs w:val="22"/>
        </w:rPr>
        <w:t xml:space="preserve"> г. Новосибирск, проспект Академика Лаврентьева, 11.</w:t>
      </w:r>
      <w:r w:rsidR="008C787D" w:rsidRPr="00DA509F">
        <w:rPr>
          <w:sz w:val="22"/>
          <w:szCs w:val="22"/>
        </w:rPr>
        <w:t xml:space="preserve"> 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Default="00E81E4C" w:rsidP="00431605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</w:t>
      </w:r>
      <w:r w:rsidR="00390EC8">
        <w:rPr>
          <w:sz w:val="22"/>
          <w:szCs w:val="22"/>
        </w:rPr>
        <w:t>ащих обязательной сертификации).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СО РАН действует пропускной режим, Поставщик должен уведомить контактное лицо со стороны Заказчика </w:t>
      </w:r>
      <w:r w:rsidR="008E7C50" w:rsidRPr="008E7C50">
        <w:rPr>
          <w:sz w:val="22"/>
          <w:szCs w:val="22"/>
        </w:rPr>
        <w:lastRenderedPageBreak/>
        <w:t>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390EC8" w:rsidRDefault="00390EC8" w:rsidP="00390EC8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1B35CA" w:rsidRDefault="00554D9B" w:rsidP="00E84781">
      <w:pPr>
        <w:pStyle w:val="a7"/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33634D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33634D" w:rsidRPr="003B5253" w:rsidRDefault="0033634D" w:rsidP="0033634D">
      <w:pPr>
        <w:pStyle w:val="a7"/>
        <w:tabs>
          <w:tab w:val="left" w:pos="1134"/>
        </w:tabs>
        <w:ind w:left="567"/>
        <w:rPr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1B35CA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1B35CA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16"/>
          <w:szCs w:val="16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1B35CA" w:rsidRPr="001B35CA" w:rsidRDefault="001B35CA" w:rsidP="001B35CA">
      <w:pPr>
        <w:pStyle w:val="a3"/>
        <w:tabs>
          <w:tab w:val="left" w:pos="284"/>
          <w:tab w:val="left" w:pos="1134"/>
        </w:tabs>
        <w:spacing w:after="0"/>
        <w:ind w:left="567"/>
        <w:rPr>
          <w:sz w:val="16"/>
          <w:szCs w:val="16"/>
        </w:rPr>
      </w:pP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 xml:space="preserve">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1B35CA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3B5253" w:rsidRDefault="00EA4635" w:rsidP="00492232">
      <w:pPr>
        <w:spacing w:after="120"/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9D67A6">
        <w:rPr>
          <w:rFonts w:ascii="Times New Roman" w:hAnsi="Times New Roman" w:cs="Times New Roman"/>
          <w:b/>
          <w:sz w:val="22"/>
          <w:szCs w:val="22"/>
          <w:u w:val="single"/>
        </w:rPr>
        <w:t>Бакулина Тамара Владимировна, т. +7(383) 329-40-98</w:t>
      </w:r>
      <w:r w:rsidR="005679FA" w:rsidRPr="005679FA">
        <w:rPr>
          <w:rFonts w:ascii="Times New Roman" w:hAnsi="Times New Roman" w:cs="Times New Roman"/>
          <w:b/>
          <w:sz w:val="22"/>
          <w:szCs w:val="22"/>
          <w:u w:val="single"/>
        </w:rPr>
        <w:t xml:space="preserve">, эл. почта: </w:t>
      </w:r>
      <w:hyperlink r:id="rId8" w:history="1">
        <w:r w:rsidR="009D67A6" w:rsidRPr="009D67A6">
          <w:rPr>
            <w:rStyle w:val="af1"/>
            <w:rFonts w:ascii="Times New Roman" w:hAnsi="Times New Roman" w:cs="Times New Roman"/>
            <w:b/>
            <w:color w:val="0000CC"/>
          </w:rPr>
          <w:t>T.V.Bakulina@inp.nsk.su</w:t>
        </w:r>
      </w:hyperlink>
      <w:r w:rsidR="005679FA" w:rsidRPr="009D67A6"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  <w:t>.</w:t>
      </w:r>
      <w:r w:rsidR="009D67A6"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  <w:t xml:space="preserve"> </w:t>
      </w:r>
    </w:p>
    <w:p w:rsidR="00EA4635" w:rsidRPr="00DA509F" w:rsidRDefault="00EA4635" w:rsidP="00D008AB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24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D008AB">
            <w:pPr>
              <w:pStyle w:val="2"/>
              <w:spacing w:before="240" w:after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D008AB" w:rsidRDefault="00D008AB" w:rsidP="00D008AB">
            <w:pPr>
              <w:pStyle w:val="2"/>
              <w:spacing w:before="240" w:after="0"/>
              <w:ind w:left="-74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EA4635" w:rsidRPr="00DA509F" w:rsidRDefault="00EA4635" w:rsidP="00D008AB">
            <w:pPr>
              <w:pStyle w:val="2"/>
              <w:spacing w:before="24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534672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  <w:p w:rsidR="0033634D" w:rsidRPr="00DA509F" w:rsidRDefault="0033634D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EA4635" w:rsidRPr="00DA509F" w:rsidRDefault="00EA4635" w:rsidP="00492232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492232">
            <w:pPr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33634D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33634D">
            <w:pPr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33634D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33634D">
            <w:pPr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Default="00037D6E" w:rsidP="0033634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33634D" w:rsidRPr="00DA509F" w:rsidRDefault="0033634D" w:rsidP="0033634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33634D">
            <w:pPr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492232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33634D">
          <w:headerReference w:type="default" r:id="rId9"/>
          <w:footerReference w:type="default" r:id="rId10"/>
          <w:pgSz w:w="11906" w:h="16838"/>
          <w:pgMar w:top="568" w:right="850" w:bottom="851" w:left="851" w:header="284" w:footer="186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612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1227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38/20</w:t>
            </w:r>
            <w:r w:rsidR="008612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629"/>
        <w:gridCol w:w="1067"/>
        <w:gridCol w:w="3751"/>
        <w:gridCol w:w="1984"/>
        <w:gridCol w:w="1135"/>
        <w:gridCol w:w="1135"/>
        <w:gridCol w:w="1699"/>
        <w:gridCol w:w="1799"/>
      </w:tblGrid>
      <w:tr w:rsidR="006B5766" w:rsidRPr="00DA509F" w:rsidTr="001B6539">
        <w:trPr>
          <w:gridBefore w:val="1"/>
          <w:gridAfter w:val="1"/>
          <w:wBefore w:w="23" w:type="pct"/>
          <w:wAfter w:w="612" w:type="pct"/>
          <w:trHeight w:val="1022"/>
          <w:tblCellSpacing w:w="0" w:type="dxa"/>
        </w:trPr>
        <w:tc>
          <w:tcPr>
            <w:tcW w:w="700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1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Сумма 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НДС (руб.)</w:t>
            </w:r>
            <w:r w:rsidR="007459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B6539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25.73.60.140 </w:t>
            </w:r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«и»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 ПП 1875)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1B6539" w:rsidRDefault="001B6539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Матрица с пуансонами №1 диаметром 5 мм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1B6539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5B0432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539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25.73.60.140 </w:t>
            </w:r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«и» п.5 ПП 1875)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Матрица с пуансонами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диаметром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мм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1B6539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539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25.73.60.140 </w:t>
            </w:r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«и» п.5 ПП 1875)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Матрица с пуансонами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диаметром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мм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1B6539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7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Default="00001BEB" w:rsidP="00176C6E">
      <w:pPr>
        <w:spacing w:after="240"/>
        <w:ind w:firstLine="426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 w:rsidRPr="00BB31A5">
        <w:rPr>
          <w:rFonts w:ascii="Times New Roman" w:hAnsi="Times New Roman" w:cs="Times New Roman"/>
          <w:b/>
          <w:color w:val="000000"/>
          <w:sz w:val="22"/>
          <w:szCs w:val="22"/>
        </w:rPr>
        <w:t>/без НДС.</w:t>
      </w:r>
      <w:r w:rsidR="0074599F" w:rsidRPr="0074599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26241A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26241A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Д.Е. </w:t>
                  </w:r>
                  <w:proofErr w:type="spellStart"/>
                  <w:r w:rsidRPr="0026241A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1" w:name="_Toc157679469"/>
      <w:bookmarkStart w:id="2" w:name="_Toc168144812"/>
      <w:bookmarkStart w:id="3" w:name="_Toc168159798"/>
      <w:bookmarkStart w:id="4" w:name="_Toc213335139"/>
      <w:bookmarkStart w:id="5" w:name="_Toc213679142"/>
      <w:bookmarkStart w:id="6" w:name="_Toc213679220"/>
      <w:bookmarkStart w:id="7" w:name="_Toc301863428"/>
      <w:bookmarkStart w:id="8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122700">
        <w:rPr>
          <w:rFonts w:ascii="Times New Roman" w:hAnsi="Times New Roman" w:cs="Times New Roman"/>
          <w:b/>
          <w:sz w:val="22"/>
          <w:szCs w:val="22"/>
        </w:rPr>
        <w:t>38/20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AB35BD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A905AD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122700">
        <w:rPr>
          <w:rFonts w:ascii="Times New Roman" w:hAnsi="Times New Roman" w:cs="Times New Roman"/>
          <w:sz w:val="22"/>
          <w:szCs w:val="22"/>
        </w:rPr>
        <w:t>38/20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2693"/>
        <w:gridCol w:w="1985"/>
        <w:gridCol w:w="1276"/>
        <w:gridCol w:w="1701"/>
        <w:gridCol w:w="2272"/>
        <w:gridCol w:w="2659"/>
      </w:tblGrid>
      <w:tr w:rsidR="0026241A" w:rsidRPr="00DA509F" w:rsidTr="0026241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74599F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6241A" w:rsidRPr="00DA509F" w:rsidRDefault="0074599F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26241A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821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821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bookmarkStart w:id="9" w:name="_GoBack"/>
      <w:bookmarkEnd w:id="9"/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>(22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/без НДС. </w:t>
      </w:r>
      <w:r w:rsidR="0074599F" w:rsidRPr="00B32DC0">
        <w:rPr>
          <w:rFonts w:ascii="Times New Roman" w:hAnsi="Times New Roman" w:cs="Times New Roman"/>
          <w:sz w:val="22"/>
          <w:szCs w:val="22"/>
        </w:rPr>
        <w:t>НДС не облагается на основании п. 2 ст. 346.11 главы 26.2 НК РФ.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D62C9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F35713" w:rsidRDefault="005337EB" w:rsidP="00045D69">
    <w:pPr>
      <w:pStyle w:val="ad"/>
      <w:ind w:firstLine="0"/>
      <w:rPr>
        <w:rFonts w:ascii="Times New Roman" w:hAnsi="Times New Roman" w:cs="Times New Roman"/>
        <w:sz w:val="18"/>
        <w:szCs w:val="18"/>
      </w:rPr>
    </w:pPr>
    <w:r w:rsidRPr="00F35713">
      <w:rPr>
        <w:rFonts w:ascii="Times New Roman" w:hAnsi="Times New Roman" w:cs="Times New Roman"/>
        <w:sz w:val="18"/>
        <w:szCs w:val="18"/>
      </w:rPr>
      <w:t>Контракт</w:t>
    </w:r>
    <w:r w:rsidR="00B72194" w:rsidRPr="00F35713">
      <w:rPr>
        <w:rFonts w:ascii="Times New Roman" w:hAnsi="Times New Roman" w:cs="Times New Roman"/>
        <w:sz w:val="18"/>
        <w:szCs w:val="18"/>
      </w:rPr>
      <w:t xml:space="preserve"> №</w:t>
    </w:r>
    <w:r w:rsidR="00F35713">
      <w:rPr>
        <w:rFonts w:ascii="Times New Roman" w:hAnsi="Times New Roman" w:cs="Times New Roman"/>
        <w:sz w:val="18"/>
        <w:szCs w:val="18"/>
      </w:rPr>
      <w:t xml:space="preserve"> </w:t>
    </w:r>
    <w:r w:rsidR="009D67A6">
      <w:rPr>
        <w:rFonts w:ascii="Times New Roman" w:hAnsi="Times New Roman" w:cs="Times New Roman"/>
        <w:sz w:val="18"/>
        <w:szCs w:val="18"/>
      </w:rPr>
      <w:t>38/20</w:t>
    </w:r>
    <w:r w:rsidR="004A1FF4" w:rsidRPr="00F35713">
      <w:rPr>
        <w:rFonts w:ascii="Times New Roman" w:hAnsi="Times New Roman" w:cs="Times New Roman"/>
        <w:sz w:val="18"/>
        <w:szCs w:val="18"/>
      </w:rPr>
      <w:t xml:space="preserve">-44 </w:t>
    </w:r>
    <w:r w:rsidR="00B72194" w:rsidRPr="00F35713">
      <w:rPr>
        <w:rFonts w:ascii="Times New Roman" w:hAnsi="Times New Roman" w:cs="Times New Roman"/>
        <w:sz w:val="18"/>
        <w:szCs w:val="18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4178D" w:rsidRPr="00936CF1" w:rsidRDefault="00F4178D" w:rsidP="00936CF1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6C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6C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05F7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1003E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C4DC8"/>
    <w:rsid w:val="000E64E6"/>
    <w:rsid w:val="00104FA5"/>
    <w:rsid w:val="001168E6"/>
    <w:rsid w:val="00122700"/>
    <w:rsid w:val="0015738B"/>
    <w:rsid w:val="00161665"/>
    <w:rsid w:val="00163F56"/>
    <w:rsid w:val="00167917"/>
    <w:rsid w:val="00176C6E"/>
    <w:rsid w:val="00187F2D"/>
    <w:rsid w:val="001938BD"/>
    <w:rsid w:val="001B35CA"/>
    <w:rsid w:val="001B6539"/>
    <w:rsid w:val="001D02CA"/>
    <w:rsid w:val="00207280"/>
    <w:rsid w:val="0021385C"/>
    <w:rsid w:val="00217FA3"/>
    <w:rsid w:val="00232674"/>
    <w:rsid w:val="00240A8E"/>
    <w:rsid w:val="00252E71"/>
    <w:rsid w:val="0026241A"/>
    <w:rsid w:val="00285080"/>
    <w:rsid w:val="002D333B"/>
    <w:rsid w:val="002D46CE"/>
    <w:rsid w:val="002D47E9"/>
    <w:rsid w:val="002E2C8F"/>
    <w:rsid w:val="00313459"/>
    <w:rsid w:val="003148E1"/>
    <w:rsid w:val="00323EAC"/>
    <w:rsid w:val="003243F6"/>
    <w:rsid w:val="0033368F"/>
    <w:rsid w:val="0033634D"/>
    <w:rsid w:val="00337B18"/>
    <w:rsid w:val="003467BA"/>
    <w:rsid w:val="003568E4"/>
    <w:rsid w:val="00390EC8"/>
    <w:rsid w:val="00391548"/>
    <w:rsid w:val="0039508C"/>
    <w:rsid w:val="003B5253"/>
    <w:rsid w:val="003D2598"/>
    <w:rsid w:val="003E3185"/>
    <w:rsid w:val="003E409B"/>
    <w:rsid w:val="003E7D5D"/>
    <w:rsid w:val="003F6A23"/>
    <w:rsid w:val="004166AE"/>
    <w:rsid w:val="00422190"/>
    <w:rsid w:val="00431605"/>
    <w:rsid w:val="004617CC"/>
    <w:rsid w:val="004629D7"/>
    <w:rsid w:val="00463BEE"/>
    <w:rsid w:val="0046575F"/>
    <w:rsid w:val="004854DA"/>
    <w:rsid w:val="00492232"/>
    <w:rsid w:val="004A1FF4"/>
    <w:rsid w:val="004B4206"/>
    <w:rsid w:val="004B658E"/>
    <w:rsid w:val="004C3375"/>
    <w:rsid w:val="00502AD6"/>
    <w:rsid w:val="00504933"/>
    <w:rsid w:val="00505DE0"/>
    <w:rsid w:val="00510A77"/>
    <w:rsid w:val="0052009A"/>
    <w:rsid w:val="00522DBD"/>
    <w:rsid w:val="00527389"/>
    <w:rsid w:val="005337EB"/>
    <w:rsid w:val="00534672"/>
    <w:rsid w:val="00543F89"/>
    <w:rsid w:val="0054725E"/>
    <w:rsid w:val="00554D9B"/>
    <w:rsid w:val="005679FA"/>
    <w:rsid w:val="00572D5F"/>
    <w:rsid w:val="00575223"/>
    <w:rsid w:val="0057541D"/>
    <w:rsid w:val="00576B27"/>
    <w:rsid w:val="005A06BB"/>
    <w:rsid w:val="005A7821"/>
    <w:rsid w:val="005B0432"/>
    <w:rsid w:val="005B60CB"/>
    <w:rsid w:val="005C559B"/>
    <w:rsid w:val="005E5698"/>
    <w:rsid w:val="0060188C"/>
    <w:rsid w:val="006108D6"/>
    <w:rsid w:val="006210B5"/>
    <w:rsid w:val="006228D9"/>
    <w:rsid w:val="00675888"/>
    <w:rsid w:val="006835AF"/>
    <w:rsid w:val="0068367A"/>
    <w:rsid w:val="006A093A"/>
    <w:rsid w:val="006B5766"/>
    <w:rsid w:val="006C71EE"/>
    <w:rsid w:val="006D3DA8"/>
    <w:rsid w:val="00701603"/>
    <w:rsid w:val="0074599F"/>
    <w:rsid w:val="007554F8"/>
    <w:rsid w:val="0075611D"/>
    <w:rsid w:val="00756C13"/>
    <w:rsid w:val="007606AD"/>
    <w:rsid w:val="00767C29"/>
    <w:rsid w:val="007A3051"/>
    <w:rsid w:val="007B2954"/>
    <w:rsid w:val="007C0FAC"/>
    <w:rsid w:val="007F0FA7"/>
    <w:rsid w:val="007F3F39"/>
    <w:rsid w:val="00844353"/>
    <w:rsid w:val="008450D3"/>
    <w:rsid w:val="00856D69"/>
    <w:rsid w:val="0086122F"/>
    <w:rsid w:val="00863CE1"/>
    <w:rsid w:val="00872666"/>
    <w:rsid w:val="0087307D"/>
    <w:rsid w:val="00881EBD"/>
    <w:rsid w:val="00893008"/>
    <w:rsid w:val="0089616F"/>
    <w:rsid w:val="008971DF"/>
    <w:rsid w:val="008C367D"/>
    <w:rsid w:val="008C5110"/>
    <w:rsid w:val="008C787D"/>
    <w:rsid w:val="008C7BB4"/>
    <w:rsid w:val="008E7C50"/>
    <w:rsid w:val="00905A78"/>
    <w:rsid w:val="00916118"/>
    <w:rsid w:val="00936CF1"/>
    <w:rsid w:val="00952403"/>
    <w:rsid w:val="009773C7"/>
    <w:rsid w:val="00985781"/>
    <w:rsid w:val="009A047A"/>
    <w:rsid w:val="009C4FC0"/>
    <w:rsid w:val="009C7ECD"/>
    <w:rsid w:val="009D060E"/>
    <w:rsid w:val="009D5FF5"/>
    <w:rsid w:val="009D67A6"/>
    <w:rsid w:val="00A017C5"/>
    <w:rsid w:val="00A05D89"/>
    <w:rsid w:val="00A06CD3"/>
    <w:rsid w:val="00A07E6C"/>
    <w:rsid w:val="00A15379"/>
    <w:rsid w:val="00A25FC9"/>
    <w:rsid w:val="00A40228"/>
    <w:rsid w:val="00A405F7"/>
    <w:rsid w:val="00A443A4"/>
    <w:rsid w:val="00A45129"/>
    <w:rsid w:val="00A779A0"/>
    <w:rsid w:val="00A905AD"/>
    <w:rsid w:val="00A96FFB"/>
    <w:rsid w:val="00AA60D1"/>
    <w:rsid w:val="00AA66BC"/>
    <w:rsid w:val="00AB0ABB"/>
    <w:rsid w:val="00AB35BD"/>
    <w:rsid w:val="00AB6DAC"/>
    <w:rsid w:val="00AB6FCF"/>
    <w:rsid w:val="00AB71E1"/>
    <w:rsid w:val="00B2102F"/>
    <w:rsid w:val="00B6311E"/>
    <w:rsid w:val="00B640DA"/>
    <w:rsid w:val="00B669BA"/>
    <w:rsid w:val="00B72194"/>
    <w:rsid w:val="00B91C20"/>
    <w:rsid w:val="00B95259"/>
    <w:rsid w:val="00BB31A5"/>
    <w:rsid w:val="00BE03AF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087"/>
    <w:rsid w:val="00CF2266"/>
    <w:rsid w:val="00D0045D"/>
    <w:rsid w:val="00D008AB"/>
    <w:rsid w:val="00D2243E"/>
    <w:rsid w:val="00D42524"/>
    <w:rsid w:val="00D5158D"/>
    <w:rsid w:val="00D62C93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2A30"/>
    <w:rsid w:val="00E84781"/>
    <w:rsid w:val="00E90967"/>
    <w:rsid w:val="00E92AE4"/>
    <w:rsid w:val="00EA4635"/>
    <w:rsid w:val="00EC2627"/>
    <w:rsid w:val="00EC7981"/>
    <w:rsid w:val="00EF00F7"/>
    <w:rsid w:val="00EF41ED"/>
    <w:rsid w:val="00F34BEB"/>
    <w:rsid w:val="00F35264"/>
    <w:rsid w:val="00F35713"/>
    <w:rsid w:val="00F4178D"/>
    <w:rsid w:val="00F43D00"/>
    <w:rsid w:val="00F61048"/>
    <w:rsid w:val="00F94388"/>
    <w:rsid w:val="00F97325"/>
    <w:rsid w:val="00FA2928"/>
    <w:rsid w:val="00FB26EC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540F97A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.Bakulina@inp.nsk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F577-8C21-4CC8-B7EB-1F6A7AC3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6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Marina A. Yasnova</cp:lastModifiedBy>
  <cp:revision>69</cp:revision>
  <cp:lastPrinted>2021-04-14T06:15:00Z</cp:lastPrinted>
  <dcterms:created xsi:type="dcterms:W3CDTF">2023-01-25T07:51:00Z</dcterms:created>
  <dcterms:modified xsi:type="dcterms:W3CDTF">2026-06-15T02:43:00Z</dcterms:modified>
</cp:coreProperties>
</file>