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8"/>
        <w:pBdr/>
        <w:spacing/>
        <w:ind w:right="-114"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Договор №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8"/>
        <w:pBdr/>
        <w:spacing/>
        <w:ind w:right="-114"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ИКЗ: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261434600765643450100100300000000244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pBdr/>
        <w:spacing/>
        <w:ind w:right="-114"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pBdr/>
        <w:spacing/>
        <w:ind w:right="-114"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pBdr/>
        <w:spacing/>
        <w:ind w:right="-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г. Киров</w:t>
        <w:tab/>
        <w:tab/>
        <w:tab/>
        <w:tab/>
        <w:tab/>
        <w:tab/>
        <w:tab/>
        <w:t xml:space="preserve">                                </w:t>
        <w:tab/>
        <w:t xml:space="preserve">            .07.2026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8"/>
        <w:pBdr/>
        <w:spacing/>
        <w:ind w:right="-114"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1"/>
        <w:pBdr/>
        <w:shd w:val="clear" w:color="auto" w:fill="ffffff"/>
        <w:spacing w:after="280" w:before="280"/>
        <w:ind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2"/>
        </w:rPr>
        <w:t xml:space="preserve">      </w:t>
      </w:r>
      <w:r>
        <w:rPr>
          <w:rFonts w:ascii="Times New Roman" w:hAnsi="Times New Roman" w:eastAsia="Times New Roman" w:cs="Times New Roman"/>
          <w:sz w:val="22"/>
        </w:rPr>
        <w:t xml:space="preserve">______________________, в лице директора __________________, действующего на основании ____________, именуемое в дальнейшем</w:t>
      </w:r>
      <w:r>
        <w:rPr>
          <w:rFonts w:ascii="Times New Roman" w:hAnsi="Times New Roman" w:eastAsia="Times New Roman" w:cs="Times New Roman"/>
          <w:b/>
          <w:sz w:val="22"/>
        </w:rPr>
        <w:t xml:space="preserve"> «Исполнитель</w:t>
      </w:r>
      <w:r>
        <w:rPr>
          <w:rFonts w:ascii="Times New Roman" w:hAnsi="Times New Roman" w:eastAsia="Times New Roman" w:cs="Times New Roman"/>
          <w:sz w:val="22"/>
        </w:rPr>
        <w:t xml:space="preserve">», с одной стороны, и </w:t>
      </w:r>
      <w:r>
        <w:rPr>
          <w:rFonts w:ascii="Times New Roman" w:hAnsi="Times New Roman" w:eastAsia="Times New Roman" w:cs="Times New Roman"/>
          <w:b/>
          <w:sz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eastAsia="Times New Roman" w:cs="Times New Roman"/>
          <w:sz w:val="22"/>
        </w:rPr>
        <w:t xml:space="preserve">, в лице директора института Парамонова Игоря Владимировича, действующего на основании Устава, именуемое в дальнейшем </w:t>
      </w:r>
      <w:r>
        <w:rPr>
          <w:rFonts w:ascii="Times New Roman" w:hAnsi="Times New Roman" w:eastAsia="Times New Roman" w:cs="Times New Roman"/>
          <w:b/>
          <w:sz w:val="22"/>
        </w:rPr>
        <w:t xml:space="preserve">«Заказчик»</w:t>
      </w:r>
      <w:r>
        <w:rPr>
          <w:rFonts w:ascii="Times New Roman" w:hAnsi="Times New Roman" w:eastAsia="Times New Roman" w:cs="Times New Roman"/>
          <w:sz w:val="22"/>
        </w:rPr>
        <w:t xml:space="preserve">, с другой стороны, далее совместно именуемые «Стороны», в</w:t>
      </w:r>
      <w:r>
        <w:rPr>
          <w:rFonts w:ascii="Times New Roman" w:hAnsi="Times New Roman" w:eastAsia="Times New Roman" w:cs="Times New Roman"/>
          <w:sz w:val="22"/>
        </w:rPr>
        <w:t xml:space="preserve"> соответствии с п.5 ч. 1 ст.93 Федерального закона от 05.04.2013 года № 44-ФЗ "О контрактной системе в сфере закупок товаров, работ, услуг для обеспечения государственных и муниципальных нужд", заключили настоящий Договор (далее – Договор) о нижеследующем:</w: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I. Предмет договора.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55"/>
        <w:numPr>
          <w:ilvl w:val="1"/>
          <w:numId w:val="2"/>
        </w:numPr>
        <w:pBdr/>
        <w:spacing w:after="0" w:before="240"/>
        <w:ind w:right="-114" w:firstLine="0" w:left="0"/>
        <w:contextualSpacing w:val="true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«Заказчик» поручает, а «Исполнитель» обязуется выполнить работы по перетяжке мебели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  </w:t>
      </w:r>
      <w:r>
        <w:rPr>
          <w:rFonts w:ascii="Times New Roman" w:hAnsi="Times New Roman" w:eastAsia="Times New Roman" w:cs="Times New Roman"/>
          <w:bCs/>
          <w:sz w:val="22"/>
          <w:szCs w:val="24"/>
        </w:rPr>
        <w:t xml:space="preserve"> в соответствии со спецификацией (Приложение №1)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  <w:lang w:val="en-US"/>
        </w:rPr>
        <w:t xml:space="preserve">I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I. Стоимость работ. Порядок расчетов.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2.1. Стоимость всех услуг “Исполнителю” по настоящему договору составляет: 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_______________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 w14:paraId="296E5D8C"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4"/>
          <w:highlight w:val="none"/>
        </w:rPr>
        <w:t xml:space="preserve">Стоимость включает доставку (забор и возврат диванов), услуги грузчиков, подъем и расстановку мебели по этажам.</w:t>
      </w:r>
      <w:r>
        <w:rPr>
          <w:rFonts w:ascii="Times New Roman" w:hAnsi="Times New Roman" w:cs="Times New Roman"/>
          <w:b/>
          <w:bCs/>
          <w:sz w:val="22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4"/>
        </w:rPr>
      </w:r>
      <w:r>
        <w:rPr>
          <w:rFonts w:ascii="Times New Roman" w:hAnsi="Times New Roman" w:cs="Times New Roman"/>
          <w:b/>
          <w:sz w:val="22"/>
          <w:szCs w:val="24"/>
        </w:rPr>
      </w:r>
      <w:r>
        <w:rPr>
          <w:rFonts w:ascii="Times New Roman" w:hAnsi="Times New Roman" w:cs="Times New Roman"/>
          <w:b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2.2. Расчет производится путем перечисления денежных средств на расчетный счет Исполнителя, в течение 7 рабочих дней с момента подписания Акта об оказании услуг.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  <w:lang w:val="en-US"/>
        </w:rPr>
        <w:t xml:space="preserve">III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. Обязательства сторон. Порядок рассмотрения споров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tabs>
          <w:tab w:val="left" w:leader="none" w:pos="0"/>
          <w:tab w:val="clear" w:leader="none" w:pos="708"/>
        </w:tabs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3.1. «Исполнитель» обязан оказать услуги, являющиеся предметом настоящего договора, в течение </w:t>
      </w:r>
      <w:r>
        <w:rPr>
          <w:rFonts w:ascii="Times New Roman" w:hAnsi="Times New Roman" w:eastAsia="Times New Roman" w:cs="Times New Roman"/>
          <w:b/>
          <w:bCs/>
          <w:sz w:val="22"/>
          <w:szCs w:val="24"/>
        </w:rPr>
        <w:t xml:space="preserve">2 календарных дней 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с момента поступления заявки от Заказчика. 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3.2. Приемка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 оказанных услуг оформляется Актом об оказании услуг, подписанным уполномоченными представителями обеих сторон. Гарантийный срок на оказанные услуги составляет 12 месяцев. 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3.3. «Заказчик» обязан принять услуги, указанные в п.1.1 Договора, и оплатить их в порядке, предусмотренном Договором.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 w:line="278" w:lineRule="auto"/>
        <w:ind/>
        <w:jc w:val="both"/>
        <w:rPr>
          <w:rFonts w:ascii="Times New Roman" w:hAnsi="Times New Roman" w:cs="Times New Roman"/>
          <w:sz w:val="22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3.4.</w:t>
      </w:r>
      <w:r>
        <w:rPr>
          <w:rFonts w:ascii="Times New Roman" w:hAnsi="Times New Roman" w:eastAsia="Times New Roman" w:cs="Times New Roman"/>
          <w:sz w:val="22"/>
          <w:szCs w:val="28"/>
          <w:shd w:val="clear" w:color="auto" w:fill="ffffff"/>
        </w:rPr>
        <w:t xml:space="preserve"> При приемке товаров, работ, услуг по контрактам, информация о</w:t>
      </w:r>
      <w:r>
        <w:rPr>
          <w:rFonts w:ascii="Times New Roman" w:hAnsi="Times New Roman" w:eastAsia="Times New Roman" w:cs="Times New Roman"/>
          <w:sz w:val="22"/>
          <w:szCs w:val="28"/>
          <w:shd w:val="clear" w:color="auto" w:fill="ffffff"/>
        </w:rPr>
        <w:t xml:space="preserve">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</w:t>
      </w:r>
      <w:r>
        <w:rPr>
          <w:rFonts w:ascii="Times New Roman" w:hAnsi="Times New Roman" w:eastAsia="Times New Roman" w:cs="Times New Roman"/>
          <w:sz w:val="22"/>
          <w:szCs w:val="28"/>
          <w:shd w:val="clear" w:color="auto" w:fill="ffffff"/>
        </w:rPr>
        <w:t xml:space="preserve">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 Вторая сторона обязана обеспечить подписание Акта приемки своим уполномоченным представителем.</w:t>
      </w:r>
      <w:r>
        <w:rPr>
          <w:rFonts w:ascii="Times New Roman" w:hAnsi="Times New Roman" w:cs="Times New Roman"/>
          <w:sz w:val="22"/>
          <w:szCs w:val="28"/>
          <w:highlight w:val="yellow"/>
        </w:rPr>
      </w:r>
      <w:r>
        <w:rPr>
          <w:rFonts w:ascii="Times New Roman" w:hAnsi="Times New Roman" w:cs="Times New Roman"/>
          <w:sz w:val="22"/>
          <w:szCs w:val="28"/>
          <w:highlight w:val="yellow"/>
        </w:rPr>
      </w:r>
    </w:p>
    <w:p>
      <w:pPr>
        <w:pStyle w:val="977"/>
        <w:pBdr/>
        <w:spacing/>
        <w:ind w:firstLine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3.5. Все споры и разногласия, возникающие по настоящему договору или в связи с ним, разрешаются путем предъявления претензий, срок рассмотрения которых 10 календарных дней с момента получения претензии. 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78"/>
        <w:pBdr/>
        <w:spacing w:after="0" w:before="0"/>
        <w:ind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3.6. В случае недостижения согласия между сторонами они подлежат рассмотрению в арбитражном суде в установленном законодательством порядке.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78"/>
        <w:pBdr/>
        <w:spacing w:after="0" w:before="0"/>
        <w:ind w:firstLine="0"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</w:r>
      <w:r>
        <w:rPr>
          <w:rFonts w:ascii="Times New Roman" w:hAnsi="Times New Roman" w:eastAsia="Times New Roman" w:cs="Times New Roman"/>
        </w:rPr>
      </w:r>
      <w:bookmarkStart w:id="1" w:name="_GoBack"/>
      <w:r>
        <w:rPr>
          <w:rFonts w:ascii="Times New Roman" w:hAnsi="Times New Roman" w:eastAsia="Times New Roman" w:cs="Times New Roman"/>
        </w:rPr>
      </w:r>
      <w:bookmarkEnd w:id="1"/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  <w:lang w:val="en-US"/>
        </w:rPr>
        <w:t xml:space="preserve">IV</w:t>
      </w:r>
      <w:r>
        <w:rPr>
          <w:rFonts w:ascii="Times New Roman" w:hAnsi="Times New Roman" w:eastAsia="Times New Roman" w:cs="Times New Roman"/>
          <w:sz w:val="22"/>
          <w:szCs w:val="24"/>
        </w:rPr>
        <w:t xml:space="preserve">. Срок действия договора.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4.1. Договор вступает в силу с момента подписания и действует до 31.12.2026 г.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4.2. Настоящий Договор составлен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 w:left="-42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 w:left="-42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  <w:t xml:space="preserve">V. Адреса и реквизиты сторон</w:t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 w:left="-42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 w:right="-114" w:left="-42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tbl>
      <w:tblPr>
        <w:tblInd w:w="0" w:type="dxa"/>
        <w:tblW w:w="101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41"/>
        <w:gridCol w:w="4931"/>
      </w:tblGrid>
      <w:tr>
        <w:trPr>
          <w:trHeight w:val="273"/>
        </w:trPr>
        <w:tc>
          <w:tcPr>
            <w:tcBorders/>
            <w:tcW w:w="5241" w:type="dxa"/>
          </w:tcPr>
          <w:p>
            <w:pPr>
              <w:pStyle w:val="908"/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</w:tc>
        <w:tc>
          <w:tcPr>
            <w:tcBorders/>
            <w:tcW w:w="4931" w:type="dxa"/>
          </w:tcPr>
          <w:p>
            <w:pPr>
              <w:pStyle w:val="908"/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  <w:p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</w:tc>
      </w:tr>
      <w:tr>
        <w:trPr/>
        <w:tc>
          <w:tcPr>
            <w:tcBorders/>
            <w:tcW w:w="5241" w:type="dxa"/>
          </w:tcPr>
          <w:p w14:paraId="389B9799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931" w:type="dxa"/>
          </w:tcPr>
          <w:p w14:paraId="4E65D31F"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ФГБУН КНИИГиПК ФМБА России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16A06FDE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0F79410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25-47-23, 54-53-37, 54-79-60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93D1D9E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DC3DD48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01966992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13119CB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736D1E4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0321464300000001324</w:t>
            </w:r>
            <w:r>
              <w:rPr>
                <w:sz w:val="22"/>
                <w:szCs w:val="22"/>
              </w:rPr>
              <w:t xml:space="preserve">6 в ОКЦ № 1 ВВГУ Банка России//УФК по Нижегородской области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DC72882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кор/сч  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D76C0EF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5E514C1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08"/>
        <w:pBdr/>
        <w:spacing w:line="312" w:lineRule="auto"/>
        <w:ind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 w:line="312" w:lineRule="auto"/>
        <w:ind w:right="150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tbl>
      <w:tblPr>
        <w:tblInd w:w="0" w:type="dxa"/>
        <w:tblW w:w="5000" w:type="pct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01"/>
        <w:gridCol w:w="4962"/>
      </w:tblGrid>
      <w:tr>
        <w:trPr/>
        <w:tc>
          <w:tcPr>
            <w:tcBorders/>
            <w:tcW w:w="5101" w:type="dxa"/>
          </w:tcPr>
          <w:p>
            <w:pPr>
              <w:pStyle w:val="908"/>
              <w:pBdr/>
              <w:spacing w:line="312" w:lineRule="auto"/>
              <w:ind w:right="15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</w:tc>
        <w:tc>
          <w:tcPr>
            <w:tcBorders/>
            <w:tcW w:w="4962" w:type="dxa"/>
          </w:tcPr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</w:p>
          <w:p w14:paraId="561CD0C6">
            <w:pPr>
              <w:pBdr/>
              <w:spacing w:line="312" w:lineRule="auto"/>
              <w:ind w:right="15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4"/>
                <w:highlight w:val="none"/>
              </w:rPr>
              <w:t xml:space="preserve">Директор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______________И.В. Парамонов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</w:tc>
      </w:tr>
    </w:tbl>
    <w:p>
      <w:pPr>
        <w:pStyle w:val="908"/>
        <w:pBdr/>
        <w:spacing/>
        <w:ind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/>
        <w:ind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eastAsia="Times New Roman" w:cs="Times New Roman"/>
        </w:rPr>
        <w:br w:type="page" w:clear="all"/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 w:after="0" w:before="0"/>
        <w:ind/>
        <w:jc w:val="right"/>
        <w:rPr>
          <w:rFonts w:ascii="Times New Roman" w:hAnsi="Times New Roman" w:cs="Times New Roman"/>
          <w:i/>
          <w:iCs/>
          <w:sz w:val="22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4"/>
        </w:rPr>
        <w:t xml:space="preserve">Приложение №1 </w:t>
      </w:r>
      <w:r>
        <w:rPr>
          <w:rFonts w:ascii="Times New Roman" w:hAnsi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</w:p>
    <w:p>
      <w:pPr>
        <w:pStyle w:val="908"/>
        <w:pBdr/>
        <w:spacing/>
        <w:ind/>
        <w:jc w:val="right"/>
        <w:rPr>
          <w:rFonts w:ascii="Times New Roman" w:hAnsi="Times New Roman" w:cs="Times New Roman"/>
          <w:i/>
          <w:iCs/>
          <w:sz w:val="22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4"/>
        </w:rPr>
        <w:t xml:space="preserve">к договору №                  от    .07.2026 г.</w:t>
      </w:r>
      <w:r>
        <w:rPr>
          <w:rFonts w:ascii="Times New Roman" w:hAnsi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</w:p>
    <w:p>
      <w:pPr>
        <w:pStyle w:val="908"/>
        <w:pBdr/>
        <w:spacing/>
        <w:ind/>
        <w:jc w:val="right"/>
        <w:rPr>
          <w:rFonts w:ascii="Times New Roman" w:hAnsi="Times New Roman" w:cs="Times New Roman"/>
          <w:i/>
          <w:iCs/>
          <w:sz w:val="22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</w:p>
    <w:p>
      <w:pPr>
        <w:pStyle w:val="908"/>
        <w:pBdr/>
        <w:spacing/>
        <w:ind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2"/>
          <w:szCs w:val="24"/>
        </w:rPr>
      </w:r>
      <w:r>
        <w:rPr>
          <w:rFonts w:ascii="Times New Roman" w:hAnsi="Times New Roman" w:cs="Times New Roman"/>
          <w:b/>
          <w:bCs/>
          <w:sz w:val="22"/>
          <w:szCs w:val="24"/>
        </w:rPr>
      </w:r>
    </w:p>
    <w:p>
      <w:pPr>
        <w:pStyle w:val="908"/>
        <w:pBdr/>
        <w:spacing/>
        <w:ind/>
        <w:jc w:val="right"/>
        <w:rPr>
          <w:rFonts w:ascii="Times New Roman" w:hAnsi="Times New Roman" w:cs="Times New Roman"/>
          <w:i/>
          <w:iCs/>
          <w:sz w:val="22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</w:p>
    <w:tbl>
      <w:tblPr>
        <w:tblInd w:w="-318" w:type="dxa"/>
        <w:tblW w:w="10488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97"/>
        <w:gridCol w:w="5356"/>
        <w:gridCol w:w="1276"/>
        <w:gridCol w:w="1559"/>
        <w:gridCol w:w="1701"/>
      </w:tblGrid>
      <w:tr>
        <w:trPr>
          <w:trHeight w:val="5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</w:tcPr>
          <w:p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6" w:type="dxa"/>
            <w:vAlign w:val="center"/>
          </w:tcPr>
          <w:p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Наименование услуг / запасных частей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</w:tcPr>
          <w:p w14:paraId="5CF9EDCD"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Кол-во, ед.изм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</w:tcPr>
          <w:p w14:paraId="30C53D33"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Цена руб. РФ, в т.ч. НДС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  <w:p w14:paraId="3679BB89"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 w14:paraId="565D2DAC"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Стоимость, руб.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РФ, в т.ч. НДС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4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</w:tcPr>
          <w:p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6" w:type="dxa"/>
          </w:tcPr>
          <w:p w14:paraId="14BC7A00">
            <w:pPr>
              <w:pBdr/>
              <w:spacing w:after="0" w:line="100" w:lineRule="atLeast"/>
              <w:ind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Диван Колибри 1,4м – перетяжка с заменой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ППУ на сидении (ППУ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марки ST3040 высотой не менее 60 мм)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1279E268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Материал обивки – искусственная кожа нового поколения,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Тест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Мартиндейла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- не менее 100000 циклов на истирание,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75CFFE66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ертификат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допустимости использования в медицинских учреждениях,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73D19CA5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игаретный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тест пройден.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398C2B7F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Сертификат предоставить до начала выполнения работ.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br/>
              <w:t xml:space="preserve">Цвет – по согласованию с заказчиком (комбинированное исполнение –сидение одного цвета, спинка и короб – другого цвета)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45C89C1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</w:tcPr>
          <w:p w14:paraId="4FBCC25D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шт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</w:tcPr>
          <w:p w14:paraId="14F0D24F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 w14:paraId="55EB352E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7" w:type="dxa"/>
            <w:vAlign w:val="center"/>
            <w:vMerge w:val="restart"/>
          </w:tcPr>
          <w:p w14:paraId="6EACFFE0">
            <w:pPr>
              <w:pStyle w:val="908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6" w:type="dxa"/>
            <w:vMerge w:val="restart"/>
          </w:tcPr>
          <w:p w14:paraId="215257CE">
            <w:pPr>
              <w:pBdr/>
              <w:spacing w:after="0" w:line="100" w:lineRule="atLeast"/>
              <w:ind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Диван Офисный – перетяжка с заменой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ППУ на сидении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(ППУ марки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ST3040 высотой не менее 60мм)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5D80E52F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Материал обивки – искусственная кожа нового поколения,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0F688DD6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Тест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Мартиндейла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- не менее 100000 циклов на истирание,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28E235F4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Сертификат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допустимости использования в медицинских учреждениях,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5AC51BFA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Сигаретный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тест пройден.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1CB632DD">
            <w:pPr>
              <w:pBdr/>
              <w:spacing/>
              <w:ind w:firstLine="0" w:left="0"/>
              <w:contextualSpacing w:val="true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t xml:space="preserve">Сертификат предоставить до начала выполнения работ.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  <w:br/>
              <w:t xml:space="preserve">Цвет – по согласованию с заказчиком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r>
          </w:p>
          <w:p w14:paraId="56B711DC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</w:tcPr>
          <w:p w14:paraId="68C78125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45127BB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</w:tcPr>
          <w:p w14:paraId="4CBD0AFF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</w:tcPr>
          <w:p w14:paraId="369DE85C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43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3" w:type="dxa"/>
            <w:vAlign w:val="center"/>
          </w:tcPr>
          <w:p>
            <w:pPr>
              <w:pStyle w:val="908"/>
              <w:pBdr/>
              <w:spacing/>
              <w:ind/>
              <w:jc w:val="right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</w:tcPr>
          <w:p w14:paraId="6E0F4E77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</w:tcPr>
          <w:p w14:paraId="14D43F6C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 w14:paraId="7C84EAFE"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908"/>
        <w:pBdr/>
        <w:spacing/>
        <w:ind/>
        <w:jc w:val="right"/>
        <w:rPr>
          <w:rFonts w:ascii="Times New Roman" w:hAnsi="Times New Roman" w:cs="Times New Roman"/>
          <w:i/>
          <w:iCs/>
          <w:sz w:val="22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  <w:r>
        <w:rPr>
          <w:rFonts w:ascii="Times New Roman" w:hAnsi="Times New Roman" w:cs="Times New Roman"/>
          <w:i/>
          <w:iCs/>
          <w:sz w:val="22"/>
          <w:szCs w:val="24"/>
        </w:rPr>
      </w:r>
    </w:p>
    <w:tbl>
      <w:tblPr>
        <w:tblInd w:w="-318" w:type="dxa"/>
        <w:tblW w:w="10488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02"/>
        <w:gridCol w:w="5386"/>
      </w:tblGrid>
      <w:tr>
        <w:trPr>
          <w:trHeight w:val="273"/>
        </w:trPr>
        <w:tc>
          <w:tcPr>
            <w:tcBorders/>
            <w:tcW w:w="5102" w:type="dxa"/>
          </w:tcPr>
          <w:p>
            <w:pPr>
              <w:pStyle w:val="908"/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</w:tc>
        <w:tc>
          <w:tcPr>
            <w:tcBorders/>
            <w:tcW w:w="5386" w:type="dxa"/>
          </w:tcPr>
          <w:p>
            <w:pPr>
              <w:pStyle w:val="908"/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  <w:p>
            <w:pPr>
              <w:pStyle w:val="908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</w:r>
          </w:p>
        </w:tc>
      </w:tr>
      <w:tr>
        <w:trPr/>
        <w:tc>
          <w:tcPr>
            <w:tcBorders/>
            <w:tcW w:w="5102" w:type="dxa"/>
          </w:tcPr>
          <w:p w14:paraId="1A0E1A7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386" w:type="dxa"/>
          </w:tcPr>
          <w:p w14:paraId="0F5EED38"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ФГБУН КНИИГиПК ФМБА России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3E55B5CE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D55D2B8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25-47-23, 54-53-37, 54-79-60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1D64799C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249F764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01966992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A1F9B0A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49A19F9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0321464300000001324</w:t>
            </w:r>
            <w:r>
              <w:rPr>
                <w:sz w:val="22"/>
                <w:szCs w:val="22"/>
              </w:rPr>
              <w:t xml:space="preserve">6 в ОКЦ № 1 ВВГУ Банка России//УФК по Нижегородской области 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8DE376C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кор/сч  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195685B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13AE410"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8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</w:tc>
      </w:tr>
    </w:tbl>
    <w:p>
      <w:pPr>
        <w:pStyle w:val="908"/>
        <w:pBdr/>
        <w:spacing w:line="312" w:lineRule="auto"/>
        <w:ind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p>
      <w:pPr>
        <w:pStyle w:val="908"/>
        <w:pBdr/>
        <w:spacing w:line="312" w:lineRule="auto"/>
        <w:ind w:right="150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eastAsia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  <w:r>
        <w:rPr>
          <w:rFonts w:ascii="Times New Roman" w:hAnsi="Times New Roman" w:cs="Times New Roman"/>
          <w:sz w:val="22"/>
          <w:szCs w:val="24"/>
        </w:rPr>
      </w:r>
    </w:p>
    <w:tbl>
      <w:tblPr>
        <w:tblInd w:w="-426" w:type="dxa"/>
        <w:tblW w:w="5212" w:type="pct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35"/>
        <w:gridCol w:w="5355"/>
      </w:tblGrid>
      <w:tr>
        <w:trPr/>
        <w:tc>
          <w:tcPr>
            <w:tcBorders/>
            <w:tcW w:w="5135" w:type="dxa"/>
          </w:tcPr>
          <w:p>
            <w:pPr>
              <w:pStyle w:val="908"/>
              <w:pBdr/>
              <w:spacing w:line="312" w:lineRule="auto"/>
              <w:ind w:right="15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  <w:p>
            <w:pPr>
              <w:pStyle w:val="908"/>
              <w:pBdr/>
              <w:spacing w:line="312" w:lineRule="auto"/>
              <w:ind w:right="15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  <w:p>
            <w:pPr>
              <w:pStyle w:val="908"/>
              <w:pBdr/>
              <w:spacing w:line="312" w:lineRule="auto"/>
              <w:ind w:right="15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</w:tc>
        <w:tc>
          <w:tcPr>
            <w:tcBorders/>
            <w:tcW w:w="5355" w:type="dxa"/>
          </w:tcPr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  <w:p>
            <w:pPr>
              <w:pStyle w:val="908"/>
              <w:pBdr/>
              <w:spacing w:line="312" w:lineRule="auto"/>
              <w:ind w:right="15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______________ И.В. Парамонов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</w:tc>
      </w:tr>
    </w:tbl>
    <w:p>
      <w:pPr>
        <w:pStyle w:val="908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851" w:right="850" w:bottom="1134" w:left="993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Helvetica">
    <w:panose1 w:val="020B06040202020202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imes New Roman CYR">
    <w:panose1 w:val="020206030504050203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true"/>
      <w:lvlJc w:val="left"/>
      <w:lvlText w:val="1.%1. "/>
      <w:numFmt w:val="decimal"/>
      <w:pPr>
        <w:pBdr/>
        <w:tabs>
          <w:tab w:val="num" w:leader="none" w:pos="0"/>
        </w:tabs>
        <w:spacing/>
        <w:ind w:hanging="283" w:left="-143"/>
      </w:pPr>
      <w:rPr>
        <w:rFonts w:ascii="Times New Roman CYR" w:hAnsi="Times New Roman CYR"/>
        <w:b w:val="0"/>
        <w:i w:val="0"/>
        <w:sz w:val="24"/>
      </w:rPr>
      <w:start w:val="2"/>
      <w:suff w:val="tab"/>
    </w:lvl>
    <w:lvl w:ilvl="1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tru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tru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tru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29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-13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-19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-62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-69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-11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-118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-1608"/>
      </w:pPr>
      <w:rPr/>
      <w:start w:val="1"/>
      <w:suff w:val="tab"/>
    </w:lvl>
  </w:abstractNum>
  <w:abstractNum w:abstractNumId="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1">
    <w:name w:val="Table Grid"/>
    <w:basedOn w:val="9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Table Grid Light"/>
    <w:basedOn w:val="9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1"/>
    <w:basedOn w:val="9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2"/>
    <w:basedOn w:val="9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1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2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3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4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5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6"/>
    <w:basedOn w:val="9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1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2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3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4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5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6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1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2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3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4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5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6"/>
    <w:basedOn w:val="9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1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2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3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4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5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6"/>
    <w:basedOn w:val="9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7" w:default="1">
    <w:name w:val="No List"/>
    <w:uiPriority w:val="99"/>
    <w:semiHidden/>
    <w:unhideWhenUsed/>
    <w:pPr>
      <w:pBdr/>
      <w:spacing/>
      <w:ind/>
    </w:pPr>
  </w:style>
  <w:style w:type="character" w:styleId="898">
    <w:name w:val="Intense Emphasis"/>
    <w:basedOn w:val="9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9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00">
    <w:name w:val="Subtle Emphasis"/>
    <w:basedOn w:val="9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918"/>
    <w:uiPriority w:val="20"/>
    <w:qFormat/>
    <w:pPr>
      <w:pBdr/>
      <w:spacing/>
      <w:ind/>
    </w:pPr>
    <w:rPr>
      <w:i/>
      <w:iCs/>
    </w:rPr>
  </w:style>
  <w:style w:type="character" w:styleId="902">
    <w:name w:val="Strong"/>
    <w:basedOn w:val="918"/>
    <w:uiPriority w:val="22"/>
    <w:qFormat/>
    <w:pPr>
      <w:pBdr/>
      <w:spacing/>
      <w:ind/>
    </w:pPr>
    <w:rPr>
      <w:b/>
      <w:bCs/>
    </w:rPr>
  </w:style>
  <w:style w:type="character" w:styleId="903">
    <w:name w:val="Subtle Reference"/>
    <w:basedOn w:val="9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4">
    <w:name w:val="Book Title"/>
    <w:basedOn w:val="9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5">
    <w:name w:val="Hyperlink"/>
    <w:basedOn w:val="91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6">
    <w:name w:val="FollowedHyperlink"/>
    <w:basedOn w:val="9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07">
    <w:name w:val="Placeholder Text"/>
    <w:basedOn w:val="918"/>
    <w:uiPriority w:val="99"/>
    <w:semiHidden/>
    <w:pPr>
      <w:pBdr/>
      <w:spacing/>
      <w:ind/>
    </w:pPr>
    <w:rPr>
      <w:color w:val="666666"/>
    </w:rPr>
  </w:style>
  <w:style w:type="paragraph" w:styleId="908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 CYR" w:hAnsi="Times New Roman CYR" w:eastAsia="NSimSun" w:cs="Arial"/>
      <w:color w:val="auto"/>
      <w:sz w:val="20"/>
      <w:szCs w:val="20"/>
      <w:lang w:val="ru-RU" w:eastAsia="ru-RU" w:bidi="ar-SA"/>
    </w:rPr>
  </w:style>
  <w:style w:type="paragraph" w:styleId="909">
    <w:name w:val="Heading 1"/>
    <w:basedOn w:val="949"/>
    <w:uiPriority w:val="9"/>
    <w:qFormat/>
    <w:pPr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910">
    <w:name w:val="Heading 2"/>
    <w:basedOn w:val="949"/>
    <w:uiPriority w:val="9"/>
    <w:unhideWhenUsed/>
    <w:qFormat/>
    <w:pPr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911">
    <w:name w:val="Heading 3"/>
    <w:basedOn w:val="949"/>
    <w:uiPriority w:val="9"/>
    <w:unhideWhenUsed/>
    <w:qFormat/>
    <w:pPr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912">
    <w:name w:val="Heading 4"/>
    <w:basedOn w:val="949"/>
    <w:uiPriority w:val="9"/>
    <w:unhideWhenUsed/>
    <w:qFormat/>
    <w:pPr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913">
    <w:name w:val="Heading 5"/>
    <w:basedOn w:val="949"/>
    <w:uiPriority w:val="9"/>
    <w:unhideWhenUsed/>
    <w:qFormat/>
    <w:pPr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914">
    <w:name w:val="Heading 6"/>
    <w:basedOn w:val="949"/>
    <w:uiPriority w:val="9"/>
    <w:unhideWhenUsed/>
    <w:qFormat/>
    <w:pPr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915">
    <w:name w:val="Heading 7"/>
    <w:basedOn w:val="949"/>
    <w:uiPriority w:val="9"/>
    <w:unhideWhenUsed/>
    <w:qFormat/>
    <w:pPr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916">
    <w:name w:val="Heading 8"/>
    <w:basedOn w:val="949"/>
    <w:uiPriority w:val="9"/>
    <w:unhideWhenUsed/>
    <w:qFormat/>
    <w:pPr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917">
    <w:name w:val="Heading 9"/>
    <w:basedOn w:val="949"/>
    <w:uiPriority w:val="9"/>
    <w:unhideWhenUsed/>
    <w:qFormat/>
    <w:pPr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918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19" w:customStyle="1">
    <w:name w:val="Heading 1 Char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0" w:customStyle="1">
    <w:name w:val="Heading 2 Char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1" w:customStyle="1">
    <w:name w:val="Heading 3 Char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2" w:customStyle="1">
    <w:name w:val="Heading 4 Char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3" w:customStyle="1">
    <w:name w:val="Heading 5 Char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4" w:customStyle="1">
    <w:name w:val="Heading 6 Char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25" w:customStyle="1">
    <w:name w:val="Heading 7 Char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26" w:customStyle="1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27" w:customStyle="1">
    <w:name w:val="Heading 9 Char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28" w:customStyle="1">
    <w:name w:val="Title Char"/>
    <w:uiPriority w:val="10"/>
    <w:qFormat/>
    <w:pPr>
      <w:pBdr/>
      <w:spacing/>
      <w:ind/>
    </w:pPr>
    <w:rPr>
      <w:sz w:val="48"/>
      <w:szCs w:val="48"/>
    </w:rPr>
  </w:style>
  <w:style w:type="character" w:styleId="929" w:customStyle="1">
    <w:name w:val="Subtitle Char"/>
    <w:uiPriority w:val="11"/>
    <w:qFormat/>
    <w:pPr>
      <w:pBdr/>
      <w:spacing/>
      <w:ind/>
    </w:pPr>
    <w:rPr>
      <w:sz w:val="24"/>
      <w:szCs w:val="24"/>
    </w:rPr>
  </w:style>
  <w:style w:type="character" w:styleId="930" w:customStyle="1">
    <w:name w:val="Quote Char"/>
    <w:uiPriority w:val="29"/>
    <w:qFormat/>
    <w:pPr>
      <w:pBdr/>
      <w:spacing/>
      <w:ind/>
    </w:pPr>
    <w:rPr>
      <w:i/>
    </w:rPr>
  </w:style>
  <w:style w:type="character" w:styleId="931" w:customStyle="1">
    <w:name w:val="Intense Quote Char"/>
    <w:uiPriority w:val="30"/>
    <w:qFormat/>
    <w:pPr>
      <w:pBdr/>
      <w:spacing/>
      <w:ind/>
    </w:pPr>
    <w:rPr>
      <w:i/>
    </w:rPr>
  </w:style>
  <w:style w:type="character" w:styleId="932" w:customStyle="1">
    <w:name w:val="Header Char"/>
    <w:uiPriority w:val="99"/>
    <w:qFormat/>
    <w:pPr>
      <w:pBdr/>
      <w:spacing/>
      <w:ind/>
    </w:pPr>
  </w:style>
  <w:style w:type="character" w:styleId="933" w:customStyle="1">
    <w:name w:val="Footer Char"/>
    <w:uiPriority w:val="99"/>
    <w:qFormat/>
    <w:pPr>
      <w:pBdr/>
      <w:spacing/>
      <w:ind/>
    </w:pPr>
  </w:style>
  <w:style w:type="character" w:styleId="934" w:customStyle="1">
    <w:name w:val="Caption Char"/>
    <w:uiPriority w:val="99"/>
    <w:qFormat/>
    <w:pPr>
      <w:pBdr/>
      <w:spacing/>
      <w:ind/>
    </w:pPr>
  </w:style>
  <w:style w:type="character" w:styleId="935" w:customStyle="1">
    <w:name w:val="Internet Link"/>
    <w:uiPriority w:val="99"/>
    <w:unhideWhenUsed/>
    <w:qFormat/>
    <w:pPr>
      <w:pBdr/>
      <w:spacing/>
      <w:ind/>
    </w:pPr>
    <w:rPr>
      <w:color w:val="0000ff" w:themeColor="hyperlink"/>
      <w:u w:val="single"/>
    </w:rPr>
  </w:style>
  <w:style w:type="character" w:styleId="936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937">
    <w:name w:val="footnote reference"/>
    <w:pPr>
      <w:pBdr/>
      <w:spacing/>
      <w:ind/>
    </w:pPr>
    <w:rPr>
      <w:vertAlign w:val="superscript"/>
    </w:rPr>
  </w:style>
  <w:style w:type="character" w:styleId="938">
    <w:name w:val="Footnote Characters"/>
    <w:qFormat/>
    <w:pPr>
      <w:pBdr/>
      <w:spacing/>
      <w:ind/>
    </w:pPr>
    <w:rPr>
      <w:vertAlign w:val="superscript"/>
    </w:rPr>
  </w:style>
  <w:style w:type="character" w:styleId="939" w:customStyle="1">
    <w:name w:val="Footnote Characters1"/>
    <w:uiPriority w:val="99"/>
    <w:unhideWhenUsed/>
    <w:qFormat/>
    <w:pPr>
      <w:pBdr/>
      <w:spacing/>
      <w:ind/>
    </w:pPr>
    <w:rPr>
      <w:vertAlign w:val="superscript"/>
    </w:rPr>
  </w:style>
  <w:style w:type="character" w:styleId="940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941">
    <w:name w:val="endnote reference"/>
    <w:pPr>
      <w:pBdr/>
      <w:spacing/>
      <w:ind/>
    </w:pPr>
    <w:rPr>
      <w:vertAlign w:val="superscript"/>
    </w:rPr>
  </w:style>
  <w:style w:type="character" w:styleId="942">
    <w:name w:val="Endnote Characters"/>
    <w:qFormat/>
    <w:pPr>
      <w:pBdr/>
      <w:spacing/>
      <w:ind/>
    </w:pPr>
    <w:rPr>
      <w:vertAlign w:val="superscript"/>
    </w:rPr>
  </w:style>
  <w:style w:type="character" w:styleId="943" w:customStyle="1">
    <w:name w:val="Endnote Characters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выноски Знак"/>
    <w:qFormat/>
    <w:pPr>
      <w:pBdr/>
      <w:spacing/>
      <w:ind/>
    </w:pPr>
    <w:rPr>
      <w:rFonts w:ascii="Segoe UI" w:hAnsi="Segoe UI"/>
      <w:sz w:val="18"/>
      <w:szCs w:val="18"/>
    </w:rPr>
  </w:style>
  <w:style w:type="character" w:styleId="945" w:customStyle="1">
    <w:name w:val="js-phone-number"/>
    <w:qFormat/>
    <w:pPr>
      <w:pBdr/>
      <w:spacing/>
      <w:ind/>
    </w:pPr>
  </w:style>
  <w:style w:type="character" w:styleId="946" w:customStyle="1">
    <w:name w:val="Верхний колонтитул Знак"/>
    <w:qFormat/>
    <w:pPr>
      <w:pBdr/>
      <w:spacing/>
      <w:ind/>
    </w:pPr>
    <w:rPr>
      <w:rFonts w:ascii="Times New Roman CYR" w:hAnsi="Times New Roman CYR"/>
    </w:rPr>
  </w:style>
  <w:style w:type="character" w:styleId="947" w:customStyle="1">
    <w:name w:val="Нижний колонтитул Знак"/>
    <w:qFormat/>
    <w:pPr>
      <w:pBdr/>
      <w:spacing/>
      <w:ind/>
    </w:pPr>
    <w:rPr>
      <w:rFonts w:ascii="Times New Roman CYR" w:hAnsi="Times New Roman CYR"/>
    </w:rPr>
  </w:style>
  <w:style w:type="character" w:styleId="948" w:customStyle="1">
    <w:name w:val="Основной текст_"/>
    <w:qFormat/>
    <w:pPr>
      <w:pBdr/>
      <w:spacing/>
      <w:ind/>
    </w:pPr>
    <w:rPr>
      <w:rFonts w:ascii="Arial" w:hAnsi="Arial" w:eastAsia="Arial"/>
      <w:sz w:val="21"/>
      <w:szCs w:val="21"/>
      <w:shd w:val="clear" w:color="auto" w:fill="ffffff"/>
    </w:rPr>
  </w:style>
  <w:style w:type="paragraph" w:styleId="949" w:customStyle="1">
    <w:name w:val="Заголовок"/>
    <w:basedOn w:val="908"/>
    <w:next w:val="950"/>
    <w:qFormat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950">
    <w:name w:val="Body Text"/>
    <w:basedOn w:val="908"/>
    <w:pPr>
      <w:pBdr/>
      <w:spacing w:after="120" w:before="0"/>
      <w:ind/>
    </w:pPr>
  </w:style>
  <w:style w:type="paragraph" w:styleId="951">
    <w:name w:val="List"/>
    <w:basedOn w:val="950"/>
    <w:pPr>
      <w:pBdr/>
      <w:spacing/>
      <w:ind/>
    </w:pPr>
  </w:style>
  <w:style w:type="paragraph" w:styleId="952">
    <w:name w:val="Caption"/>
    <w:basedOn w:val="90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paragraph" w:styleId="953">
    <w:name w:val="Указатель"/>
    <w:basedOn w:val="908"/>
    <w:qFormat/>
    <w:pPr>
      <w:suppressLineNumbers w:val="true"/>
      <w:pBdr/>
      <w:spacing/>
      <w:ind/>
    </w:pPr>
    <w:rPr>
      <w:rFonts w:cs="Arial"/>
    </w:rPr>
  </w:style>
  <w:style w:type="paragraph" w:styleId="954">
    <w:name w:val="Index Heading"/>
    <w:basedOn w:val="949"/>
    <w:pPr>
      <w:pBdr/>
      <w:spacing/>
      <w:ind/>
    </w:pPr>
  </w:style>
  <w:style w:type="paragraph" w:styleId="955">
    <w:name w:val="List Paragraph"/>
    <w:uiPriority w:val="34"/>
    <w:qFormat/>
    <w:pPr>
      <w:widowControl w:val="true"/>
      <w:pBdr/>
      <w:bidi w:val="false"/>
      <w:spacing w:after="0" w:before="0"/>
      <w:ind w:left="720"/>
      <w:contextualSpacing w:val="true"/>
      <w:jc w:val="left"/>
    </w:pPr>
    <w:rPr>
      <w:rFonts w:ascii="Times New Roman" w:hAnsi="Times New Roman" w:eastAsia="NSimSun" w:cs="Arial"/>
      <w:color w:val="auto"/>
      <w:sz w:val="20"/>
      <w:szCs w:val="20"/>
      <w:lang w:val="ru-RU" w:eastAsia="zh-CN" w:bidi="ar-SA"/>
    </w:rPr>
  </w:style>
  <w:style w:type="paragraph" w:styleId="956">
    <w:name w:val="No Spacing"/>
    <w:uiPriority w:val="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ru-RU" w:eastAsia="zh-CN" w:bidi="ar-SA"/>
    </w:rPr>
  </w:style>
  <w:style w:type="paragraph" w:styleId="957">
    <w:name w:val="Title"/>
    <w:basedOn w:val="94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958">
    <w:name w:val="Subtitle"/>
    <w:basedOn w:val="949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959">
    <w:name w:val="Quote"/>
    <w:uiPriority w:val="29"/>
    <w:qFormat/>
    <w:pPr>
      <w:widowControl w:val="true"/>
      <w:pBdr/>
      <w:bidi w:val="false"/>
      <w:spacing w:after="0" w:before="0"/>
      <w:ind w:right="720" w:left="720"/>
      <w:jc w:val="left"/>
    </w:pPr>
    <w:rPr>
      <w:rFonts w:ascii="Times New Roman" w:hAnsi="Times New Roman" w:eastAsia="NSimSun" w:cs="Arial"/>
      <w:i/>
      <w:color w:val="auto"/>
      <w:sz w:val="20"/>
      <w:szCs w:val="20"/>
      <w:lang w:val="ru-RU" w:eastAsia="zh-CN" w:bidi="ar-SA"/>
    </w:rPr>
  </w:style>
  <w:style w:type="paragraph" w:styleId="960">
    <w:name w:val="Intense Quote"/>
    <w:uiPriority w:val="30"/>
    <w:qFormat/>
    <w:pPr>
      <w:widowControl w:val="true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bidi w:val="false"/>
      <w:spacing w:after="0" w:before="0"/>
      <w:ind w:right="720" w:left="720"/>
      <w:jc w:val="left"/>
    </w:pPr>
    <w:rPr>
      <w:rFonts w:ascii="Times New Roman" w:hAnsi="Times New Roman" w:eastAsia="NSimSun" w:cs="Arial"/>
      <w:i/>
      <w:color w:val="auto"/>
      <w:sz w:val="20"/>
      <w:szCs w:val="20"/>
      <w:lang w:val="ru-RU" w:eastAsia="zh-CN" w:bidi="ar-SA"/>
    </w:rPr>
  </w:style>
  <w:style w:type="paragraph" w:styleId="961" w:customStyle="1">
    <w:name w:val="Header and Footer"/>
    <w:basedOn w:val="908"/>
    <w:qFormat/>
    <w:pPr>
      <w:pBdr/>
      <w:spacing/>
      <w:ind/>
    </w:pPr>
  </w:style>
  <w:style w:type="paragraph" w:styleId="962">
    <w:name w:val="Header"/>
    <w:basedOn w:val="908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63">
    <w:name w:val="Footer"/>
    <w:basedOn w:val="908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64">
    <w:name w:val="footnote text"/>
    <w:basedOn w:val="908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65">
    <w:name w:val="endnote text"/>
    <w:basedOn w:val="908"/>
    <w:uiPriority w:val="99"/>
    <w:semiHidden/>
    <w:unhideWhenUsed/>
    <w:pPr>
      <w:pBdr/>
      <w:spacing/>
      <w:ind/>
    </w:pPr>
  </w:style>
  <w:style w:type="paragraph" w:styleId="966">
    <w:name w:val="toc 1"/>
    <w:basedOn w:val="954"/>
    <w:uiPriority w:val="39"/>
    <w:unhideWhenUsed/>
    <w:pPr>
      <w:pBdr/>
      <w:spacing w:after="57" w:before="0"/>
      <w:ind/>
    </w:pPr>
  </w:style>
  <w:style w:type="paragraph" w:styleId="967">
    <w:name w:val="toc 2"/>
    <w:basedOn w:val="954"/>
    <w:uiPriority w:val="39"/>
    <w:unhideWhenUsed/>
    <w:pPr>
      <w:pBdr/>
      <w:spacing w:after="57" w:before="0"/>
      <w:ind w:left="283"/>
    </w:pPr>
  </w:style>
  <w:style w:type="paragraph" w:styleId="968">
    <w:name w:val="toc 3"/>
    <w:basedOn w:val="954"/>
    <w:uiPriority w:val="39"/>
    <w:unhideWhenUsed/>
    <w:pPr>
      <w:pBdr/>
      <w:spacing w:after="57" w:before="0"/>
      <w:ind w:left="567"/>
    </w:pPr>
  </w:style>
  <w:style w:type="paragraph" w:styleId="969">
    <w:name w:val="toc 4"/>
    <w:basedOn w:val="954"/>
    <w:uiPriority w:val="39"/>
    <w:unhideWhenUsed/>
    <w:pPr>
      <w:pBdr/>
      <w:spacing w:after="57" w:before="0"/>
      <w:ind w:left="850"/>
    </w:pPr>
  </w:style>
  <w:style w:type="paragraph" w:styleId="970">
    <w:name w:val="toc 5"/>
    <w:basedOn w:val="954"/>
    <w:uiPriority w:val="39"/>
    <w:unhideWhenUsed/>
    <w:pPr>
      <w:pBdr/>
      <w:spacing w:after="57" w:before="0"/>
      <w:ind w:left="1134"/>
    </w:pPr>
  </w:style>
  <w:style w:type="paragraph" w:styleId="971">
    <w:name w:val="toc 6"/>
    <w:basedOn w:val="954"/>
    <w:uiPriority w:val="39"/>
    <w:unhideWhenUsed/>
    <w:pPr>
      <w:pBdr/>
      <w:spacing w:after="57" w:before="0"/>
      <w:ind w:left="1417"/>
    </w:pPr>
  </w:style>
  <w:style w:type="paragraph" w:styleId="972">
    <w:name w:val="toc 7"/>
    <w:basedOn w:val="954"/>
    <w:uiPriority w:val="39"/>
    <w:unhideWhenUsed/>
    <w:pPr>
      <w:pBdr/>
      <w:spacing w:after="57" w:before="0"/>
      <w:ind w:left="1701"/>
    </w:pPr>
  </w:style>
  <w:style w:type="paragraph" w:styleId="973">
    <w:name w:val="toc 8"/>
    <w:basedOn w:val="954"/>
    <w:uiPriority w:val="39"/>
    <w:unhideWhenUsed/>
    <w:pPr>
      <w:pBdr/>
      <w:spacing w:after="57" w:before="0"/>
      <w:ind w:left="1984"/>
    </w:pPr>
  </w:style>
  <w:style w:type="paragraph" w:styleId="974">
    <w:name w:val="toc 9"/>
    <w:basedOn w:val="954"/>
    <w:uiPriority w:val="39"/>
    <w:unhideWhenUsed/>
    <w:pPr>
      <w:pBdr/>
      <w:spacing w:after="57" w:before="0"/>
      <w:ind w:left="2268"/>
    </w:pPr>
  </w:style>
  <w:style w:type="paragraph" w:styleId="97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ru-RU" w:eastAsia="zh-CN" w:bidi="ar-SA"/>
    </w:rPr>
  </w:style>
  <w:style w:type="paragraph" w:styleId="976">
    <w:name w:val="table of figures"/>
    <w:basedOn w:val="954"/>
    <w:uiPriority w:val="99"/>
    <w:unhideWhenUsed/>
    <w:pPr>
      <w:pBdr/>
      <w:spacing w:after="0" w:before="0"/>
      <w:ind/>
    </w:pPr>
  </w:style>
  <w:style w:type="paragraph" w:styleId="977">
    <w:name w:val="Body Text, Indented"/>
    <w:basedOn w:val="908"/>
    <w:qFormat/>
    <w:pPr>
      <w:pBdr/>
      <w:spacing/>
      <w:ind w:firstLine="720"/>
      <w:jc w:val="both"/>
    </w:pPr>
    <w:rPr>
      <w:rFonts w:ascii="Times New Roman" w:hAnsi="Times New Roman"/>
    </w:rPr>
  </w:style>
  <w:style w:type="paragraph" w:styleId="978">
    <w:name w:val="Body Text Indent 2"/>
    <w:basedOn w:val="908"/>
    <w:qFormat/>
    <w:pPr>
      <w:pBdr/>
      <w:spacing w:after="120" w:before="0"/>
      <w:ind w:hanging="720" w:left="720"/>
      <w:jc w:val="both"/>
    </w:pPr>
    <w:rPr>
      <w:rFonts w:ascii="Helvetica" w:hAnsi="Helvetica"/>
      <w:sz w:val="22"/>
    </w:rPr>
  </w:style>
  <w:style w:type="paragraph" w:styleId="979">
    <w:name w:val="Message Header"/>
    <w:basedOn w:val="950"/>
    <w:qFormat/>
    <w:pPr>
      <w:keepLines w:val="true"/>
      <w:pBdr>
        <w:bottom w:val="single" w:color="000000" w:sz="6" w:space="2"/>
      </w:pBdr>
      <w:tabs>
        <w:tab w:val="clear" w:leader="none" w:pos="708"/>
        <w:tab w:val="left" w:leader="none" w:pos="993"/>
        <w:tab w:val="left" w:leader="none" w:pos="4320"/>
        <w:tab w:val="left" w:leader="none" w:pos="5245"/>
        <w:tab w:val="right" w:leader="none" w:pos="8640"/>
      </w:tabs>
      <w:spacing w:after="0" w:before="0" w:line="440" w:lineRule="atLeast"/>
      <w:ind w:hanging="993" w:left="993"/>
    </w:pPr>
    <w:rPr>
      <w:rFonts w:ascii="Arial" w:hAnsi="Arial"/>
      <w:spacing w:val="-5"/>
    </w:rPr>
  </w:style>
  <w:style w:type="paragraph" w:styleId="980">
    <w:name w:val="Balloon Text"/>
    <w:basedOn w:val="908"/>
    <w:qFormat/>
    <w:pPr>
      <w:pBdr/>
      <w:spacing/>
      <w:ind/>
    </w:pPr>
    <w:rPr>
      <w:rFonts w:ascii="Segoe UI" w:hAnsi="Segoe UI"/>
      <w:sz w:val="18"/>
      <w:szCs w:val="18"/>
    </w:rPr>
  </w:style>
  <w:style w:type="paragraph" w:styleId="981" w:customStyle="1">
    <w:name w:val="msonormal_mailru_css_attribute_postfix"/>
    <w:basedOn w:val="908"/>
    <w:qFormat/>
    <w:pPr>
      <w:pBdr/>
      <w:spacing w:afterAutospacing="1" w:beforeAutospacing="1"/>
      <w:ind/>
    </w:pPr>
    <w:rPr>
      <w:rFonts w:ascii="Times New Roman" w:hAnsi="Times New Roman"/>
      <w:sz w:val="24"/>
      <w:szCs w:val="24"/>
    </w:rPr>
  </w:style>
  <w:style w:type="paragraph" w:styleId="982" w:customStyle="1">
    <w:name w:val="Обычный (Интернет)"/>
    <w:basedOn w:val="908"/>
    <w:qFormat/>
    <w:pPr>
      <w:pBdr/>
      <w:spacing/>
      <w:ind/>
    </w:pPr>
    <w:rPr>
      <w:rFonts w:ascii="Times New Roman" w:hAnsi="Times New Roman"/>
      <w:sz w:val="24"/>
      <w:szCs w:val="24"/>
    </w:rPr>
  </w:style>
  <w:style w:type="paragraph" w:styleId="983" w:customStyle="1">
    <w:name w:val="Основной текст4"/>
    <w:basedOn w:val="908"/>
    <w:qFormat/>
    <w:pPr>
      <w:pBdr/>
      <w:shd w:val="clear" w:color="auto" w:fill="ffffff"/>
      <w:spacing w:after="300" w:before="180" w:line="0" w:lineRule="atLeast"/>
      <w:ind w:hanging="360"/>
    </w:pPr>
    <w:rPr>
      <w:rFonts w:ascii="Arial" w:hAnsi="Arial" w:eastAsia="Arial"/>
      <w:sz w:val="21"/>
      <w:szCs w:val="21"/>
    </w:rPr>
  </w:style>
  <w:style w:type="numbering" w:styleId="984" w:customStyle="1">
    <w:name w:val="Без списка"/>
    <w:uiPriority w:val="99"/>
    <w:semiHidden/>
    <w:unhideWhenUsed/>
    <w:qFormat/>
    <w:pPr>
      <w:pBdr/>
      <w:spacing/>
      <w:ind/>
    </w:pPr>
  </w:style>
  <w:style w:type="table" w:styleId="985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6</cp:revision>
  <dcterms:created xsi:type="dcterms:W3CDTF">2026-02-18T10:24:00Z</dcterms:created>
  <dcterms:modified xsi:type="dcterms:W3CDTF">2026-07-29T12:02:46Z</dcterms:modified>
</cp:coreProperties>
</file>