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Техническое задание</w:t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</w:r>
    </w:p>
    <w:p>
      <w:pPr>
        <w:pStyle w:val="Standard"/>
        <w:tabs>
          <w:tab w:val="clear" w:pos="720"/>
          <w:tab w:val="left" w:pos="9921" w:leader="none"/>
        </w:tabs>
        <w:spacing w:lineRule="auto" w:line="252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b/>
          <w:sz w:val="21"/>
          <w:szCs w:val="21"/>
        </w:rPr>
        <w:t xml:space="preserve">1. </w:t>
      </w:r>
      <w:r>
        <w:rPr>
          <w:rFonts w:cs="Times New Roman" w:ascii="Times New Roman" w:hAnsi="Times New Roman"/>
          <w:bCs/>
          <w:sz w:val="21"/>
          <w:szCs w:val="21"/>
        </w:rPr>
        <w:t>Наименование объекта закупки:</w:t>
      </w:r>
      <w:r>
        <w:rPr>
          <w:rFonts w:cs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auto"/>
          <w:sz w:val="21"/>
          <w:szCs w:val="21"/>
          <w:u w:val="single"/>
          <w:lang w:eastAsia="ru-RU" w:bidi="ar-SA"/>
        </w:rPr>
        <w:t>Поставка автомобильный бензин АИ-92</w:t>
      </w:r>
      <w:r>
        <w:rPr>
          <w:rFonts w:eastAsia="Times New Roman" w:cs="Times New Roman" w:ascii="Times New Roman" w:hAnsi="Times New Roman"/>
          <w:bCs/>
          <w:i/>
          <w:iCs/>
          <w:color w:val="auto"/>
          <w:sz w:val="21"/>
          <w:szCs w:val="21"/>
          <w:u w:val="single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i/>
          <w:iCs/>
          <w:color w:val="auto"/>
          <w:sz w:val="21"/>
          <w:szCs w:val="21"/>
          <w:lang w:eastAsia="ru-RU" w:bidi="ar-SA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(далее — Товар).</w:t>
      </w:r>
    </w:p>
    <w:p>
      <w:pPr>
        <w:pStyle w:val="Normal"/>
        <w:keepNext w:val="true"/>
        <w:keepLines/>
        <w:tabs>
          <w:tab w:val="clear" w:pos="720"/>
          <w:tab w:val="left" w:pos="851" w:leader="none"/>
          <w:tab w:val="left" w:pos="1021" w:leader="none"/>
        </w:tabs>
        <w:spacing w:before="0" w:after="0"/>
        <w:ind w:firstLine="709"/>
        <w:jc w:val="both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2. </w:t>
      </w:r>
      <w:r>
        <w:rPr>
          <w:bCs/>
          <w:color w:val="000000"/>
          <w:sz w:val="21"/>
          <w:szCs w:val="21"/>
        </w:rPr>
        <w:t>Требования к Товару:</w:t>
      </w:r>
      <w:r>
        <w:rPr>
          <w:b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Указанный </w:t>
      </w:r>
      <w:bookmarkStart w:id="0" w:name="_Hlk191452995"/>
      <w:r>
        <w:rPr>
          <w:color w:val="000000"/>
          <w:sz w:val="21"/>
          <w:szCs w:val="21"/>
        </w:rPr>
        <w:t>Товар</w:t>
      </w:r>
      <w:r>
        <w:rPr>
          <w:sz w:val="21"/>
          <w:szCs w:val="21"/>
        </w:rPr>
        <w:t xml:space="preserve"> </w:t>
      </w:r>
      <w:bookmarkEnd w:id="0"/>
      <w:r>
        <w:rPr>
          <w:color w:val="000000"/>
          <w:sz w:val="21"/>
          <w:szCs w:val="21"/>
        </w:rPr>
        <w:t>будет вывозиться силами Заказчика по месту нахождения Исполнителя, г.Медвежьегорск,ул.Повенецкая,д.1,РОСНЕФТЬ</w:t>
      </w:r>
    </w:p>
    <w:p>
      <w:pPr>
        <w:pStyle w:val="Normal"/>
        <w:keepNext w:val="true"/>
        <w:keepLines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Порядок погрузки-разгрузки и транспортировки должны исключать возможность механических повреждений поставляемого Товара. 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 xml:space="preserve">3. </w:t>
      </w:r>
      <w:r>
        <w:rPr>
          <w:rFonts w:cs="Times New Roman" w:ascii="Times New Roman" w:hAnsi="Times New Roman"/>
          <w:sz w:val="21"/>
          <w:szCs w:val="21"/>
        </w:rPr>
        <w:t>Функциональные, технические и качественные характеристики, эксплуатационные характеристики объекта закупки:</w:t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Standard"/>
        <w:tabs>
          <w:tab w:val="clear" w:pos="720"/>
          <w:tab w:val="left" w:pos="9921" w:leader="none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tbl>
      <w:tblPr>
        <w:tblStyle w:val="8"/>
        <w:tblW w:w="10491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7"/>
        <w:gridCol w:w="1413"/>
        <w:gridCol w:w="2274"/>
        <w:gridCol w:w="4646"/>
        <w:gridCol w:w="1421"/>
      </w:tblGrid>
      <w:tr>
        <w:trPr>
          <w:trHeight w:val="664" w:hRule="atLeast"/>
        </w:trPr>
        <w:tc>
          <w:tcPr>
            <w:tcW w:w="737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 xml:space="preserve">№ </w:t>
            </w:r>
            <w:r>
              <w:rPr>
                <w:kern w:val="0"/>
                <w:sz w:val="22"/>
                <w:lang w:val="ru-RU" w:bidi="ar-SA"/>
              </w:rPr>
              <w:t>позиции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ОКПД-2</w:t>
            </w:r>
          </w:p>
        </w:tc>
        <w:tc>
          <w:tcPr>
            <w:tcW w:w="2274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Наименование товара</w:t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Наименование характеристики, единица измерения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Значение</w:t>
            </w:r>
          </w:p>
        </w:tc>
      </w:tr>
      <w:tr>
        <w:trPr>
          <w:trHeight w:val="834" w:hRule="atLeast"/>
        </w:trPr>
        <w:tc>
          <w:tcPr>
            <w:tcW w:w="7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1</w:t>
            </w:r>
          </w:p>
        </w:tc>
        <w:tc>
          <w:tcPr>
            <w:tcW w:w="1413" w:type="dxa"/>
            <w:vMerge w:val="restart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19.20.21.125</w:t>
            </w:r>
          </w:p>
        </w:tc>
        <w:tc>
          <w:tcPr>
            <w:tcW w:w="2274" w:type="dxa"/>
            <w:vMerge w:val="restart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b/>
                <w:kern w:val="0"/>
                <w:sz w:val="22"/>
                <w:lang w:val="ru-RU" w:bidi="ar-SA"/>
              </w:rPr>
              <w:t>Автомобильный бензин АИ-92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b/>
                <w:kern w:val="0"/>
                <w:sz w:val="22"/>
                <w:lang w:val="ru-RU" w:bidi="ar-SA"/>
              </w:rPr>
              <w:t>(Регуляр 92)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ГОСТ Р 51105-97</w:t>
              <w:br/>
              <w:t>"Топлива для двигателей внутреннего сгорания. Неэтилированный бензин. Технические условия" (с изм. 1-6)</w:t>
              <w:br/>
              <w:t>Экологический класса топлива К5</w:t>
            </w:r>
            <w:bookmarkStart w:id="1" w:name="_GoBack"/>
            <w:bookmarkEnd w:id="1"/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Октановое число, не менее: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-по моторному методу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-по исследовательскому методу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83,0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92,0</w:t>
            </w:r>
          </w:p>
        </w:tc>
      </w:tr>
      <w:tr>
        <w:trPr>
          <w:trHeight w:val="381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vertAlign w:val="superscript"/>
              </w:rPr>
            </w:pPr>
            <w:r>
              <w:rPr>
                <w:kern w:val="0"/>
                <w:sz w:val="22"/>
                <w:lang w:val="ru-RU" w:bidi="ar-SA"/>
              </w:rPr>
              <w:t>Концентрация свинца, не более,  мг/дм</w:t>
            </w:r>
            <w:r>
              <w:rPr>
                <w:kern w:val="0"/>
                <w:sz w:val="22"/>
                <w:vertAlign w:val="superscript"/>
                <w:lang w:val="ru-RU" w:bidi="ar-SA"/>
              </w:rPr>
              <w:t>3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Отсутствие</w:t>
            </w:r>
          </w:p>
        </w:tc>
      </w:tr>
      <w:tr>
        <w:trPr>
          <w:trHeight w:val="189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Концентрация марганца, не более,  мг/дм</w:t>
            </w:r>
            <w:r>
              <w:rPr>
                <w:kern w:val="0"/>
                <w:sz w:val="22"/>
                <w:vertAlign w:val="superscript"/>
                <w:lang w:val="ru-RU" w:bidi="ar-SA"/>
              </w:rPr>
              <w:t>3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Отсутствие</w:t>
            </w:r>
          </w:p>
        </w:tc>
      </w:tr>
      <w:tr>
        <w:trPr>
          <w:trHeight w:val="592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 xml:space="preserve">Концентрация фактических смол, мг на 100 </w:t>
            </w:r>
            <w:r>
              <w:rPr/>
              <w:drawing>
                <wp:inline distT="0" distB="0" distL="0" distR="0">
                  <wp:extent cx="313055" cy="28003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lang w:val="ru-RU" w:bidi="ar-SA"/>
              </w:rPr>
              <w:t xml:space="preserve"> бензина, не более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5,0</w:t>
            </w:r>
          </w:p>
        </w:tc>
      </w:tr>
      <w:tr>
        <w:trPr>
          <w:trHeight w:val="351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Индукционный период бензина, мин, не менее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360</w:t>
            </w:r>
          </w:p>
        </w:tc>
      </w:tr>
      <w:tr>
        <w:trPr>
          <w:trHeight w:val="191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Концентрация серы, мг/кг, не более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10,0</w:t>
            </w:r>
          </w:p>
        </w:tc>
      </w:tr>
      <w:tr>
        <w:trPr>
          <w:trHeight w:val="169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Объемная доля бензола, %, не более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1,0</w:t>
            </w:r>
          </w:p>
        </w:tc>
      </w:tr>
      <w:tr>
        <w:trPr>
          <w:trHeight w:val="275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Массовая доля кислорода, %, не более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2,7</w:t>
            </w:r>
          </w:p>
        </w:tc>
      </w:tr>
      <w:tr>
        <w:trPr>
          <w:trHeight w:val="225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Испытание на медной пластине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Класс 1</w:t>
            </w:r>
          </w:p>
        </w:tc>
      </w:tr>
      <w:tr>
        <w:trPr>
          <w:trHeight w:val="330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Внешний вид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Чистый, прозрачный</w:t>
            </w:r>
          </w:p>
        </w:tc>
      </w:tr>
      <w:tr>
        <w:trPr/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Концентрация железа, не более,</w:t>
            </w:r>
            <w:r>
              <w:rPr/>
              <w:drawing>
                <wp:inline distT="0" distB="0" distL="0" distR="0">
                  <wp:extent cx="485775" cy="280035"/>
                  <wp:effectExtent l="0" t="0" r="0" b="0"/>
                  <wp:docPr id="2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Отсутствие</w:t>
            </w:r>
          </w:p>
        </w:tc>
      </w:tr>
      <w:tr>
        <w:trPr>
          <w:trHeight w:val="560" w:hRule="atLeast"/>
        </w:trPr>
        <w:tc>
          <w:tcPr>
            <w:tcW w:w="7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13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74" w:type="dxa"/>
            <w:vMerge w:val="continue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646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bookmarkStart w:id="2" w:name="sub_150"/>
            <w:r>
              <w:rPr>
                <w:kern w:val="0"/>
                <w:sz w:val="22"/>
                <w:lang w:val="ru-RU" w:bidi="ar-SA"/>
              </w:rPr>
              <w:t>Объемная доля монометиланилина, %, не более</w:t>
            </w:r>
            <w:bookmarkEnd w:id="2"/>
          </w:p>
        </w:tc>
        <w:tc>
          <w:tcPr>
            <w:tcW w:w="1421" w:type="dxa"/>
            <w:tcBorders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kern w:val="0"/>
                <w:sz w:val="22"/>
                <w:lang w:val="ru-RU" w:bidi="ar-SA"/>
              </w:rPr>
              <w:t>Отсутствие</w:t>
            </w:r>
          </w:p>
        </w:tc>
      </w:tr>
    </w:tbl>
    <w:p>
      <w:pPr>
        <w:pStyle w:val="ListParagraph"/>
        <w:numPr>
          <w:ilvl w:val="0"/>
          <w:numId w:val="1"/>
        </w:numPr>
        <w:suppressAutoHyphens w:val="false"/>
        <w:spacing w:lineRule="auto" w:line="252" w:before="0" w:after="0"/>
        <w:ind w:left="0" w:firstLine="709"/>
        <w:contextualSpacing/>
        <w:rPr>
          <w:b/>
          <w:b/>
          <w:sz w:val="21"/>
          <w:szCs w:val="21"/>
        </w:rPr>
      </w:pPr>
      <w:r>
        <w:rPr>
          <w:b/>
          <w:sz w:val="21"/>
          <w:szCs w:val="21"/>
        </w:rPr>
        <w:t>Требования к качеству, упаковке, маркировке и безопасности товара: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Поставляемый Товар должен быть новым, не ранее 2024 года, не находившемся в использовании,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 На Товаре не должно быть следов механических повреждений.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Упаковка и маркировка поставляемого Товара должны соответствовать требованиям действующих на территории Российской Федерации нормативно-правовых актов (стандарт, технический регламент, санитарные нормы).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Упаковка должна обеспечивать соблюдение температурно-влажностного режима, сохранность Товара при транспортировке, до места назначения и разгрузки, на складе Заказчика.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 Стоимость за упаковочные материалы не взыскивается, и данные материалы возврату не подлежат. Стоимость упаковочных материалов включается в стоимость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Качество и безопасность Товара должны соответствовать требованиям, установленными и действующими в Российской Федерации ГОСТ, санитарным нормам, техническим регламентам, утвержденным на данный вид Товара.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поставляемую продукцию, разрешающих использование поставляемой продукции на территории Российской Федерации.</w:t>
      </w:r>
    </w:p>
    <w:p>
      <w:pPr>
        <w:pStyle w:val="ListParagraph"/>
        <w:numPr>
          <w:ilvl w:val="1"/>
          <w:numId w:val="1"/>
        </w:numPr>
        <w:suppressAutoHyphens w:val="false"/>
        <w:spacing w:lineRule="auto" w:line="252" w:before="0" w:after="0"/>
        <w:ind w:left="0" w:firstLine="709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В случае предъявления претензии по качеству Товара по причине несоответствия его условиям Контракта или иным обязательным требованиям, Поставщик должен по выбору Заказчика: устранить недостатки, заменить Товар или его часть Товаром, качество которого соответствует условиям Контракта в течение 10 (десяти) рабочих дней.</w:t>
      </w:r>
    </w:p>
    <w:p>
      <w:pPr>
        <w:pStyle w:val="ListParagraph"/>
        <w:spacing w:lineRule="auto" w:line="252" w:before="0" w:after="0"/>
        <w:ind w:left="709" w:hanging="0"/>
        <w:contextualSpacing/>
        <w:jc w:val="both"/>
        <w:rPr>
          <w:b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</w:r>
    </w:p>
    <w:p>
      <w:pPr>
        <w:pStyle w:val="Normal"/>
        <w:spacing w:lineRule="auto" w:line="252" w:before="0" w:after="0"/>
        <w:ind w:firstLine="709"/>
        <w:jc w:val="both"/>
        <w:rPr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 xml:space="preserve">6. Требования, связанные с определением соответствия </w:t>
      </w:r>
      <w:r>
        <w:rPr>
          <w:b/>
          <w:color w:val="000000"/>
          <w:sz w:val="21"/>
          <w:szCs w:val="21"/>
        </w:rPr>
        <w:t>поставляемого Товара потребностям заказчика (приемка товара):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6.1. </w:t>
      </w:r>
      <w:r>
        <w:rPr>
          <w:sz w:val="21"/>
          <w:szCs w:val="21"/>
        </w:rPr>
        <w:t xml:space="preserve">Порядок приемки товаров по количеству и качеству, производится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N П-6 </w:t>
      </w:r>
      <w:r>
        <w:rPr>
          <w:spacing w:val="-4"/>
          <w:sz w:val="21"/>
          <w:szCs w:val="21"/>
        </w:rPr>
        <w:t>и качеству, утвержденной постановлением Госарбитража СССР от 25.04.1966г. № П-7).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6.2. Заказчик при осуществлении приемки поставляемого товара проверяет соответствие количества, качества требованиям, установленным в Контракте.</w:t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0"/>
        <w:ind w:firstLine="709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7.</w:t>
      </w:r>
      <w:r>
        <w:rPr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Гарантийные обязательства: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7.1. Поставщик гарантирует качество поставляемого Товара.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 xml:space="preserve">7.2. Гарантийный срок не может быть менее гарантийного срока, установленного производителем, но и не менее 12 (двенадцати) месяцев с даты поставки на склад Заказчика и подписания структурированного документа о приемке в единой информационной системе в сфере закупок. 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7.3. При обнаружении дефектов Товара, возникших по независящим от Заказчика причинам, Поставщик обязан за свой счет устранить дефекты, либо заменить Товар ненадлежащего качества новым в течение 10 (десяти) рабочих дней после письменного уведомления Заказчиком (в том числе по факсу с последующим направлением оригинала).</w:t>
      </w:r>
    </w:p>
    <w:p>
      <w:pPr>
        <w:pStyle w:val="Normal"/>
        <w:widowControl w:val="false"/>
        <w:spacing w:lineRule="auto" w:line="252" w:before="0" w:after="0"/>
        <w:ind w:firstLine="709"/>
        <w:jc w:val="both"/>
        <w:rPr>
          <w:rFonts w:eastAsia="Calibri"/>
          <w:bCs/>
          <w:color w:val="000000"/>
          <w:sz w:val="21"/>
          <w:szCs w:val="21"/>
        </w:rPr>
      </w:pPr>
      <w:r>
        <w:rPr>
          <w:rFonts w:eastAsia="Calibri"/>
          <w:bCs/>
          <w:color w:val="000000"/>
          <w:sz w:val="21"/>
          <w:szCs w:val="21"/>
        </w:rPr>
        <w:t>7.4. Гарантийное обслуживание поставляемого товара должно осуществляться без затрат со стороны Заказчика и включать в себя вывоз, ремонт или замену и доставку Заказчику товара, вышедшего из строя в течение установленного гарантийного срока.</w:t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tabs>
          <w:tab w:val="clear" w:pos="720"/>
          <w:tab w:val="left" w:pos="10205" w:leader="none"/>
        </w:tabs>
        <w:spacing w:before="0" w:after="0"/>
        <w:ind w:hanging="0"/>
        <w:jc w:val="both"/>
        <w:rPr/>
      </w:pPr>
      <w:r>
        <w:rPr/>
        <w:t xml:space="preserve">  </w:t>
      </w:r>
      <w:r>
        <w:rPr/>
        <w:t>Начальник РИП</w:t>
      </w:r>
      <w:r>
        <w:rPr/>
        <w:t xml:space="preserve">                                                        С</w:t>
      </w:r>
      <w:r>
        <w:rPr/>
        <w:t>тепаненко С.В</w:t>
      </w:r>
    </w:p>
    <w:sectPr>
      <w:type w:val="nextPage"/>
      <w:pgSz w:w="11906" w:h="16838"/>
      <w:pgMar w:left="850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34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592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Интернет-ссылка"/>
    <w:basedOn w:val="DefaultParagraphFont"/>
    <w:uiPriority w:val="99"/>
    <w:unhideWhenUsed/>
    <w:rsid w:val="002707a6"/>
    <w:rPr>
      <w:color w:val="0000FF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d588f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tyle9" w:customStyle="1">
    <w:name w:val="Основной текст Знак"/>
    <w:qFormat/>
    <w:rPr>
      <w:rFonts w:ascii="Times New Roman" w:hAnsi="Times New Roman" w:eastAsia="DejaVu Sans" w:cs="Times New Roman"/>
      <w:kern w:val="2"/>
      <w:sz w:val="28"/>
      <w:lang w:val="x-none" w:eastAsia="x-none"/>
    </w:rPr>
  </w:style>
  <w:style w:type="character" w:styleId="12" w:customStyle="1">
    <w:name w:val="Заголовок 1 Знак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707a6"/>
    <w:rPr>
      <w:color w:val="605E5C"/>
      <w:shd w:fill="E1DFDD" w:val="clear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7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ableParagraph" w:customStyle="1">
    <w:name w:val="Table Paragraph"/>
    <w:basedOn w:val="Normal"/>
    <w:qFormat/>
    <w:pPr>
      <w:widowControl w:val="false"/>
      <w:spacing w:lineRule="exact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b9351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af1">
    <w:name w:val="Table Grid"/>
    <w:basedOn w:val="a1"/>
    <w:uiPriority w:val="59"/>
    <w:rsid w:val="00e70472"/>
    <w:pPr>
      <w:spacing w:after="60"/>
      <w:jc w:val="both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AlterOffice/3.2.9.1$Windows_X86_64 LibreOffice_project/f6fcdc9ef8f5642eaaec34925899f1250a32c141</Application>
  <AppVersion>15.0000</AppVersion>
  <Pages>2</Pages>
  <Words>602</Words>
  <Characters>4346</Characters>
  <CharactersWithSpaces>4859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2024-04-05T13:01:00Z</dcterms:created>
  <dc:creator>Наталья</dc:creator>
  <dc:description/>
  <dc:language>ru-RU</dc:language>
  <cp:lastModifiedBy>VolosAA</cp:lastModifiedBy>
  <cp:lastPrinted>2025-11-01T10:16:27Z</cp:lastPrinted>
  <dcterms:modified xsi:type="dcterms:W3CDTF">2026-05-27T11:53:24Z</dcterms:modified>
  <cp:revision>235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