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(Описание объекта закупки)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Резервирование линейно-кабельных сооружений и эксплуатация коллекторов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ОКПД 2 (в </w:t>
      </w:r>
      <w:r>
        <w:rPr>
          <w:rFonts w:ascii="Times New Roman" w:hAnsi="Times New Roman" w:cs="Times New Roman"/>
          <w:b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b/>
          <w:sz w:val="28"/>
          <w:szCs w:val="28"/>
        </w:rPr>
        <w:t xml:space="preserve">  со сметой расходов Управления): </w:t>
      </w:r>
      <w:r>
        <w:rPr>
          <w:rFonts w:ascii="Times New Roman" w:hAnsi="Times New Roman" w:cs="Times New Roman"/>
          <w:sz w:val="28"/>
          <w:szCs w:val="28"/>
        </w:rPr>
        <w:t xml:space="preserve">68.20 — Услуги по сдаче в аренду (внаем) собственного или арендованного недвижимого имущества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закупки: </w:t>
      </w:r>
      <w:r>
        <w:rPr>
          <w:rFonts w:ascii="Times New Roman" w:hAnsi="Times New Roman" w:cs="Times New Roman"/>
          <w:sz w:val="28"/>
          <w:szCs w:val="28"/>
        </w:rPr>
        <w:t xml:space="preserve">Закупка до 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00 т. руб. (п.4 ч.1 ст.93.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ФЗ-44)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оплаты: </w:t>
      </w:r>
      <w:r>
        <w:rPr>
          <w:rFonts w:ascii="Times New Roman" w:hAnsi="Times New Roman" w:cs="Times New Roman"/>
          <w:sz w:val="28"/>
          <w:szCs w:val="28"/>
        </w:rPr>
        <w:t xml:space="preserve">Оплата по счету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оплаты: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установленный срок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оплаты:  </w:t>
      </w:r>
      <w:r>
        <w:rPr>
          <w:rFonts w:ascii="Times New Roman" w:hAnsi="Times New Roman" w:cs="Times New Roman"/>
          <w:sz w:val="28"/>
          <w:szCs w:val="28"/>
        </w:rPr>
        <w:t xml:space="preserve">в течение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hAnsi="Times New Roman" w:cs="Times New Roman"/>
          <w:sz w:val="28"/>
          <w:szCs w:val="28"/>
        </w:rPr>
        <w:t xml:space="preserve">с даты подписания</w:t>
      </w:r>
      <w:r>
        <w:rPr>
          <w:rFonts w:ascii="Times New Roman" w:hAnsi="Times New Roman" w:cs="Times New Roman"/>
          <w:sz w:val="28"/>
          <w:szCs w:val="28"/>
        </w:rPr>
        <w:t xml:space="preserve"> документа </w:t>
        <w:br/>
        <w:t xml:space="preserve">о приемке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Оплата производится из средств федерального бюджета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пределах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бюджетных обязательств на 202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bookmarkStart w:id="0" w:name="undefined"/>
      <w:r>
        <w:rPr>
          <w:sz w:val="28"/>
          <w:szCs w:val="28"/>
          <w:highlight w:val="white"/>
        </w:rPr>
      </w:r>
      <w:bookmarkEnd w:id="0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финансовый год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Стартовая цена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>
        <w:rPr>
          <w:sz w:val="28"/>
          <w:szCs w:val="28"/>
          <w:lang w:val="en-US"/>
        </w:rPr>
        <w:t xml:space="preserve">130834,08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(Сто тридцать тысяч восемьсот тридцать четыре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рубля 08 копеек.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tabs>
          <w:tab w:val="left" w:pos="720" w:leader="none"/>
        </w:tabs>
        <w:rPr>
          <w:highlight w:val="white"/>
        </w:rPr>
      </w:pPr>
      <w:r>
        <w:rPr>
          <w:b/>
          <w:highlight w:val="white"/>
        </w:rPr>
        <w:t xml:space="preserve">Количество (если поставка т</w:t>
      </w:r>
      <w:r>
        <w:rPr>
          <w:b/>
          <w:highlight w:val="white"/>
        </w:rPr>
        <w:t xml:space="preserve">овара, то указывается количество): </w:t>
      </w:r>
      <w:r>
        <w:rPr>
          <w:highlight w:val="white"/>
        </w:rPr>
        <w:t xml:space="preserve">согласно спецификации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tabs>
          <w:tab w:val="left" w:pos="720" w:leader="none"/>
        </w:tabs>
        <w:rPr>
          <w:highlight w:val="white"/>
        </w:rPr>
      </w:pPr>
      <w:r>
        <w:rPr>
          <w:b/>
          <w:highlight w:val="white"/>
        </w:rPr>
        <w:t xml:space="preserve">Цена за единицу товара (в случае поставки товара): </w:t>
      </w:r>
      <w:r>
        <w:rPr>
          <w:highlight w:val="white"/>
        </w:rPr>
        <w:t xml:space="preserve">согласно спецификации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sz w:val="26"/>
          <w:szCs w:val="26"/>
          <w:highlight w:val="white"/>
        </w:rPr>
      </w:pPr>
      <w:r>
        <w:rPr>
          <w:highlight w:val="white"/>
        </w:rPr>
        <w:t xml:space="preserve">Цена договора является твердой и не может изменяться в ходе его исполнения, кроме случаев, предусмотренных ст.95 Федерального </w:t>
      </w:r>
      <w:r>
        <w:rPr>
          <w:highlight w:val="white"/>
        </w:rPr>
        <w:t xml:space="preserve">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jc w:val="both"/>
        <w:tabs>
          <w:tab w:val="left" w:pos="720" w:leader="none"/>
        </w:tabs>
        <w:rPr>
          <w14:ligatures w14:val="none"/>
        </w:rPr>
      </w:pPr>
      <w:r>
        <w:rPr>
          <w:b/>
          <w:highlight w:val="white"/>
        </w:rPr>
        <w:t xml:space="preserve">Срок  поставки</w:t>
      </w:r>
      <w:r>
        <w:rPr>
          <w:b/>
          <w:highlight w:val="white"/>
        </w:rPr>
        <w:t xml:space="preserve"> товара (выполнения работ, оказания ус</w:t>
      </w:r>
      <w:r>
        <w:rPr>
          <w:b/>
        </w:rPr>
        <w:t xml:space="preserve">луг): </w:t>
      </w:r>
      <w:r>
        <w:t xml:space="preserve">услуги оказываются в перио</w:t>
      </w:r>
      <w:r>
        <w:t xml:space="preserve">д с </w:t>
      </w:r>
      <w:r>
        <w:rPr>
          <w:lang w:bidi="ru-RU"/>
        </w:rPr>
        <w:t xml:space="preserve"> 24.07.2026 по 31.08.2026</w:t>
      </w:r>
      <w:r>
        <w:t xml:space="preserve">.</w:t>
      </w:r>
      <w:r>
        <w:rPr>
          <w14:ligatures w14:val="none"/>
        </w:rPr>
      </w:r>
      <w:r>
        <w:rPr>
          <w14:ligatures w14:val="none"/>
        </w:rPr>
      </w:r>
    </w:p>
    <w:p>
      <w:pPr>
        <w:jc w:val="both"/>
        <w:tabs>
          <w:tab w:val="left" w:pos="720" w:leader="none"/>
        </w:tabs>
        <w:rPr>
          <w:b/>
          <w:bCs/>
        </w:rPr>
      </w:pPr>
      <w:r>
        <w:rPr>
          <w:b/>
        </w:rPr>
        <w:t xml:space="preserve">Адрес поставки товара (о</w:t>
      </w:r>
      <w:r>
        <w:rPr>
          <w:b/>
        </w:rPr>
        <w:t xml:space="preserve">казания услуг, выполнения работ): </w:t>
      </w:r>
      <w:r>
        <w:t xml:space="preserve">Алтайский край, г. Барнаул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</w:rPr>
      </w:pPr>
      <w:r>
        <w:rPr>
          <w:b/>
        </w:rPr>
        <w:t xml:space="preserve">Требование к товару (п</w:t>
      </w:r>
      <w:r>
        <w:rPr>
          <w:b/>
          <w:shd w:val="clear" w:color="auto" w:fill="ffffff"/>
        </w:rPr>
        <w:t xml:space="preserve">ри необходимости может быть дополнено эскизами, чертежами и иными документами, позволяющими дополнить описание </w:t>
      </w:r>
      <w:r>
        <w:rPr>
          <w:b/>
          <w:bCs/>
          <w:shd w:val="clear" w:color="auto" w:fill="ffffff"/>
        </w:rPr>
        <w:t xml:space="preserve">товара</w:t>
      </w:r>
      <w:r>
        <w:rPr>
          <w:b/>
          <w:shd w:val="clear" w:color="auto" w:fill="ffffff"/>
        </w:rPr>
        <w:t xml:space="preserve"> (работ, услуг)</w:t>
      </w:r>
      <w:r>
        <w:rPr>
          <w:b/>
        </w:rPr>
        <w:t xml:space="preserve">: </w:t>
      </w:r>
      <w:r>
        <w:rPr>
          <w:b/>
        </w:rPr>
      </w:r>
      <w:r>
        <w:rPr>
          <w:b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СПЕЦИФИКАЦИЯ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rPr>
          <w:b w:val="0"/>
          <w:bCs w:val="0"/>
          <w:sz w:val="24"/>
          <w:szCs w:val="24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  <w:t xml:space="preserve">Наименование товара / работы / услуги</w:t>
      </w:r>
      <w:r>
        <w:rPr>
          <w:b w:val="0"/>
          <w:bCs w:val="0"/>
          <w:sz w:val="28"/>
          <w:szCs w:val="28"/>
          <w:highlight w:val="none"/>
        </w:rPr>
        <w:t xml:space="preserve">: </w:t>
      </w:r>
      <w:r>
        <w:rPr>
          <w:sz w:val="28"/>
          <w:szCs w:val="28"/>
        </w:rPr>
        <w:t xml:space="preserve">Резервирование линейно-кабельных сооружений и эксплуатация коллекторов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tbl>
      <w:tblPr>
        <w:tblW w:w="5000" w:type="pct"/>
        <w:tblInd w:w="30" w:type="dxa"/>
        <w:tblLayout w:type="fixed"/>
        <w:tblCellMar>
          <w:left w:w="20" w:type="dxa"/>
          <w:top w:w="20" w:type="dxa"/>
          <w:right w:w="20" w:type="dxa"/>
          <w:bottom w:w="0" w:type="dxa"/>
        </w:tblCellMar>
        <w:tblLook w:val="04A0" w:firstRow="1" w:lastRow="0" w:firstColumn="1" w:lastColumn="0" w:noHBand="0" w:noVBand="1"/>
      </w:tblPr>
      <w:tblGrid>
        <w:gridCol w:w="344"/>
        <w:gridCol w:w="1632"/>
        <w:gridCol w:w="1455"/>
        <w:gridCol w:w="1029"/>
        <w:gridCol w:w="1462"/>
        <w:gridCol w:w="1545"/>
        <w:gridCol w:w="602"/>
        <w:gridCol w:w="1285"/>
      </w:tblGrid>
      <w:tr>
        <w:tblPrEx/>
        <w:trPr>
          <w:cantSplit/>
          <w:trHeight w:val="579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344" w:type="dxa"/>
            <w:vAlign w:val="center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п/п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vAlign w:val="center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Начало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1455" w:type="dxa"/>
            <w:vAlign w:val="center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 xml:space="preserve">Окончание участка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029" w:type="dxa"/>
            <w:vAlign w:val="center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Наружный диаметр кабеля связи, 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1462" w:type="dxa"/>
            <w:vAlign w:val="center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Протяженность канала в телефонной канализации,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1545" w:type="dxa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  <w:t xml:space="preserve">Цена предоставления ЛКС для размещения кабеля с учетом НДС, руб. за 1 период</w:t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602" w:type="dxa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  <w:t xml:space="preserve">Количество периодов.</w:t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1285" w:type="dxa"/>
            <w:textDirection w:val="lrTb"/>
            <w:noWrap w:val="false"/>
          </w:tcPr>
          <w:p>
            <w:pPr>
              <w:pStyle w:val="975"/>
              <w:ind w:left="159" w:right="-27" w:firstLine="0"/>
              <w:jc w:val="center"/>
              <w:widowControl w:val="off"/>
              <w:tabs>
                <w:tab w:val="left" w:pos="1276" w:leader="none"/>
                <w:tab w:val="left" w:pos="1560" w:leader="none"/>
                <w:tab w:val="left" w:pos="1718" w:leader="none"/>
              </w:tabs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white"/>
              </w:rPr>
              <w:t xml:space="preserve">Стоимость всего, руб.</w:t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r>
          </w:p>
        </w:tc>
      </w:tr>
      <w:tr>
        <w:tblPrEx/>
        <w:trPr>
          <w:cantSplit/>
          <w:trHeight w:val="579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344" w:type="dxa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г. Барнаул,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ул. Г.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Титова, 9 г,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г. Барнаул,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ул. Северо-Западная, 4,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г. Барнаул,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ул. Советская, 16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1455" w:type="dxa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г. Барнаул,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ул. Северо-Западная, 4,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г. Барнаул,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ул. Советская, 16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г. Барнаул,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ул. Молодежная,68а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029" w:type="dxa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До 15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1462" w:type="dxa"/>
            <w:textDirection w:val="lrTb"/>
            <w:noWrap w:val="false"/>
          </w:tcPr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pacing w:val="4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 xml:space="preserve">048</w:t>
            </w:r>
            <w:r>
              <w:rPr>
                <w:rFonts w:ascii="Times New Roman" w:hAnsi="Times New Roman" w:cs="Times New Roman"/>
                <w:spacing w:val="4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pacing w:val="4"/>
                <w:sz w:val="18"/>
                <w:szCs w:val="18"/>
              </w:rPr>
            </w:r>
          </w:p>
          <w:p>
            <w:pPr>
              <w:pStyle w:val="975"/>
              <w:jc w:val="center"/>
              <w:widowControl w:val="off"/>
              <w:rPr>
                <w:rFonts w:ascii="Times New Roman" w:hAnsi="Times New Roman" w:cs="Times New Roman"/>
                <w:spacing w:val="4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pacing w:val="4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pacing w:val="4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154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:lang w:val="en-US"/>
              </w:rPr>
              <w:t xml:space="preserve">130834,08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6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" w:type="dxa"/>
              <w:top w:w="0" w:type="dxa"/>
              <w:right w:w="5" w:type="dxa"/>
              <w:bottom w:w="0" w:type="dxa"/>
            </w:tcMar>
            <w:tcW w:w="128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:lang w:val="en-US"/>
              </w:rPr>
              <w:t xml:space="preserve">130834,08</w:t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pacing w:val="4"/>
                <w:sz w:val="18"/>
                <w:szCs w:val="18"/>
                <w14:ligatures w14:val="none"/>
              </w:rPr>
            </w:r>
          </w:p>
        </w:tc>
      </w:tr>
    </w:tbl>
    <w:p>
      <w:pPr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75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Качество оказываемых услуг должно соответствовать действующему законодательству РФ, стандартам, техническим нормам и правилам.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75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Кабельная канализация должна быть надежно защищена от несанкционированного доступа в соответствии с требованиями законодательства РФ.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75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разрешения технических вопросов Заказчику должна быть предоставлена возможность круглосуточного обращения по единому номеру службы технической поддержки Исполнителя.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75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Услуга должна оказываться круглосуточно, ежедневно, без перерывов, за исключением необходимых ремонтных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профилактических работ, с обязательным письменным сообщением Заказчику об этом не менее чем за 3 (Три) рабочих дня до начала указанных работ.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both"/>
        <w:tabs>
          <w:tab w:val="left" w:pos="72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022"/>
        <w:ind w:firstLine="0"/>
        <w:jc w:val="left"/>
        <w:spacing w:line="276" w:lineRule="auto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заказчике: </w:t>
      </w:r>
      <w:r>
        <w:rPr>
          <w:b/>
          <w:bCs/>
          <w:color w:val="000000"/>
          <w:sz w:val="28"/>
          <w:szCs w:val="28"/>
        </w:rPr>
        <w:t xml:space="preserve">Управление Федеральной службы государственной регистрации, кадастра и картографии по Алтайскому краю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both"/>
        <w:tabs>
          <w:tab w:val="left" w:pos="1123" w:leader="none"/>
        </w:tabs>
        <w:rPr>
          <w:b w:val="0"/>
          <w:sz w:val="28"/>
          <w:szCs w:val="28"/>
        </w:rPr>
      </w:pPr>
      <w:r>
        <w:rPr>
          <w:rStyle w:val="1023"/>
          <w:b w:val="0"/>
          <w:sz w:val="28"/>
          <w:szCs w:val="28"/>
        </w:rPr>
        <w:t xml:space="preserve">Юридический адрес: 656002 г. Барнаул, ул. </w:t>
      </w:r>
      <w:r>
        <w:rPr>
          <w:rStyle w:val="1023"/>
          <w:b w:val="0"/>
          <w:sz w:val="28"/>
          <w:szCs w:val="28"/>
        </w:rPr>
        <w:t xml:space="preserve">Советская</w:t>
      </w:r>
      <w:r>
        <w:rPr>
          <w:rStyle w:val="1023"/>
          <w:b w:val="0"/>
          <w:sz w:val="28"/>
          <w:szCs w:val="28"/>
        </w:rPr>
        <w:t xml:space="preserve">, д. 16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022"/>
        <w:ind w:firstLine="0"/>
        <w:jc w:val="left"/>
        <w:spacing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ИНН 2225066565 / КПП 222401001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022"/>
        <w:ind w:firstLine="0"/>
        <w:jc w:val="left"/>
        <w:spacing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УФК по Алтайскому краю (Управление Федеральной службы государственной регистрации, кадастра и картографии по Алтайскому краю </w:t>
      </w:r>
      <w:r>
        <w:rPr>
          <w:bCs/>
          <w:color w:val="000000"/>
          <w:sz w:val="28"/>
          <w:szCs w:val="28"/>
        </w:rPr>
        <w:t xml:space="preserve">л</w:t>
      </w:r>
      <w:r>
        <w:rPr>
          <w:bCs/>
          <w:color w:val="000000"/>
          <w:sz w:val="28"/>
          <w:szCs w:val="28"/>
        </w:rPr>
        <w:t xml:space="preserve">/с 03171А23650)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022"/>
        <w:ind w:firstLine="0"/>
        <w:jc w:val="left"/>
        <w:spacing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КС </w:t>
      </w:r>
      <w:r>
        <w:rPr>
          <w:bCs/>
          <w:color w:val="000000"/>
          <w:sz w:val="28"/>
          <w:szCs w:val="28"/>
        </w:rPr>
        <w:t xml:space="preserve">03211643000000015104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022"/>
        <w:ind w:firstLine="0"/>
        <w:jc w:val="left"/>
        <w:spacing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ЕКС</w:t>
      </w:r>
      <w:r>
        <w:rPr>
          <w:bCs/>
          <w:color w:val="000000"/>
          <w:sz w:val="28"/>
          <w:szCs w:val="28"/>
        </w:rPr>
        <w:t xml:space="preserve"> 40102810445370000043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022"/>
        <w:ind w:firstLine="0"/>
        <w:jc w:val="left"/>
        <w:spacing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БИК 015004950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022"/>
        <w:ind w:firstLine="0"/>
        <w:spacing w:line="276" w:lineRule="auto"/>
        <w:widowControl/>
        <w:rPr>
          <w:b w:val="0"/>
          <w:bCs w:val="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ОКЦ №1 Сибирского ГУ Банка России//УФК по Новосибирской области, г. Новосибирск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возможности  и случаях одностороннего расторжения сделки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соответствии с действующим законодательством РФ: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Расторжение контракта допускается по соглашению сторон, по решению суда, или в связи с односторонним отказом стороны контракта от исполнения Контракта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действующим законодательством.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Ответственность сторон: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 Размеры неустоек (штрафов, пеней) устанавливаются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 законом от 05.04.2013 № 44-ФЗ и Постановлением Правительства РФ от 30.08.2017 № 1042.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Контрактом предусмотрено условие об удержании суммы неисполненных поставщиком (подрядчиком, исполни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исполнителю), (п. 2 ч. 14 ст. 34 Федерального закона от 05.04.2013 N 44-ФЗ).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Реквизиты Заказчика для перечисления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удержанных сумм неисполненных поставщиком (подрядчиком, исполнителем)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ind w:left="0"/>
        <w:jc w:val="both"/>
        <w:tabs>
          <w:tab w:val="left" w:pos="426" w:leader="none"/>
        </w:tabs>
        <w:rPr>
          <w:i/>
          <w:sz w:val="28"/>
          <w:szCs w:val="28"/>
        </w:rPr>
      </w:pPr>
      <w:r>
        <w:rPr>
          <w:i/>
          <w:sz w:val="28"/>
          <w:szCs w:val="28"/>
          <w:lang w:val="ru-RU" w:eastAsia="ru-RU"/>
        </w:rPr>
        <w:t xml:space="preserve">Реквизиты Заказчика для перечисления </w:t>
      </w:r>
      <w:r>
        <w:rPr>
          <w:i/>
          <w:sz w:val="28"/>
          <w:szCs w:val="28"/>
          <w:lang w:val="ru-RU" w:eastAsia="ru-RU"/>
        </w:rPr>
        <w:t xml:space="preserve">удержанных сумм неисполненных поставщиком (подрядчиком, исполнителем)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исполнителю):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12"/>
        <w:ind w:left="0"/>
        <w:jc w:val="both"/>
        <w:tabs>
          <w:tab w:val="left" w:pos="426" w:leader="none"/>
        </w:tabs>
        <w:rPr>
          <w:i/>
          <w:sz w:val="28"/>
          <w:szCs w:val="28"/>
        </w:rPr>
      </w:pPr>
      <w:r>
        <w:rPr>
          <w:i/>
          <w:sz w:val="28"/>
          <w:szCs w:val="28"/>
          <w:lang w:val="ru-RU" w:eastAsia="ru-RU"/>
        </w:rPr>
        <w:t xml:space="preserve">ИНН 2225066565 / КПП 222401001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12"/>
        <w:ind w:left="0"/>
        <w:jc w:val="both"/>
        <w:tabs>
          <w:tab w:val="left" w:pos="426" w:leader="none"/>
        </w:tabs>
        <w:rPr>
          <w:i/>
          <w:sz w:val="28"/>
          <w:szCs w:val="28"/>
        </w:rPr>
      </w:pPr>
      <w:r>
        <w:rPr>
          <w:i/>
          <w:sz w:val="28"/>
          <w:szCs w:val="28"/>
          <w:lang w:val="ru-RU" w:eastAsia="ru-RU"/>
        </w:rPr>
        <w:t xml:space="preserve">УФК по Алтайскому краю (Управление Федеральной службы государственной регистрации, кадастра и картографии по Алтайскому краю 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12"/>
        <w:ind w:left="0"/>
        <w:jc w:val="both"/>
        <w:tabs>
          <w:tab w:val="left" w:pos="426" w:leader="none"/>
        </w:tabs>
        <w:rPr>
          <w:i/>
          <w:sz w:val="28"/>
          <w:szCs w:val="28"/>
        </w:rPr>
      </w:pPr>
      <w:r>
        <w:rPr>
          <w:i/>
          <w:sz w:val="28"/>
          <w:szCs w:val="28"/>
          <w:lang w:val="ru-RU" w:eastAsia="ru-RU"/>
        </w:rPr>
        <w:t xml:space="preserve">л</w:t>
      </w:r>
      <w:r>
        <w:rPr>
          <w:i/>
          <w:sz w:val="28"/>
          <w:szCs w:val="28"/>
          <w:lang w:val="ru-RU" w:eastAsia="ru-RU"/>
        </w:rPr>
        <w:t xml:space="preserve">/с 04171А23650)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12"/>
        <w:ind w:left="0"/>
        <w:jc w:val="both"/>
        <w:tabs>
          <w:tab w:val="left" w:pos="426" w:leader="none"/>
        </w:tabs>
        <w:rPr>
          <w:i/>
          <w:sz w:val="28"/>
          <w:szCs w:val="28"/>
        </w:rPr>
      </w:pPr>
      <w:r>
        <w:rPr>
          <w:i/>
          <w:sz w:val="28"/>
          <w:szCs w:val="28"/>
          <w:lang w:val="ru-RU" w:eastAsia="ru-RU"/>
        </w:rPr>
        <w:t xml:space="preserve">КС</w:t>
      </w:r>
      <w:r>
        <w:rPr>
          <w:i/>
          <w:sz w:val="28"/>
          <w:szCs w:val="28"/>
          <w:lang w:val="ru-RU" w:eastAsia="ru-RU"/>
        </w:rPr>
        <w:t xml:space="preserve">  03100643000000011700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12"/>
        <w:ind w:left="0"/>
        <w:jc w:val="both"/>
        <w:tabs>
          <w:tab w:val="left" w:pos="426" w:leader="none"/>
        </w:tabs>
        <w:rPr>
          <w:i/>
          <w:sz w:val="28"/>
          <w:szCs w:val="28"/>
        </w:rPr>
      </w:pPr>
      <w:r>
        <w:rPr>
          <w:i/>
          <w:sz w:val="28"/>
          <w:szCs w:val="28"/>
          <w:lang w:val="ru-RU" w:eastAsia="ru-RU"/>
        </w:rPr>
        <w:t xml:space="preserve">ЕКС</w:t>
      </w:r>
      <w:r>
        <w:rPr>
          <w:i/>
          <w:sz w:val="28"/>
          <w:szCs w:val="28"/>
          <w:lang w:val="ru-RU" w:eastAsia="ru-RU"/>
        </w:rPr>
        <w:t xml:space="preserve">  40102810045370000009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12"/>
        <w:ind w:left="0"/>
        <w:jc w:val="both"/>
        <w:tabs>
          <w:tab w:val="left" w:pos="426" w:leader="none"/>
        </w:tabs>
        <w:rPr>
          <w:i/>
          <w:sz w:val="28"/>
          <w:szCs w:val="28"/>
        </w:rPr>
      </w:pPr>
      <w:r>
        <w:rPr>
          <w:i/>
          <w:sz w:val="28"/>
          <w:szCs w:val="28"/>
          <w:lang w:val="ru-RU" w:eastAsia="ru-RU"/>
        </w:rPr>
        <w:t xml:space="preserve">БИК 010173001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12"/>
        <w:ind w:left="0"/>
        <w:jc w:val="both"/>
        <w:tabs>
          <w:tab w:val="left" w:pos="426" w:leader="none"/>
        </w:tabs>
        <w:rPr>
          <w:i/>
          <w:sz w:val="28"/>
          <w:szCs w:val="28"/>
        </w:rPr>
      </w:pPr>
      <w:r>
        <w:rPr>
          <w:i/>
          <w:sz w:val="28"/>
          <w:szCs w:val="28"/>
          <w:lang w:val="ru-RU"/>
        </w:rPr>
        <w:t xml:space="preserve">ОКЦ №2 Сибирского ГУ Банка России//УФК по Алтайскому краю г. Барнаул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eastAsia="ar-SA"/>
        </w:rPr>
        <w:t xml:space="preserve">КБК 321 1 16 07010 01 9000 140 - просрочка исполнения контракта (пеня)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1024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КБК 321 1 16 07090 01 9000 140 - ненадлежащее исполнение контракта (штраф)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5"/>
        <w:ind w:left="0" w:right="0" w:firstLine="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Источник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sz w:val="28"/>
          <w:szCs w:val="28"/>
        </w:rPr>
        <w:t xml:space="preserve">Оплата производится из средств федерального бюджета в пределах бюджетных</w:t>
      </w:r>
      <w:r>
        <w:rPr>
          <w:sz w:val="28"/>
          <w:szCs w:val="28"/>
        </w:rPr>
        <w:t xml:space="preserve"> обязательств на 2026 финансовый год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</w:t>
      </w:r>
      <w:r>
        <w:rPr>
          <w:rFonts w:ascii="Times New Roman" w:hAnsi="Times New Roman" w:cs="Times New Roman"/>
          <w:b/>
          <w:sz w:val="28"/>
          <w:szCs w:val="28"/>
        </w:rPr>
        <w:t xml:space="preserve">ая</w:t>
      </w:r>
      <w:r>
        <w:rPr>
          <w:rFonts w:ascii="Times New Roman" w:hAnsi="Times New Roman" w:cs="Times New Roman"/>
          <w:b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b/>
          <w:sz w:val="28"/>
          <w:szCs w:val="28"/>
        </w:rPr>
        <w:t xml:space="preserve">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 уполномоченном лице, ответственном </w:t>
        <w:br/>
        <w:t xml:space="preserve">за закупку </w:t>
      </w:r>
      <w:r>
        <w:rPr>
          <w:rFonts w:ascii="Times New Roman" w:hAnsi="Times New Roman" w:cs="Times New Roman"/>
          <w:b/>
          <w:sz w:val="28"/>
          <w:szCs w:val="28"/>
        </w:rPr>
        <w:t xml:space="preserve">(при осуществлении закупки без использования ЕАТ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 наличии)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Яшин А.В.</w:t>
      </w:r>
      <w:r>
        <w:rPr>
          <w:rFonts w:ascii="Times New Roman" w:hAnsi="Times New Roman" w:cs="Times New Roman"/>
          <w:sz w:val="28"/>
          <w:szCs w:val="28"/>
        </w:rPr>
        <w:t xml:space="preserve">, тел. 62-81</w:t>
      </w:r>
      <w:r>
        <w:rPr>
          <w:rFonts w:ascii="Times New Roman" w:hAnsi="Times New Roman" w:cs="Times New Roman"/>
          <w:sz w:val="28"/>
          <w:szCs w:val="28"/>
        </w:rPr>
        <w:t xml:space="preserve">-32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Дата, время и длительность закупочной сессии</w:t>
      </w:r>
      <w:r>
        <w:rPr>
          <w:rFonts w:ascii="Times New Roman" w:hAnsi="Times New Roman" w:cs="Times New Roman"/>
          <w:sz w:val="28"/>
          <w:szCs w:val="28"/>
        </w:rPr>
        <w:t xml:space="preserve">: 2 часа / 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Планируемая дата заключения договора: </w:t>
      </w:r>
      <w:r>
        <w:rPr>
          <w:rFonts w:ascii="Times New Roman" w:hAnsi="Times New Roman" w:cs="Times New Roman"/>
          <w:sz w:val="28"/>
          <w:szCs w:val="28"/>
        </w:rPr>
        <w:t xml:space="preserve"> до 27.07.2026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hd w:val="nil" w:color="000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hd w:val="nil" w:color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850" w:bottom="1134" w:left="1701" w:header="720" w:footer="731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ource Han Sans CN Regular">
    <w:panose1 w:val="02000603000000000000"/>
  </w:font>
  <w:font w:name="Courier New">
    <w:panose1 w:val="02070309020205020404"/>
  </w:font>
  <w:font w:name="Lohit Devanagari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Consolas">
    <w:panose1 w:val="020B0606020202030204"/>
  </w:font>
  <w:font w:name="Tahoma">
    <w:panose1 w:val="020B06040305040402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АЯ 2025-09</w:t>
    </w:r>
    <w:r>
      <w:rPr>
        <w:color w:val="000000"/>
        <w:sz w:val="16"/>
        <w:szCs w:val="16"/>
      </w:rPr>
      <w:t xml:space="preserve">-25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  <w:p>
    <w:pPr>
      <w:pStyle w:val="984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Исх</w:t>
    </w:r>
    <w:r>
      <w:rPr>
        <w:color w:val="000000"/>
        <w:sz w:val="16"/>
        <w:szCs w:val="16"/>
      </w:rPr>
      <w:t xml:space="preserve">/2</w:t>
    </w:r>
    <w:r>
      <w:rPr>
        <w:color w:val="000000"/>
        <w:sz w:val="16"/>
        <w:szCs w:val="16"/>
      </w:rPr>
      <w:t xml:space="preserve">5_09_СЗ_Об_объявлении_закупки_ЕАТ_ЛКС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АЯ 2026-07</w:t>
    </w:r>
    <w:r>
      <w:rPr>
        <w:color w:val="000000"/>
        <w:sz w:val="16"/>
        <w:szCs w:val="16"/>
      </w:rPr>
      <w:t xml:space="preserve">-15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  <w:p>
    <w:pPr>
      <w:pStyle w:val="984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Исх</w:t>
    </w:r>
    <w:r>
      <w:rPr>
        <w:color w:val="000000"/>
        <w:sz w:val="16"/>
        <w:szCs w:val="16"/>
      </w:rPr>
      <w:t xml:space="preserve">/15</w:t>
    </w:r>
    <w:r>
      <w:rPr>
        <w:color w:val="000000"/>
        <w:sz w:val="16"/>
        <w:szCs w:val="16"/>
      </w:rPr>
      <w:t xml:space="preserve">_07_СЗ_Об_объявлении_закупки_ЕАТ_ЛКС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АЯ 2026-07</w:t>
    </w:r>
    <w:r>
      <w:rPr>
        <w:color w:val="000000"/>
        <w:sz w:val="16"/>
        <w:szCs w:val="16"/>
      </w:rPr>
      <w:t xml:space="preserve">-15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  <w:p>
    <w:pPr>
      <w:pStyle w:val="984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Исх</w:t>
    </w:r>
    <w:r>
      <w:rPr>
        <w:color w:val="000000"/>
        <w:sz w:val="16"/>
        <w:szCs w:val="16"/>
      </w:rPr>
      <w:t xml:space="preserve">/</w:t>
    </w:r>
    <w:r>
      <w:rPr>
        <w:color w:val="000000"/>
        <w:sz w:val="16"/>
        <w:szCs w:val="16"/>
      </w:rPr>
      <w:t xml:space="preserve">15_07_СЗ_Об_объявлении_закупки_ЕАТ_ЛКС</w:t>
    </w:r>
    <w:r>
      <w:rPr>
        <w:color w:val="000000"/>
        <w:sz w:val="16"/>
        <w:szCs w:val="16"/>
      </w:rPr>
    </w:r>
    <w:r>
      <w:rPr>
        <w:color w:val="000000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93001540"/>
      <w:docPartObj>
        <w:docPartGallery w:val="Page Numbers (Top of Page)"/>
        <w:docPartUnique w:val="true"/>
      </w:docPartObj>
      <w:rPr/>
    </w:sdtPr>
    <w:sdtContent>
      <w:p>
        <w:pPr>
          <w:pStyle w:val="98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8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60" w:hanging="144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  <w:tabs>
          <w:tab w:val="num" w:pos="178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  <w:tabs>
          <w:tab w:val="num" w:pos="250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  <w:tabs>
          <w:tab w:val="num" w:pos="322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  <w:tabs>
          <w:tab w:val="num" w:pos="394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  <w:tabs>
          <w:tab w:val="num" w:pos="466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  <w:tabs>
          <w:tab w:val="num" w:pos="538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  <w:tabs>
          <w:tab w:val="num" w:pos="610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  <w:tabs>
          <w:tab w:val="num" w:pos="6825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9"/>
  </w:num>
  <w:num w:numId="5">
    <w:abstractNumId w:val="7"/>
  </w:num>
  <w:num w:numId="6">
    <w:abstractNumId w:val="4"/>
  </w:num>
  <w:num w:numId="7">
    <w:abstractNumId w:val="10"/>
  </w:num>
  <w:num w:numId="8">
    <w:abstractNumId w:val="1"/>
  </w:num>
  <w:num w:numId="9">
    <w:abstractNumId w:val="5"/>
  </w:num>
  <w:num w:numId="10">
    <w:abstractNumId w:val="3"/>
  </w:num>
  <w:num w:numId="11">
    <w:abstractNumId w:val="6"/>
  </w:num>
  <w:num w:numId="12">
    <w:abstractNumId w:val="2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7">
    <w:name w:val="Heading 1 Char"/>
    <w:basedOn w:val="978"/>
    <w:link w:val="976"/>
    <w:uiPriority w:val="9"/>
    <w:rPr>
      <w:rFonts w:ascii="Arial" w:hAnsi="Arial" w:eastAsia="Arial" w:cs="Arial"/>
      <w:sz w:val="40"/>
      <w:szCs w:val="40"/>
    </w:rPr>
  </w:style>
  <w:style w:type="character" w:styleId="808">
    <w:name w:val="Heading 2 Char"/>
    <w:basedOn w:val="978"/>
    <w:link w:val="977"/>
    <w:uiPriority w:val="9"/>
    <w:rPr>
      <w:rFonts w:ascii="Arial" w:hAnsi="Arial" w:eastAsia="Arial" w:cs="Arial"/>
      <w:sz w:val="34"/>
    </w:rPr>
  </w:style>
  <w:style w:type="paragraph" w:styleId="809">
    <w:name w:val="Heading 3"/>
    <w:basedOn w:val="975"/>
    <w:next w:val="975"/>
    <w:link w:val="8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10">
    <w:name w:val="Heading 3 Char"/>
    <w:basedOn w:val="978"/>
    <w:link w:val="809"/>
    <w:uiPriority w:val="9"/>
    <w:rPr>
      <w:rFonts w:ascii="Arial" w:hAnsi="Arial" w:eastAsia="Arial" w:cs="Arial"/>
      <w:sz w:val="30"/>
      <w:szCs w:val="30"/>
    </w:rPr>
  </w:style>
  <w:style w:type="paragraph" w:styleId="811">
    <w:name w:val="Heading 4"/>
    <w:basedOn w:val="975"/>
    <w:next w:val="975"/>
    <w:link w:val="8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12">
    <w:name w:val="Heading 4 Char"/>
    <w:basedOn w:val="978"/>
    <w:link w:val="811"/>
    <w:uiPriority w:val="9"/>
    <w:rPr>
      <w:rFonts w:ascii="Arial" w:hAnsi="Arial" w:eastAsia="Arial" w:cs="Arial"/>
      <w:b/>
      <w:bCs/>
      <w:sz w:val="26"/>
      <w:szCs w:val="26"/>
    </w:rPr>
  </w:style>
  <w:style w:type="paragraph" w:styleId="813">
    <w:name w:val="Heading 5"/>
    <w:basedOn w:val="975"/>
    <w:next w:val="975"/>
    <w:link w:val="8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14">
    <w:name w:val="Heading 5 Char"/>
    <w:basedOn w:val="978"/>
    <w:link w:val="813"/>
    <w:uiPriority w:val="9"/>
    <w:rPr>
      <w:rFonts w:ascii="Arial" w:hAnsi="Arial" w:eastAsia="Arial" w:cs="Arial"/>
      <w:b/>
      <w:bCs/>
      <w:sz w:val="24"/>
      <w:szCs w:val="24"/>
    </w:rPr>
  </w:style>
  <w:style w:type="paragraph" w:styleId="815">
    <w:name w:val="Heading 6"/>
    <w:basedOn w:val="975"/>
    <w:next w:val="975"/>
    <w:link w:val="8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6">
    <w:name w:val="Heading 6 Char"/>
    <w:basedOn w:val="978"/>
    <w:link w:val="815"/>
    <w:uiPriority w:val="9"/>
    <w:rPr>
      <w:rFonts w:ascii="Arial" w:hAnsi="Arial" w:eastAsia="Arial" w:cs="Arial"/>
      <w:b/>
      <w:bCs/>
      <w:sz w:val="22"/>
      <w:szCs w:val="22"/>
    </w:rPr>
  </w:style>
  <w:style w:type="paragraph" w:styleId="817">
    <w:name w:val="Heading 7"/>
    <w:basedOn w:val="975"/>
    <w:next w:val="975"/>
    <w:link w:val="8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8">
    <w:name w:val="Heading 7 Char"/>
    <w:basedOn w:val="978"/>
    <w:link w:val="8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19">
    <w:name w:val="Heading 8"/>
    <w:basedOn w:val="975"/>
    <w:next w:val="975"/>
    <w:link w:val="8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0">
    <w:name w:val="Heading 8 Char"/>
    <w:basedOn w:val="978"/>
    <w:link w:val="819"/>
    <w:uiPriority w:val="9"/>
    <w:rPr>
      <w:rFonts w:ascii="Arial" w:hAnsi="Arial" w:eastAsia="Arial" w:cs="Arial"/>
      <w:i/>
      <w:iCs/>
      <w:sz w:val="22"/>
      <w:szCs w:val="22"/>
    </w:rPr>
  </w:style>
  <w:style w:type="paragraph" w:styleId="821">
    <w:name w:val="Heading 9"/>
    <w:basedOn w:val="975"/>
    <w:next w:val="975"/>
    <w:link w:val="8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2">
    <w:name w:val="Heading 9 Char"/>
    <w:basedOn w:val="978"/>
    <w:link w:val="821"/>
    <w:uiPriority w:val="9"/>
    <w:rPr>
      <w:rFonts w:ascii="Arial" w:hAnsi="Arial" w:eastAsia="Arial" w:cs="Arial"/>
      <w:i/>
      <w:iCs/>
      <w:sz w:val="21"/>
      <w:szCs w:val="21"/>
    </w:rPr>
  </w:style>
  <w:style w:type="paragraph" w:styleId="823">
    <w:name w:val="No Spacing"/>
    <w:uiPriority w:val="1"/>
    <w:qFormat/>
    <w:pPr>
      <w:spacing w:before="0" w:after="0" w:line="240" w:lineRule="auto"/>
    </w:pPr>
  </w:style>
  <w:style w:type="character" w:styleId="824">
    <w:name w:val="Title Char"/>
    <w:basedOn w:val="978"/>
    <w:link w:val="1013"/>
    <w:uiPriority w:val="10"/>
    <w:rPr>
      <w:sz w:val="48"/>
      <w:szCs w:val="48"/>
    </w:rPr>
  </w:style>
  <w:style w:type="paragraph" w:styleId="825">
    <w:name w:val="Subtitle"/>
    <w:basedOn w:val="975"/>
    <w:next w:val="975"/>
    <w:link w:val="826"/>
    <w:uiPriority w:val="11"/>
    <w:qFormat/>
    <w:pPr>
      <w:spacing w:before="200" w:after="200"/>
    </w:pPr>
    <w:rPr>
      <w:sz w:val="24"/>
      <w:szCs w:val="24"/>
    </w:rPr>
  </w:style>
  <w:style w:type="character" w:styleId="826">
    <w:name w:val="Subtitle Char"/>
    <w:basedOn w:val="978"/>
    <w:link w:val="825"/>
    <w:uiPriority w:val="11"/>
    <w:rPr>
      <w:sz w:val="24"/>
      <w:szCs w:val="24"/>
    </w:rPr>
  </w:style>
  <w:style w:type="paragraph" w:styleId="827">
    <w:name w:val="Quote"/>
    <w:basedOn w:val="975"/>
    <w:next w:val="975"/>
    <w:link w:val="828"/>
    <w:uiPriority w:val="29"/>
    <w:qFormat/>
    <w:pPr>
      <w:ind w:left="720" w:right="720"/>
    </w:pPr>
    <w:rPr>
      <w:i/>
    </w:rPr>
  </w:style>
  <w:style w:type="character" w:styleId="828">
    <w:name w:val="Quote Char"/>
    <w:link w:val="827"/>
    <w:uiPriority w:val="29"/>
    <w:rPr>
      <w:i/>
    </w:rPr>
  </w:style>
  <w:style w:type="paragraph" w:styleId="829">
    <w:name w:val="Intense Quote"/>
    <w:basedOn w:val="975"/>
    <w:next w:val="975"/>
    <w:link w:val="8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0">
    <w:name w:val="Intense Quote Char"/>
    <w:link w:val="829"/>
    <w:uiPriority w:val="30"/>
    <w:rPr>
      <w:i/>
    </w:rPr>
  </w:style>
  <w:style w:type="character" w:styleId="831">
    <w:name w:val="Header Char"/>
    <w:basedOn w:val="978"/>
    <w:link w:val="986"/>
    <w:uiPriority w:val="99"/>
  </w:style>
  <w:style w:type="character" w:styleId="832">
    <w:name w:val="Footer Char"/>
    <w:basedOn w:val="978"/>
    <w:link w:val="999"/>
    <w:uiPriority w:val="99"/>
  </w:style>
  <w:style w:type="paragraph" w:styleId="833">
    <w:name w:val="Caption"/>
    <w:basedOn w:val="975"/>
    <w:next w:val="975"/>
    <w:link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4">
    <w:name w:val="Caption Char"/>
    <w:basedOn w:val="833"/>
    <w:link w:val="999"/>
    <w:uiPriority w:val="99"/>
  </w:style>
  <w:style w:type="table" w:styleId="835">
    <w:name w:val="Table Grid Light"/>
    <w:basedOn w:val="9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Plain Table 1"/>
    <w:basedOn w:val="9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7">
    <w:name w:val="Plain Table 2"/>
    <w:basedOn w:val="9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8">
    <w:name w:val="Plain Table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9">
    <w:name w:val="Plain Table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Plain Table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1">
    <w:name w:val="Grid Table 1 Light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Grid Table 1 Light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1 Light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4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3">
    <w:name w:val="Grid Table 4 - Accent 1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4">
    <w:name w:val="Grid Table 4 - Accent 2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5">
    <w:name w:val="Grid Table 4 - Accent 3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6">
    <w:name w:val="Grid Table 4 - Accent 4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7">
    <w:name w:val="Grid Table 4 - Accent 5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8">
    <w:name w:val="Grid Table 4 - Accent 6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9">
    <w:name w:val="Grid Table 5 Dark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0">
    <w:name w:val="Grid Table 5 Dark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1">
    <w:name w:val="Grid Table 5 Dark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3">
    <w:name w:val="Grid Table 5 Dark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4">
    <w:name w:val="Grid Table 5 Dark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5">
    <w:name w:val="Grid Table 5 Dark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6">
    <w:name w:val="Grid Table 6 Colorful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7">
    <w:name w:val="Grid Table 6 Colorful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8">
    <w:name w:val="Grid Table 6 Colorful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9">
    <w:name w:val="Grid Table 6 Colorful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0">
    <w:name w:val="Grid Table 6 Colorful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1">
    <w:name w:val="Grid Table 6 Colorful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2">
    <w:name w:val="Grid Table 6 Colorful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3">
    <w:name w:val="Grid Table 7 Colorful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8">
    <w:name w:val="List Table 2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9">
    <w:name w:val="List Table 2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0">
    <w:name w:val="List Table 2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1">
    <w:name w:val="List Table 2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2">
    <w:name w:val="List Table 2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3">
    <w:name w:val="List Table 2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4">
    <w:name w:val="List Table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3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3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5 Dark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9">
    <w:name w:val="List Table 5 Dark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5 Dark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5">
    <w:name w:val="List Table 6 Colorful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6">
    <w:name w:val="List Table 6 Colorful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7">
    <w:name w:val="List Table 6 Colorful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8">
    <w:name w:val="List Table 6 Colorful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9">
    <w:name w:val="List Table 6 Colorful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0">
    <w:name w:val="List Table 6 Colorful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1">
    <w:name w:val="List Table 6 Colorful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2">
    <w:name w:val="List Table 7 Colorful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3">
    <w:name w:val="List Table 7 Colorful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4">
    <w:name w:val="List Table 7 Colorful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5">
    <w:name w:val="List Table 7 Colorful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6">
    <w:name w:val="List Table 7 Colorful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7">
    <w:name w:val="List Table 7 Colorful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8">
    <w:name w:val="List Table 7 Colorful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9">
    <w:name w:val="Lined - Accent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0">
    <w:name w:val="Lined - Accent 1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1">
    <w:name w:val="Lined - Accent 2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2">
    <w:name w:val="Lined - Accent 3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3">
    <w:name w:val="Lined - Accent 4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4">
    <w:name w:val="Lined - Accent 5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5">
    <w:name w:val="Lined - Accent 6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6">
    <w:name w:val="Bordered &amp; Lined - Accent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7">
    <w:name w:val="Bordered &amp; Lined - Accent 1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8">
    <w:name w:val="Bordered &amp; Lined - Accent 2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9">
    <w:name w:val="Bordered &amp; Lined - Accent 3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0">
    <w:name w:val="Bordered &amp; Lined - Accent 4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1">
    <w:name w:val="Bordered &amp; Lined - Accent 5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2">
    <w:name w:val="Bordered &amp; Lined - Accent 6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3">
    <w:name w:val="Bordered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4">
    <w:name w:val="Bordered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5">
    <w:name w:val="Bordered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6">
    <w:name w:val="Bordered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7">
    <w:name w:val="Bordered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8">
    <w:name w:val="Bordered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9">
    <w:name w:val="Bordered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0">
    <w:name w:val="Footnote Text Char"/>
    <w:link w:val="1001"/>
    <w:uiPriority w:val="99"/>
    <w:rPr>
      <w:sz w:val="18"/>
    </w:rPr>
  </w:style>
  <w:style w:type="paragraph" w:styleId="961">
    <w:name w:val="endnote text"/>
    <w:basedOn w:val="975"/>
    <w:link w:val="962"/>
    <w:uiPriority w:val="99"/>
    <w:semiHidden/>
    <w:unhideWhenUsed/>
    <w:pPr>
      <w:spacing w:after="0" w:line="240" w:lineRule="auto"/>
    </w:pPr>
    <w:rPr>
      <w:sz w:val="20"/>
    </w:rPr>
  </w:style>
  <w:style w:type="character" w:styleId="962">
    <w:name w:val="Endnote Text Char"/>
    <w:link w:val="961"/>
    <w:uiPriority w:val="99"/>
    <w:rPr>
      <w:sz w:val="20"/>
    </w:rPr>
  </w:style>
  <w:style w:type="character" w:styleId="963">
    <w:name w:val="endnote reference"/>
    <w:basedOn w:val="978"/>
    <w:uiPriority w:val="99"/>
    <w:semiHidden/>
    <w:unhideWhenUsed/>
    <w:rPr>
      <w:vertAlign w:val="superscript"/>
    </w:rPr>
  </w:style>
  <w:style w:type="paragraph" w:styleId="964">
    <w:name w:val="toc 1"/>
    <w:basedOn w:val="975"/>
    <w:next w:val="975"/>
    <w:uiPriority w:val="39"/>
    <w:unhideWhenUsed/>
    <w:pPr>
      <w:ind w:left="0" w:right="0" w:firstLine="0"/>
      <w:spacing w:after="57"/>
    </w:pPr>
  </w:style>
  <w:style w:type="paragraph" w:styleId="965">
    <w:name w:val="toc 2"/>
    <w:basedOn w:val="975"/>
    <w:next w:val="975"/>
    <w:uiPriority w:val="39"/>
    <w:unhideWhenUsed/>
    <w:pPr>
      <w:ind w:left="283" w:right="0" w:firstLine="0"/>
      <w:spacing w:after="57"/>
    </w:pPr>
  </w:style>
  <w:style w:type="paragraph" w:styleId="966">
    <w:name w:val="toc 3"/>
    <w:basedOn w:val="975"/>
    <w:next w:val="975"/>
    <w:uiPriority w:val="39"/>
    <w:unhideWhenUsed/>
    <w:pPr>
      <w:ind w:left="567" w:right="0" w:firstLine="0"/>
      <w:spacing w:after="57"/>
    </w:pPr>
  </w:style>
  <w:style w:type="paragraph" w:styleId="967">
    <w:name w:val="toc 4"/>
    <w:basedOn w:val="975"/>
    <w:next w:val="975"/>
    <w:uiPriority w:val="39"/>
    <w:unhideWhenUsed/>
    <w:pPr>
      <w:ind w:left="850" w:right="0" w:firstLine="0"/>
      <w:spacing w:after="57"/>
    </w:pPr>
  </w:style>
  <w:style w:type="paragraph" w:styleId="968">
    <w:name w:val="toc 5"/>
    <w:basedOn w:val="975"/>
    <w:next w:val="975"/>
    <w:uiPriority w:val="39"/>
    <w:unhideWhenUsed/>
    <w:pPr>
      <w:ind w:left="1134" w:right="0" w:firstLine="0"/>
      <w:spacing w:after="57"/>
    </w:pPr>
  </w:style>
  <w:style w:type="paragraph" w:styleId="969">
    <w:name w:val="toc 6"/>
    <w:basedOn w:val="975"/>
    <w:next w:val="975"/>
    <w:uiPriority w:val="39"/>
    <w:unhideWhenUsed/>
    <w:pPr>
      <w:ind w:left="1417" w:right="0" w:firstLine="0"/>
      <w:spacing w:after="57"/>
    </w:pPr>
  </w:style>
  <w:style w:type="paragraph" w:styleId="970">
    <w:name w:val="toc 7"/>
    <w:basedOn w:val="975"/>
    <w:next w:val="975"/>
    <w:uiPriority w:val="39"/>
    <w:unhideWhenUsed/>
    <w:pPr>
      <w:ind w:left="1701" w:right="0" w:firstLine="0"/>
      <w:spacing w:after="57"/>
    </w:pPr>
  </w:style>
  <w:style w:type="paragraph" w:styleId="971">
    <w:name w:val="toc 8"/>
    <w:basedOn w:val="975"/>
    <w:next w:val="975"/>
    <w:uiPriority w:val="39"/>
    <w:unhideWhenUsed/>
    <w:pPr>
      <w:ind w:left="1984" w:right="0" w:firstLine="0"/>
      <w:spacing w:after="57"/>
    </w:pPr>
  </w:style>
  <w:style w:type="paragraph" w:styleId="972">
    <w:name w:val="toc 9"/>
    <w:basedOn w:val="975"/>
    <w:next w:val="975"/>
    <w:uiPriority w:val="39"/>
    <w:unhideWhenUsed/>
    <w:pPr>
      <w:ind w:left="2268" w:right="0" w:firstLine="0"/>
      <w:spacing w:after="57"/>
    </w:pPr>
  </w:style>
  <w:style w:type="paragraph" w:styleId="973">
    <w:name w:val="TOC Heading"/>
    <w:uiPriority w:val="39"/>
    <w:unhideWhenUsed/>
  </w:style>
  <w:style w:type="paragraph" w:styleId="974">
    <w:name w:val="table of figures"/>
    <w:basedOn w:val="975"/>
    <w:next w:val="975"/>
    <w:uiPriority w:val="99"/>
    <w:unhideWhenUsed/>
    <w:pPr>
      <w:spacing w:after="0" w:afterAutospacing="0"/>
    </w:pPr>
  </w:style>
  <w:style w:type="paragraph" w:styleId="975" w:default="1">
    <w:name w:val="Normal"/>
    <w:qFormat/>
    <w:rPr>
      <w:sz w:val="28"/>
      <w:szCs w:val="28"/>
    </w:rPr>
  </w:style>
  <w:style w:type="paragraph" w:styleId="976">
    <w:name w:val="Heading 1"/>
    <w:basedOn w:val="975"/>
    <w:next w:val="975"/>
    <w:link w:val="1011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</w:rPr>
  </w:style>
  <w:style w:type="paragraph" w:styleId="977">
    <w:name w:val="Heading 2"/>
    <w:basedOn w:val="975"/>
    <w:next w:val="975"/>
    <w:link w:val="981"/>
    <w:uiPriority w:val="99"/>
    <w:qFormat/>
    <w:pPr>
      <w:jc w:val="center"/>
      <w:keepNext/>
      <w:framePr w:hSpace="180" w:wrap="auto" w:vAnchor="text" w:hAnchor="page" w:x="1054" w:y="182"/>
      <w:outlineLvl w:val="1"/>
    </w:pPr>
    <w:rPr>
      <w:b/>
      <w:bCs/>
      <w:sz w:val="16"/>
      <w:szCs w:val="16"/>
    </w:rPr>
  </w:style>
  <w:style w:type="character" w:styleId="978" w:default="1">
    <w:name w:val="Default Paragraph Font"/>
    <w:uiPriority w:val="1"/>
    <w:semiHidden/>
    <w:unhideWhenUsed/>
  </w:style>
  <w:style w:type="table" w:styleId="9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0" w:default="1">
    <w:name w:val="No List"/>
    <w:uiPriority w:val="99"/>
    <w:semiHidden/>
    <w:unhideWhenUsed/>
  </w:style>
  <w:style w:type="character" w:styleId="981" w:customStyle="1">
    <w:name w:val="Заголовок 2 Знак"/>
    <w:basedOn w:val="978"/>
    <w:link w:val="977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982">
    <w:name w:val="Body Text Indent"/>
    <w:basedOn w:val="975"/>
    <w:link w:val="983"/>
    <w:uiPriority w:val="99"/>
    <w:pPr>
      <w:ind w:firstLine="708"/>
      <w:jc w:val="both"/>
    </w:pPr>
  </w:style>
  <w:style w:type="character" w:styleId="983" w:customStyle="1">
    <w:name w:val="Основной текст с отступом Знак"/>
    <w:basedOn w:val="978"/>
    <w:link w:val="982"/>
    <w:uiPriority w:val="99"/>
    <w:semiHidden/>
    <w:rPr>
      <w:sz w:val="28"/>
      <w:szCs w:val="28"/>
    </w:rPr>
  </w:style>
  <w:style w:type="paragraph" w:styleId="984">
    <w:name w:val="Body Text"/>
    <w:basedOn w:val="975"/>
    <w:link w:val="985"/>
    <w:uiPriority w:val="99"/>
    <w:pPr>
      <w:jc w:val="both"/>
    </w:pPr>
  </w:style>
  <w:style w:type="character" w:styleId="985" w:customStyle="1">
    <w:name w:val="Основной текст Знак"/>
    <w:basedOn w:val="978"/>
    <w:link w:val="984"/>
    <w:uiPriority w:val="99"/>
    <w:semiHidden/>
    <w:rPr>
      <w:sz w:val="28"/>
      <w:szCs w:val="28"/>
    </w:rPr>
  </w:style>
  <w:style w:type="paragraph" w:styleId="986">
    <w:name w:val="Header"/>
    <w:basedOn w:val="975"/>
    <w:link w:val="987"/>
    <w:uiPriority w:val="99"/>
    <w:pPr>
      <w:tabs>
        <w:tab w:val="center" w:pos="4677" w:leader="none"/>
        <w:tab w:val="right" w:pos="9355" w:leader="none"/>
      </w:tabs>
    </w:pPr>
  </w:style>
  <w:style w:type="character" w:styleId="987" w:customStyle="1">
    <w:name w:val="Верхний колонтитул Знак"/>
    <w:basedOn w:val="978"/>
    <w:link w:val="986"/>
    <w:uiPriority w:val="99"/>
    <w:rPr>
      <w:sz w:val="28"/>
      <w:szCs w:val="28"/>
    </w:rPr>
  </w:style>
  <w:style w:type="character" w:styleId="988">
    <w:name w:val="page number"/>
    <w:basedOn w:val="978"/>
    <w:uiPriority w:val="99"/>
  </w:style>
  <w:style w:type="paragraph" w:styleId="989">
    <w:name w:val="Body Text 2"/>
    <w:basedOn w:val="975"/>
    <w:link w:val="990"/>
    <w:uiPriority w:val="99"/>
    <w:pPr>
      <w:jc w:val="center"/>
      <w:framePr w:hSpace="180" w:wrap="auto" w:vAnchor="text" w:hAnchor="page" w:x="1054" w:y="182"/>
    </w:pPr>
    <w:rPr>
      <w:b/>
      <w:bCs/>
      <w:sz w:val="22"/>
      <w:szCs w:val="22"/>
    </w:rPr>
  </w:style>
  <w:style w:type="character" w:styleId="990" w:customStyle="1">
    <w:name w:val="Основной текст 2 Знак"/>
    <w:basedOn w:val="978"/>
    <w:link w:val="989"/>
    <w:uiPriority w:val="99"/>
    <w:semiHidden/>
    <w:rPr>
      <w:sz w:val="28"/>
      <w:szCs w:val="28"/>
    </w:rPr>
  </w:style>
  <w:style w:type="paragraph" w:styleId="991">
    <w:name w:val="Body Text 3"/>
    <w:basedOn w:val="975"/>
    <w:link w:val="992"/>
    <w:uiPriority w:val="99"/>
    <w:pPr>
      <w:jc w:val="center"/>
    </w:pPr>
  </w:style>
  <w:style w:type="character" w:styleId="992" w:customStyle="1">
    <w:name w:val="Основной текст 3 Знак"/>
    <w:basedOn w:val="978"/>
    <w:link w:val="991"/>
    <w:uiPriority w:val="99"/>
    <w:semiHidden/>
    <w:rPr>
      <w:sz w:val="16"/>
      <w:szCs w:val="16"/>
    </w:rPr>
  </w:style>
  <w:style w:type="paragraph" w:styleId="993">
    <w:name w:val="Body Text Indent 2"/>
    <w:basedOn w:val="975"/>
    <w:link w:val="994"/>
    <w:uiPriority w:val="99"/>
    <w:pPr>
      <w:ind w:firstLine="709"/>
      <w:jc w:val="both"/>
    </w:pPr>
    <w:rPr>
      <w:sz w:val="26"/>
      <w:szCs w:val="26"/>
    </w:rPr>
  </w:style>
  <w:style w:type="character" w:styleId="994" w:customStyle="1">
    <w:name w:val="Основной текст с отступом 2 Знак"/>
    <w:basedOn w:val="978"/>
    <w:link w:val="993"/>
    <w:uiPriority w:val="99"/>
    <w:semiHidden/>
    <w:rPr>
      <w:sz w:val="28"/>
      <w:szCs w:val="28"/>
    </w:rPr>
  </w:style>
  <w:style w:type="paragraph" w:styleId="995">
    <w:name w:val="Body Text Indent 3"/>
    <w:basedOn w:val="975"/>
    <w:link w:val="996"/>
    <w:uiPriority w:val="99"/>
    <w:pPr>
      <w:ind w:firstLine="851"/>
    </w:pPr>
  </w:style>
  <w:style w:type="character" w:styleId="996" w:customStyle="1">
    <w:name w:val="Основной текст с отступом 3 Знак"/>
    <w:basedOn w:val="978"/>
    <w:link w:val="995"/>
    <w:uiPriority w:val="99"/>
    <w:semiHidden/>
    <w:rPr>
      <w:sz w:val="16"/>
      <w:szCs w:val="16"/>
    </w:rPr>
  </w:style>
  <w:style w:type="paragraph" w:styleId="997">
    <w:name w:val="Balloon Text"/>
    <w:basedOn w:val="975"/>
    <w:link w:val="998"/>
    <w:uiPriority w:val="99"/>
    <w:semiHidden/>
    <w:rPr>
      <w:rFonts w:ascii="Tahoma" w:hAnsi="Tahoma" w:cs="Tahoma"/>
      <w:sz w:val="16"/>
      <w:szCs w:val="16"/>
    </w:rPr>
  </w:style>
  <w:style w:type="character" w:styleId="998" w:customStyle="1">
    <w:name w:val="Текст выноски Знак"/>
    <w:basedOn w:val="978"/>
    <w:link w:val="997"/>
    <w:uiPriority w:val="99"/>
    <w:semiHidden/>
    <w:rPr>
      <w:sz w:val="2"/>
      <w:szCs w:val="2"/>
    </w:rPr>
  </w:style>
  <w:style w:type="paragraph" w:styleId="999">
    <w:name w:val="Footer"/>
    <w:basedOn w:val="975"/>
    <w:link w:val="1000"/>
    <w:pPr>
      <w:tabs>
        <w:tab w:val="center" w:pos="4677" w:leader="none"/>
        <w:tab w:val="right" w:pos="9355" w:leader="none"/>
      </w:tabs>
    </w:pPr>
  </w:style>
  <w:style w:type="character" w:styleId="1000" w:customStyle="1">
    <w:name w:val="Нижний колонтитул Знак"/>
    <w:basedOn w:val="978"/>
    <w:link w:val="999"/>
    <w:rPr>
      <w:sz w:val="28"/>
      <w:szCs w:val="28"/>
    </w:rPr>
  </w:style>
  <w:style w:type="paragraph" w:styleId="1001">
    <w:name w:val="footnote text"/>
    <w:basedOn w:val="975"/>
    <w:link w:val="1002"/>
    <w:uiPriority w:val="99"/>
    <w:qFormat/>
    <w:rPr>
      <w:sz w:val="20"/>
      <w:szCs w:val="20"/>
    </w:rPr>
  </w:style>
  <w:style w:type="character" w:styleId="1002" w:customStyle="1">
    <w:name w:val="Текст сноски Знак"/>
    <w:basedOn w:val="978"/>
    <w:link w:val="1001"/>
  </w:style>
  <w:style w:type="character" w:styleId="1003">
    <w:name w:val="footnote reference"/>
    <w:basedOn w:val="978"/>
    <w:uiPriority w:val="99"/>
    <w:qFormat/>
    <w:rPr>
      <w:vertAlign w:val="superscript"/>
    </w:rPr>
  </w:style>
  <w:style w:type="paragraph" w:styleId="1004">
    <w:name w:val="Plain Text"/>
    <w:basedOn w:val="975"/>
    <w:link w:val="1005"/>
    <w:uiPriority w:val="99"/>
    <w:semiHidden/>
    <w:unhideWhenUsed/>
    <w:rPr>
      <w:rFonts w:ascii="Consolas" w:hAnsi="Consolas" w:eastAsia="Calibri"/>
      <w:sz w:val="22"/>
      <w:szCs w:val="21"/>
      <w:lang w:eastAsia="en-US"/>
    </w:rPr>
  </w:style>
  <w:style w:type="character" w:styleId="1005" w:customStyle="1">
    <w:name w:val="Текст Знак"/>
    <w:basedOn w:val="978"/>
    <w:link w:val="1004"/>
    <w:uiPriority w:val="99"/>
    <w:semiHidden/>
    <w:rPr>
      <w:rFonts w:ascii="Consolas" w:hAnsi="Consolas" w:eastAsia="Calibri" w:cs="Times New Roman"/>
      <w:sz w:val="22"/>
      <w:szCs w:val="21"/>
      <w:lang w:eastAsia="en-US"/>
    </w:rPr>
  </w:style>
  <w:style w:type="character" w:styleId="1006" w:customStyle="1">
    <w:name w:val="navigation-current-item"/>
    <w:basedOn w:val="978"/>
  </w:style>
  <w:style w:type="character" w:styleId="1007">
    <w:name w:val="Hyperlink"/>
    <w:basedOn w:val="978"/>
    <w:uiPriority w:val="99"/>
    <w:unhideWhenUsed/>
    <w:rPr>
      <w:color w:val="0000ff"/>
      <w:u w:val="single"/>
    </w:rPr>
  </w:style>
  <w:style w:type="character" w:styleId="1008" w:customStyle="1">
    <w:name w:val="Текст сноски Знак1"/>
    <w:basedOn w:val="978"/>
    <w:uiPriority w:val="99"/>
    <w:semiHidden/>
    <w:rPr>
      <w:rFonts w:ascii="Times New Roman" w:hAnsi="Times New Roman" w:eastAsia="Times New Roman"/>
    </w:rPr>
  </w:style>
  <w:style w:type="character" w:styleId="1009" w:customStyle="1">
    <w:name w:val="apple-converted-space"/>
    <w:basedOn w:val="978"/>
  </w:style>
  <w:style w:type="character" w:styleId="1010" w:customStyle="1">
    <w:name w:val="Текст сноски Знак2"/>
    <w:basedOn w:val="978"/>
    <w:uiPriority w:val="99"/>
  </w:style>
  <w:style w:type="character" w:styleId="1011" w:customStyle="1">
    <w:name w:val="Заголовок 1 Знак"/>
    <w:basedOn w:val="978"/>
    <w:link w:val="976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1012">
    <w:name w:val="List Paragraph"/>
    <w:basedOn w:val="975"/>
    <w:uiPriority w:val="99"/>
    <w:qFormat/>
    <w:pPr>
      <w:ind w:left="720"/>
    </w:pPr>
    <w:rPr>
      <w:sz w:val="24"/>
      <w:szCs w:val="24"/>
    </w:rPr>
  </w:style>
  <w:style w:type="paragraph" w:styleId="1013">
    <w:name w:val="Title"/>
    <w:basedOn w:val="975"/>
    <w:next w:val="975"/>
    <w:link w:val="1014"/>
    <w:qFormat/>
    <w:pPr>
      <w:contextualSpacing/>
      <w:spacing w:after="300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1014" w:customStyle="1">
    <w:name w:val="Заголовок Знак"/>
    <w:basedOn w:val="978"/>
    <w:link w:val="1013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1015">
    <w:name w:val="Emphasis"/>
    <w:basedOn w:val="978"/>
    <w:qFormat/>
    <w:rPr>
      <w:i/>
      <w:iCs/>
    </w:rPr>
  </w:style>
  <w:style w:type="paragraph" w:styleId="1016" w:customStyle="1">
    <w:name w:val="Содержимое таблицы"/>
    <w:basedOn w:val="975"/>
    <w:qFormat/>
    <w:pPr>
      <w:jc w:val="center"/>
      <w:widowControl w:val="off"/>
    </w:pPr>
    <w:rPr>
      <w:rFonts w:ascii="PT Astra Serif" w:hAnsi="PT Astra Serif" w:eastAsia="Source Han Sans CN Regular" w:cs="Lohit Devanagari"/>
      <w:szCs w:val="24"/>
      <w:lang w:bidi="ru-RU"/>
    </w:rPr>
  </w:style>
  <w:style w:type="paragraph" w:styleId="1017" w:customStyle="1">
    <w:name w:val="Текст в заданном формате"/>
    <w:basedOn w:val="975"/>
    <w:qFormat/>
    <w:pPr>
      <w:jc w:val="center"/>
      <w:widowControl w:val="off"/>
    </w:pPr>
    <w:rPr>
      <w:rFonts w:ascii="PT Astra Serif" w:hAnsi="PT Astra Serif" w:eastAsia="Source Han Sans CN Regular" w:cs="Lohit Devanagari"/>
      <w:szCs w:val="24"/>
      <w:lang w:bidi="ru-RU"/>
    </w:rPr>
  </w:style>
  <w:style w:type="table" w:styleId="1018">
    <w:name w:val="Table Grid"/>
    <w:basedOn w:val="97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19" w:customStyle="1">
    <w:name w:val="subjectvalue"/>
    <w:basedOn w:val="912"/>
  </w:style>
  <w:style w:type="paragraph" w:styleId="1020" w:customStyle="1">
    <w:name w:val="ConsPlusNormal"/>
    <w:link w:val="939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021" w:customStyle="1">
    <w:name w:val="Con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nsultant" w:hAnsi="Consultant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2" w:customStyle="1">
    <w:name w:val="Style18"/>
    <w:uiPriority w:val="99"/>
    <w:pPr>
      <w:contextualSpacing w:val="0"/>
      <w:ind w:left="0" w:right="0" w:firstLine="605"/>
      <w:jc w:val="both"/>
      <w:keepLines w:val="0"/>
      <w:keepNext w:val="0"/>
      <w:pageBreakBefore w:val="0"/>
      <w:spacing w:before="0" w:beforeAutospacing="0" w:after="0" w:afterAutospacing="0" w:line="276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23" w:customStyle="1">
    <w:name w:val="Font Style109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1024" w:customStyle="1">
    <w:name w:val="List 2"/>
    <w:basedOn w:val="901"/>
    <w:pPr>
      <w:contextualSpacing w:val="0"/>
      <w:ind w:left="566" w:right="0" w:hanging="283"/>
      <w:jc w:val="both"/>
      <w:keepLines w:val="0"/>
      <w:keepNext w:val="0"/>
      <w:pageBreakBefore w:val="0"/>
      <w:spacing w:before="0" w:beforeAutospacing="0" w:after="6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76295-2B94-4354-A332-BCF31264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ГУ ФРС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Семенов Алексей Михайлович</dc:creator>
  <cp:revision>30</cp:revision>
  <dcterms:created xsi:type="dcterms:W3CDTF">2024-11-13T08:22:00Z</dcterms:created>
  <dcterms:modified xsi:type="dcterms:W3CDTF">2026-07-22T06:48:31Z</dcterms:modified>
</cp:coreProperties>
</file>