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ЦК))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подготовки </w:t>
      </w:r>
      <w:r>
        <w:rPr>
          <w:rFonts w:ascii="Times New Roman" w:hAnsi="Times New Roman" w:cs="Times New Roman"/>
          <w:sz w:val="28"/>
          <w:szCs w:val="28"/>
        </w:rPr>
        <w:t xml:space="preserve">обоснования НМЦ</w:t>
      </w:r>
      <w:r>
        <w:rPr>
          <w:rFonts w:ascii="Times New Roman" w:hAnsi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cs="Times New Roman"/>
          <w:sz w:val="28"/>
          <w:szCs w:val="28"/>
        </w:rPr>
        <w:t xml:space="preserve">ЦК) 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контракта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казание услуг по техническому обслуживанию </w:t>
      </w:r>
      <w:r>
        <w:rPr>
          <w:rFonts w:ascii="Times New Roman" w:hAnsi="Times New Roman" w:cs="Times New Roman"/>
          <w:sz w:val="28"/>
          <w:szCs w:val="28"/>
        </w:rPr>
        <w:t xml:space="preserve">газового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для нужд Управления Федерального казначейства по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(прочая закупка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Используемый метод определения НМЦК (ЦК)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методом сопостави</w:t>
      </w:r>
      <w:r>
        <w:rPr>
          <w:rFonts w:ascii="Times New Roman" w:hAnsi="Times New Roman" w:cs="Times New Roman"/>
          <w:sz w:val="28"/>
          <w:szCs w:val="28"/>
        </w:rPr>
        <w:t xml:space="preserve">мых рыночных цен (анализ рынка).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запросов ценовой информации (в </w:t>
      </w:r>
      <w:r>
        <w:rPr>
          <w:rFonts w:ascii="Times New Roman" w:hAnsi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cs="Times New Roman"/>
          <w:sz w:val="28"/>
          <w:szCs w:val="28"/>
        </w:rPr>
        <w:t xml:space="preserve">. в ЕИС)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Запрос направлен в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организаций: </w:t>
      </w: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.05.2026 № 56-08-15/2</w:t>
      </w:r>
      <w:r>
        <w:rPr>
          <w:rFonts w:ascii="Times New Roman" w:hAnsi="Times New Roman" w:cs="Times New Roman"/>
          <w:sz w:val="28"/>
          <w:szCs w:val="28"/>
        </w:rPr>
        <w:t xml:space="preserve">353</w:t>
      </w:r>
      <w:r>
        <w:rPr>
          <w:rFonts w:ascii="Times New Roman" w:hAnsi="Times New Roman" w:cs="Times New Roman"/>
          <w:sz w:val="28"/>
          <w:szCs w:val="28"/>
        </w:rPr>
        <w:t xml:space="preserve">; ЕИС № 085840000012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000</w:t>
      </w:r>
      <w:r>
        <w:rPr>
          <w:rFonts w:ascii="Times New Roman" w:hAnsi="Times New Roman" w:cs="Times New Roman"/>
          <w:sz w:val="28"/>
          <w:szCs w:val="28"/>
        </w:rPr>
        <w:t xml:space="preserve">235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твет получен от 3 (трех)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данной информации произведен расчет НМЦК (ЦК): </w:t>
      </w:r>
      <w:r>
        <w:rPr>
          <w:rFonts w:ascii="Times New Roman" w:hAnsi="Times New Roman" w:cs="Times New Roman"/>
          <w:sz w:val="28"/>
          <w:szCs w:val="28"/>
        </w:rPr>
        <w:t xml:space="preserve">Источник № 1 – 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.2026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62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, Источник № 2 – 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628</w:t>
      </w:r>
      <w:r>
        <w:rPr>
          <w:rFonts w:ascii="Times New Roman" w:hAnsi="Times New Roman" w:cs="Times New Roman"/>
          <w:sz w:val="28"/>
          <w:szCs w:val="28"/>
        </w:rPr>
        <w:t xml:space="preserve">, Источник № 3 – 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05</w:t>
      </w:r>
      <w:r>
        <w:rPr>
          <w:rFonts w:ascii="Times New Roman" w:hAnsi="Times New Roman" w:cs="Times New Roman"/>
          <w:sz w:val="28"/>
          <w:szCs w:val="28"/>
        </w:rPr>
        <w:t xml:space="preserve">.2026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626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НМЦК (ЦК) произведен по наименьшему коммерческому предложению </w:t>
      </w:r>
      <w:r>
        <w:rPr>
          <w:rFonts w:ascii="Times New Roman" w:hAnsi="Times New Roman" w:cs="Times New Roman"/>
          <w:sz w:val="28"/>
          <w:szCs w:val="28"/>
        </w:rPr>
        <w:t xml:space="preserve">Источник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hAnsi="Times New Roman" w:cs="Times New Roman"/>
          <w:sz w:val="28"/>
          <w:szCs w:val="28"/>
        </w:rPr>
        <w:t xml:space="preserve">26.05.2026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5627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tbl>
      <w:tblPr>
        <w:tblStyle w:val="875"/>
        <w:tblW w:w="4956" w:type="pct"/>
        <w:tblLayout w:type="fixed"/>
        <w:tblLook w:val="0000" w:firstRow="0" w:lastRow="0" w:firstColumn="0" w:lastColumn="0" w:noHBand="0" w:noVBand="0"/>
      </w:tblPr>
      <w:tblGrid>
        <w:gridCol w:w="533"/>
        <w:gridCol w:w="849"/>
        <w:gridCol w:w="2126"/>
        <w:gridCol w:w="849"/>
        <w:gridCol w:w="709"/>
        <w:gridCol w:w="709"/>
        <w:gridCol w:w="1133"/>
        <w:gridCol w:w="1277"/>
        <w:gridCol w:w="1133"/>
        <w:gridCol w:w="709"/>
        <w:gridCol w:w="1136"/>
        <w:gridCol w:w="1103"/>
        <w:gridCol w:w="1167"/>
        <w:gridCol w:w="996"/>
        <w:gridCol w:w="846"/>
      </w:tblGrid>
      <w:tr>
        <w:tblPrEx/>
        <w:trPr/>
        <w:tc>
          <w:tcPr>
            <w:tcW w:w="17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по КТРУ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согласно описанию объекта закупки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принад-лежность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gridSpan w:val="7"/>
            <w:tcW w:w="250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ЦК)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цена единицы товара (работы, услуги) в том числе с учетом ЛБО (руб.)</w:t>
            </w:r>
            <w:r>
              <w:rPr>
                <w:rStyle w:val="87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7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НМЦК (ЦК) /цена единицы товара (работы, услуги) с учетом ЛБО (руб.)</w:t>
            </w:r>
            <w:r>
              <w:rPr>
                <w:rStyle w:val="87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74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116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Ценовые значения анализа рынка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232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вариации (v)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2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Наименьшая цена за единицу 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1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 с учетом нормативных затрат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Итоговое значение НМЦК (ЦК) 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7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4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Источник №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Источник № 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7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1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8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7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4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1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8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7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75"/>
        <w:tblW w:w="4956" w:type="pct"/>
        <w:tblLayout w:type="fixed"/>
        <w:tblLook w:val="0000" w:firstRow="0" w:lastRow="0" w:firstColumn="0" w:lastColumn="0" w:noHBand="0" w:noVBand="0"/>
      </w:tblPr>
      <w:tblGrid>
        <w:gridCol w:w="533"/>
        <w:gridCol w:w="883"/>
        <w:gridCol w:w="2096"/>
        <w:gridCol w:w="855"/>
        <w:gridCol w:w="709"/>
        <w:gridCol w:w="709"/>
        <w:gridCol w:w="1130"/>
        <w:gridCol w:w="1277"/>
        <w:gridCol w:w="1133"/>
        <w:gridCol w:w="709"/>
        <w:gridCol w:w="1133"/>
        <w:gridCol w:w="1133"/>
        <w:gridCol w:w="1133"/>
        <w:gridCol w:w="993"/>
        <w:gridCol w:w="849"/>
      </w:tblGrid>
      <w:tr>
        <w:tblPrEx/>
        <w:trPr>
          <w:tblHeader/>
        </w:trPr>
        <w:tc>
          <w:tcPr>
            <w:tcW w:w="17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 w:type="page" w:clear="all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8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39"/>
        </w:trPr>
        <w:tc>
          <w:tcPr>
            <w:tcW w:w="17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8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емкостного водонагревателя АОГВ-17, 4-3 Siberia-17;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№ 9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346350, Ростовская область, Красносулинский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Красный Сулин,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Почтовая, д. 14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</w:p>
        </w:tc>
        <w:tc>
          <w:tcPr>
            <w:tcW w:w="2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</w:p>
        </w:tc>
        <w:tc>
          <w:tcPr>
            <w:tcW w:w="3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12500,00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12600,00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2,6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355 500,00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2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8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водонагревателя проточного газового,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НЕВА;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№ 9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346350, Ростовская область, Красносулинский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Красный Сулин,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Почтовая, д. 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</w:p>
        </w:tc>
        <w:tc>
          <w:tcPr>
            <w:tcW w:w="3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6200,00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6400,00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3,23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355 500,00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2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8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крана шарового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№ 9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346350, Ростовская область, Красносулинский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Красный Сулин,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Почтовая, д. 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</w:p>
        </w:tc>
        <w:tc>
          <w:tcPr>
            <w:tcW w:w="3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2100,00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2300,00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7,16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355 500,00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8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емкостного водонагревателя КСГВ-31.5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№ 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347512, Ростовская область, Орловский район, п. Орловский, ул. Коммунальная, д. 92/80а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</w:p>
        </w:tc>
        <w:tc>
          <w:tcPr>
            <w:tcW w:w="3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7500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2,42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355 500,00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8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плиты газовой 2-х конфорочной ПГ-2;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№ 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347512, Ростовская область, Орловский район, п. Орловский, ул. Коммунальная, д. 92/80а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</w:p>
        </w:tc>
        <w:tc>
          <w:tcPr>
            <w:tcW w:w="3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4100,00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4200,00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2,44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355 500,00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86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Осмотр технического состояния надземного газопровода - 0,07 км;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№ 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347512, Ростовская область, Орловский район, п. Орловский, ул. Коммунальная, д. 92/80а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</w:p>
        </w:tc>
        <w:tc>
          <w:tcPr>
            <w:tcW w:w="3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550,00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580,00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7,44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355 500,00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86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задвижки (кран) на фасадном наружном газопроводе до 50мм;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№ 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347512, Ростовская область, Орловский район, п. Орловский, ул. Коммунальная, д. 92/80а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</w:p>
        </w:tc>
        <w:tc>
          <w:tcPr>
            <w:tcW w:w="3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550,00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580,00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7,44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355 500,00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86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задвижки в надземном исполнении при диаметре до 50мм;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№ 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347512, Ростовская область, Орловский район, п. Орловский, ул. Коммунальная, д. 92/80а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</w:p>
        </w:tc>
        <w:tc>
          <w:tcPr>
            <w:tcW w:w="3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550,00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580,00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7,44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355 500,00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86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емкостного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водонагревателя АОГВ-40 (АОГВ-40 РОСС) (котельная);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№ 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346170, Ростовская область, Верхнедонской район, ст. Казанская, ул. Маяковского, д. 102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</w:p>
        </w:tc>
        <w:tc>
          <w:tcPr>
            <w:tcW w:w="3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16200,00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16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00,00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1,55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355 500,00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86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плиты газовой 4-х конфорочной Россиянка (котельная);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№ 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346170, Ростовская область, Верхнедонской район, ст. Казанская, ул. Маяковского, д. 102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r>
          </w:p>
        </w:tc>
        <w:tc>
          <w:tcPr>
            <w:tcW w:w="3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4200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r>
          </w:p>
        </w:tc>
        <w:tc>
          <w:tcPr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5,94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355 500,00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W w:w="1719" w:type="pc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Итого, руб.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37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0 000,00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950,00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37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63440,00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5"/>
        </w:trPr>
        <w:tc>
          <w:tcPr>
            <w:gridSpan w:val="12"/>
            <w:tcW w:w="4026" w:type="pct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Итого НМЦК (ЦК)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71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0 000,00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25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9"/>
      <w:headerReference w:type="first" r:id="rId10"/>
      <w:footnotePr/>
      <w:endnotePr/>
      <w:type w:val="nextPage"/>
      <w:pgSz w:w="16839" w:h="11907" w:orient="landscape"/>
      <w:pgMar w:top="851" w:right="510" w:bottom="992" w:left="1134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r/>
    <w:r/>
  </w:p>
  <w:p>
    <w:pPr>
      <w:pStyle w:val="876"/>
      <w:jc w:val="center"/>
    </w:pPr>
    <w:r/>
    <w:sdt>
      <w:sdtPr>
        <w15:appearance w15:val="boundingBox"/>
        <w:id w:val="1974787417"/>
        <w:docPartObj>
          <w:docPartGallery w:val="Page Numbers (Top of Page)"/>
          <w:docPartUnique w:val="true"/>
        </w:docPartObj>
        <w:rPr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sdtContent>
    </w:sdt>
    <w:r/>
    <w:r/>
  </w:p>
  <w:p>
    <w:pPr>
      <w:pStyle w:val="8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r/>
    <w:r/>
  </w:p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67"/>
    <w:next w:val="867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69"/>
    <w:link w:val="695"/>
    <w:uiPriority w:val="9"/>
    <w:rPr>
      <w:rFonts w:ascii="Arial" w:hAnsi="Arial" w:eastAsia="Arial" w:cs="Arial"/>
      <w:sz w:val="40"/>
      <w:szCs w:val="40"/>
    </w:rPr>
  </w:style>
  <w:style w:type="character" w:styleId="697">
    <w:name w:val="Heading 2 Char"/>
    <w:basedOn w:val="869"/>
    <w:link w:val="868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69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69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69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9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9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7"/>
    <w:next w:val="867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9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67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67"/>
    <w:next w:val="867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869"/>
    <w:link w:val="714"/>
    <w:uiPriority w:val="10"/>
    <w:rPr>
      <w:sz w:val="48"/>
      <w:szCs w:val="48"/>
    </w:rPr>
  </w:style>
  <w:style w:type="paragraph" w:styleId="716">
    <w:name w:val="Subtitle"/>
    <w:basedOn w:val="867"/>
    <w:next w:val="867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69"/>
    <w:link w:val="716"/>
    <w:uiPriority w:val="11"/>
    <w:rPr>
      <w:sz w:val="24"/>
      <w:szCs w:val="24"/>
    </w:rPr>
  </w:style>
  <w:style w:type="paragraph" w:styleId="718">
    <w:name w:val="Quote"/>
    <w:basedOn w:val="867"/>
    <w:next w:val="867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7"/>
    <w:next w:val="867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69"/>
    <w:link w:val="876"/>
    <w:uiPriority w:val="99"/>
  </w:style>
  <w:style w:type="character" w:styleId="723">
    <w:name w:val="Footer Char"/>
    <w:basedOn w:val="869"/>
    <w:link w:val="878"/>
    <w:uiPriority w:val="99"/>
  </w:style>
  <w:style w:type="paragraph" w:styleId="724">
    <w:name w:val="Caption"/>
    <w:basedOn w:val="867"/>
    <w:next w:val="867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869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character" w:styleId="852">
    <w:name w:val="Footnote Text Char"/>
    <w:link w:val="872"/>
    <w:uiPriority w:val="99"/>
    <w:rPr>
      <w:sz w:val="18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9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paragraph" w:styleId="868">
    <w:name w:val="Heading 2"/>
    <w:basedOn w:val="867"/>
    <w:next w:val="867"/>
    <w:link w:val="887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footnote text"/>
    <w:basedOn w:val="867"/>
    <w:link w:val="87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3" w:customStyle="1">
    <w:name w:val="Текст сноски Знак"/>
    <w:basedOn w:val="869"/>
    <w:link w:val="872"/>
    <w:uiPriority w:val="99"/>
    <w:semiHidden/>
    <w:rPr>
      <w:sz w:val="20"/>
      <w:szCs w:val="20"/>
    </w:rPr>
  </w:style>
  <w:style w:type="character" w:styleId="874">
    <w:name w:val="footnote reference"/>
    <w:basedOn w:val="869"/>
    <w:uiPriority w:val="99"/>
    <w:semiHidden/>
    <w:unhideWhenUsed/>
    <w:rPr>
      <w:vertAlign w:val="superscript"/>
    </w:rPr>
  </w:style>
  <w:style w:type="table" w:styleId="875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6">
    <w:name w:val="Header"/>
    <w:basedOn w:val="867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69"/>
    <w:link w:val="876"/>
    <w:uiPriority w:val="99"/>
  </w:style>
  <w:style w:type="paragraph" w:styleId="878">
    <w:name w:val="Footer"/>
    <w:basedOn w:val="867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69"/>
    <w:link w:val="878"/>
    <w:uiPriority w:val="99"/>
  </w:style>
  <w:style w:type="character" w:styleId="880">
    <w:name w:val="annotation reference"/>
    <w:basedOn w:val="869"/>
    <w:uiPriority w:val="99"/>
    <w:semiHidden/>
    <w:unhideWhenUsed/>
    <w:rPr>
      <w:sz w:val="16"/>
      <w:szCs w:val="16"/>
    </w:rPr>
  </w:style>
  <w:style w:type="paragraph" w:styleId="881">
    <w:name w:val="annotation text"/>
    <w:basedOn w:val="867"/>
    <w:link w:val="88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2" w:customStyle="1">
    <w:name w:val="Текст примечания Знак"/>
    <w:basedOn w:val="869"/>
    <w:link w:val="881"/>
    <w:uiPriority w:val="99"/>
    <w:semiHidden/>
    <w:rPr>
      <w:sz w:val="20"/>
      <w:szCs w:val="20"/>
    </w:rPr>
  </w:style>
  <w:style w:type="paragraph" w:styleId="883">
    <w:name w:val="annotation subject"/>
    <w:basedOn w:val="881"/>
    <w:next w:val="881"/>
    <w:link w:val="884"/>
    <w:uiPriority w:val="99"/>
    <w:semiHidden/>
    <w:unhideWhenUsed/>
    <w:rPr>
      <w:b/>
      <w:bCs/>
    </w:rPr>
  </w:style>
  <w:style w:type="character" w:styleId="884" w:customStyle="1">
    <w:name w:val="Тема примечания Знак"/>
    <w:basedOn w:val="882"/>
    <w:link w:val="883"/>
    <w:uiPriority w:val="99"/>
    <w:semiHidden/>
    <w:rPr>
      <w:b/>
      <w:bCs/>
      <w:sz w:val="20"/>
      <w:szCs w:val="20"/>
    </w:rPr>
  </w:style>
  <w:style w:type="paragraph" w:styleId="885">
    <w:name w:val="Balloon Text"/>
    <w:basedOn w:val="867"/>
    <w:link w:val="88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basedOn w:val="869"/>
    <w:link w:val="885"/>
    <w:uiPriority w:val="99"/>
    <w:semiHidden/>
    <w:rPr>
      <w:rFonts w:ascii="Tahoma" w:hAnsi="Tahoma" w:cs="Tahoma"/>
      <w:sz w:val="16"/>
      <w:szCs w:val="16"/>
    </w:rPr>
  </w:style>
  <w:style w:type="character" w:styleId="887" w:customStyle="1">
    <w:name w:val="Заголовок 2 Знак"/>
    <w:basedOn w:val="869"/>
    <w:link w:val="868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88" w:customStyle="1">
    <w:name w:val="ConsNonformat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89">
    <w:name w:val="Body Text"/>
    <w:basedOn w:val="867"/>
    <w:link w:val="891"/>
    <w:pPr>
      <w:jc w:val="both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90" w:customStyle="1">
    <w:name w:val="Основной текст Знак"/>
    <w:basedOn w:val="869"/>
    <w:uiPriority w:val="99"/>
    <w:semiHidden/>
  </w:style>
  <w:style w:type="character" w:styleId="891" w:customStyle="1">
    <w:name w:val="Основной текст Знак1"/>
    <w:link w:val="88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table" w:styleId="892">
    <w:name w:val="Light Shading"/>
    <w:basedOn w:val="870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E987-4676-4832-93D7-C1D53CC4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Похилько Василий Александрович</cp:lastModifiedBy>
  <cp:revision>163</cp:revision>
  <dcterms:created xsi:type="dcterms:W3CDTF">2023-05-19T06:38:00Z</dcterms:created>
  <dcterms:modified xsi:type="dcterms:W3CDTF">2026-06-03T07:29:01Z</dcterms:modified>
</cp:coreProperties>
</file>