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PT Astra Serif" w:hAnsi="PT Astra Serif" w:cs="PT Astra Serif"/>
          <w:b/>
          <w:bCs/>
          <w:color w:val="auto"/>
          <w:sz w:val="24"/>
          <w:szCs w:val="24"/>
          <w:lang w:eastAsia="ar-SA"/>
        </w:rPr>
      </w:pPr>
      <w:r>
        <w:rPr>
          <w:rFonts w:hint="default" w:ascii="PT Astra Serif" w:hAnsi="PT Astra Serif" w:cs="PT Astra Serif"/>
          <w:b/>
          <w:bCs/>
          <w:color w:val="auto"/>
          <w:sz w:val="24"/>
          <w:szCs w:val="24"/>
          <w:lang w:eastAsia="ar-SA"/>
        </w:rPr>
        <w:t>Техническое задание</w:t>
      </w:r>
    </w:p>
    <w:p>
      <w:pPr>
        <w:jc w:val="center"/>
        <w:rPr>
          <w:rFonts w:hint="default" w:ascii="PT Astra Serif" w:hAnsi="PT Astra Serif" w:cs="PT Astra Serif"/>
          <w:color w:val="auto"/>
          <w:sz w:val="24"/>
          <w:szCs w:val="24"/>
          <w:lang w:eastAsia="ar-SA"/>
        </w:rPr>
      </w:pPr>
      <w:r>
        <w:rPr>
          <w:rFonts w:hint="default" w:ascii="PT Astra Serif" w:hAnsi="PT Astra Serif" w:cs="PT Astra Serif"/>
          <w:color w:val="auto"/>
          <w:sz w:val="24"/>
          <w:szCs w:val="24"/>
          <w:lang w:eastAsia="ar-SA"/>
        </w:rPr>
        <w:t>на поставку нефтепродуктов</w:t>
      </w:r>
    </w:p>
    <w:p>
      <w:pPr>
        <w:pStyle w:val="8"/>
        <w:numPr>
          <w:ilvl w:val="0"/>
          <w:numId w:val="1"/>
        </w:numPr>
        <w:ind w:left="-49" w:leftChars="0" w:firstLine="49" w:firstLineChars="0"/>
        <w:rPr>
          <w:rFonts w:hint="default" w:ascii="PT Astra Serif" w:hAnsi="PT Astra Serif" w:cs="PT Astra Serif"/>
          <w:b/>
          <w:color w:val="auto"/>
          <w:sz w:val="24"/>
          <w:szCs w:val="24"/>
          <w:lang w:eastAsia="ar-SA"/>
        </w:rPr>
      </w:pPr>
      <w:r>
        <w:rPr>
          <w:rFonts w:hint="default" w:ascii="PT Astra Serif" w:hAnsi="PT Astra Serif" w:cs="PT Astra Serif"/>
          <w:b/>
          <w:color w:val="auto"/>
          <w:sz w:val="24"/>
          <w:szCs w:val="24"/>
          <w:lang w:eastAsia="ar-SA"/>
        </w:rPr>
        <w:t>Описание объекта закупки:</w:t>
      </w:r>
    </w:p>
    <w:tbl>
      <w:tblPr>
        <w:tblStyle w:val="3"/>
        <w:tblW w:w="1020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2593"/>
        <w:gridCol w:w="3287"/>
        <w:gridCol w:w="2068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445" w:type="dxa"/>
            <w:shd w:val="clear" w:color="auto" w:fill="auto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bCs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eastAsia="Times New Roman" w:cs="PT Astra Serif"/>
                <w:bCs/>
                <w:color w:val="auto"/>
                <w:sz w:val="24"/>
                <w:szCs w:val="24"/>
              </w:rPr>
              <w:t>№</w:t>
            </w:r>
          </w:p>
        </w:tc>
        <w:tc>
          <w:tcPr>
            <w:tcW w:w="2593" w:type="dxa"/>
            <w:shd w:val="clear" w:color="auto" w:fill="auto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bCs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eastAsia="Times New Roman" w:cs="PT Astra Serif"/>
                <w:bCs/>
                <w:color w:val="auto"/>
                <w:sz w:val="24"/>
                <w:szCs w:val="24"/>
              </w:rPr>
              <w:t>Наименование товара,</w:t>
            </w:r>
          </w:p>
          <w:p>
            <w:pPr>
              <w:jc w:val="center"/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  <w:t>ОКПД2 (КТРУ)</w:t>
            </w:r>
          </w:p>
        </w:tc>
        <w:tc>
          <w:tcPr>
            <w:tcW w:w="3287" w:type="dxa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068" w:type="dxa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813" w:type="dxa"/>
            <w:shd w:val="clear" w:color="auto" w:fill="auto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  <w:t>Количество (Литр;^</w:t>
            </w:r>
          </w:p>
          <w:p>
            <w:pPr>
              <w:jc w:val="center"/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  <w:t>кубический дециметр (л;^дм[3*])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45" w:type="dxa"/>
            <w:vMerge w:val="restart"/>
            <w:shd w:val="clear" w:color="auto" w:fill="auto"/>
          </w:tcPr>
          <w:p>
            <w:pPr>
              <w:jc w:val="distribute"/>
              <w:rPr>
                <w:rFonts w:hint="default" w:ascii="PT Astra Serif" w:hAnsi="PT Astra Serif" w:eastAsia="Times New Roman" w:cs="PT Astra Serif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PT Astra Serif" w:hAnsi="PT Astra Serif" w:eastAsia="Times New Roman" w:cs="PT Astra Serif"/>
                <w:bCs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2593" w:type="dxa"/>
            <w:vMerge w:val="restart"/>
            <w:shd w:val="clear" w:color="auto" w:fill="auto"/>
          </w:tcPr>
          <w:p>
            <w:pP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  <w:t>Топливо дизельное (розничная реализация)  19.20.21.300- 00000009</w:t>
            </w: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hint="default" w:ascii="PT Astra Serif" w:hAnsi="PT Astra Serif" w:cs="PT Astra Serif"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cs="PT Astra Serif"/>
                <w:color w:val="auto"/>
                <w:sz w:val="24"/>
                <w:szCs w:val="24"/>
              </w:rPr>
              <w:t>Экологический класс</w:t>
            </w:r>
          </w:p>
        </w:tc>
        <w:tc>
          <w:tcPr>
            <w:tcW w:w="2068" w:type="dxa"/>
            <w:vAlign w:val="center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bCs/>
                <w:color w:val="auto"/>
                <w:sz w:val="24"/>
                <w:szCs w:val="24"/>
                <w:lang w:eastAsia="ar-SA"/>
              </w:rPr>
            </w:pPr>
            <w:r>
              <w:rPr>
                <w:rFonts w:hint="default" w:ascii="PT Astra Serif" w:hAnsi="PT Astra Serif" w:cs="PT Astra Serif"/>
                <w:color w:val="auto"/>
                <w:sz w:val="24"/>
                <w:szCs w:val="24"/>
              </w:rPr>
              <w:t>Не ниже К5</w:t>
            </w:r>
          </w:p>
        </w:tc>
        <w:tc>
          <w:tcPr>
            <w:tcW w:w="181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  <w:lang w:val="ru-RU"/>
              </w:rPr>
              <w:t>25</w:t>
            </w:r>
            <w: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5" w:type="dxa"/>
            <w:vMerge w:val="continue"/>
            <w:shd w:val="clear" w:color="auto" w:fill="auto"/>
          </w:tcPr>
          <w:p>
            <w:pPr>
              <w:jc w:val="distribute"/>
              <w:rPr>
                <w:rFonts w:hint="default" w:ascii="PT Astra Serif" w:hAnsi="PT Astra Serif" w:eastAsia="Times New Roman" w:cs="PT Astra Serif"/>
                <w:bCs/>
                <w:color w:val="auto"/>
                <w:sz w:val="24"/>
                <w:szCs w:val="24"/>
              </w:rPr>
            </w:pPr>
          </w:p>
        </w:tc>
        <w:tc>
          <w:tcPr>
            <w:tcW w:w="2593" w:type="dxa"/>
            <w:vMerge w:val="continue"/>
            <w:shd w:val="clear" w:color="auto" w:fill="auto"/>
          </w:tcPr>
          <w:p>
            <w:pP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  <w:t>Тип дизельного топлива</w:t>
            </w:r>
          </w:p>
        </w:tc>
        <w:tc>
          <w:tcPr>
            <w:tcW w:w="2068" w:type="dxa"/>
            <w:vAlign w:val="center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  <w:lang w:val="ru-RU"/>
              </w:rPr>
              <w:t>Летнее</w:t>
            </w:r>
          </w:p>
        </w:tc>
        <w:tc>
          <w:tcPr>
            <w:tcW w:w="181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5" w:type="dxa"/>
            <w:vMerge w:val="continue"/>
            <w:shd w:val="clear" w:color="auto" w:fill="auto"/>
          </w:tcPr>
          <w:p>
            <w:pPr>
              <w:jc w:val="distribute"/>
              <w:rPr>
                <w:rFonts w:hint="default" w:ascii="PT Astra Serif" w:hAnsi="PT Astra Serif" w:eastAsia="Times New Roman" w:cs="PT Astra Serif"/>
                <w:bCs/>
                <w:color w:val="auto"/>
                <w:sz w:val="24"/>
                <w:szCs w:val="24"/>
              </w:rPr>
            </w:pPr>
          </w:p>
        </w:tc>
        <w:tc>
          <w:tcPr>
            <w:tcW w:w="2593" w:type="dxa"/>
            <w:vMerge w:val="continue"/>
            <w:shd w:val="clear" w:color="auto" w:fill="auto"/>
          </w:tcPr>
          <w:p>
            <w:pPr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</w:p>
        </w:tc>
        <w:tc>
          <w:tcPr>
            <w:tcW w:w="3287" w:type="dxa"/>
            <w:vAlign w:val="center"/>
          </w:tcPr>
          <w:p>
            <w:pPr>
              <w:ind w:firstLine="360" w:firstLineChars="150"/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eastAsia="Tahoma" w:cs="PT Astra Serif"/>
                <w:color w:val="auto"/>
                <w:sz w:val="24"/>
                <w:szCs w:val="24"/>
                <w:shd w:val="clear" w:color="auto" w:fill="FFFFFF"/>
                <w:lang w:val="en-US" w:eastAsia="zh-CN" w:bidi="ar"/>
              </w:rPr>
              <w:t>Сорт/класс топлива</w:t>
            </w:r>
          </w:p>
        </w:tc>
        <w:tc>
          <w:tcPr>
            <w:tcW w:w="2068" w:type="dxa"/>
            <w:vAlign w:val="center"/>
          </w:tcPr>
          <w:p>
            <w:pPr>
              <w:ind w:firstLine="360" w:firstLineChars="150"/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  <w:r>
              <w:rPr>
                <w:rFonts w:hint="default" w:ascii="PT Astra Serif" w:hAnsi="PT Astra Serif" w:eastAsia="Tahoma" w:cs="PT Astra Serif"/>
                <w:color w:val="auto"/>
                <w:sz w:val="24"/>
                <w:szCs w:val="24"/>
                <w:shd w:val="clear" w:color="auto" w:fill="FFFFFF"/>
                <w:lang w:val="en-US" w:eastAsia="zh-CN" w:bidi="ar"/>
              </w:rPr>
              <w:t>Не ниже C</w:t>
            </w:r>
          </w:p>
        </w:tc>
        <w:tc>
          <w:tcPr>
            <w:tcW w:w="181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color w:val="auto"/>
                <w:sz w:val="24"/>
                <w:szCs w:val="24"/>
              </w:rPr>
            </w:pPr>
          </w:p>
        </w:tc>
      </w:tr>
    </w:tbl>
    <w:p>
      <w:pPr>
        <w:pStyle w:val="8"/>
        <w:numPr>
          <w:ilvl w:val="0"/>
          <w:numId w:val="1"/>
        </w:numPr>
        <w:ind w:left="-49" w:leftChars="0" w:firstLine="49" w:firstLineChars="0"/>
        <w:jc w:val="both"/>
        <w:rPr>
          <w:rFonts w:hint="default" w:ascii="PT Astra Serif" w:hAnsi="PT Astra Serif" w:cs="PT Astra Serif"/>
          <w:b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color w:val="auto"/>
          <w:sz w:val="24"/>
          <w:szCs w:val="24"/>
        </w:rPr>
        <w:t xml:space="preserve"> </w:t>
      </w:r>
      <w:r>
        <w:rPr>
          <w:rFonts w:hint="default" w:ascii="PT Astra Serif" w:hAnsi="PT Astra Serif" w:cs="PT Astra Serif"/>
          <w:b/>
          <w:color w:val="auto"/>
          <w:sz w:val="24"/>
          <w:szCs w:val="24"/>
        </w:rPr>
        <w:t>Порядок, сроки и условия поставки товара</w:t>
      </w:r>
    </w:p>
    <w:p>
      <w:pPr>
        <w:pStyle w:val="8"/>
        <w:ind w:left="0"/>
        <w:jc w:val="both"/>
        <w:rPr>
          <w:rFonts w:hint="default" w:ascii="PT Astra Serif" w:hAnsi="PT Astra Serif" w:cs="PT Astra Serif"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color w:val="auto"/>
          <w:sz w:val="24"/>
          <w:szCs w:val="24"/>
        </w:rPr>
        <w:t>2.1. Поставка товара осуществляется по мере необходимости Заказчику</w:t>
      </w:r>
      <w:r>
        <w:rPr>
          <w:rFonts w:hint="default" w:ascii="PT Astra Serif" w:hAnsi="PT Astra Serif" w:cs="PT Astra Serif"/>
          <w:color w:val="auto"/>
          <w:sz w:val="24"/>
          <w:szCs w:val="24"/>
          <w:lang w:val="ru-RU"/>
        </w:rPr>
        <w:t xml:space="preserve"> </w:t>
      </w:r>
      <w:r>
        <w:rPr>
          <w:rFonts w:hint="default" w:ascii="PT Astra Serif" w:hAnsi="PT Astra Serif" w:cs="PT Astra Serif"/>
          <w:color w:val="auto"/>
          <w:sz w:val="24"/>
          <w:szCs w:val="24"/>
        </w:rPr>
        <w:t>в период с</w:t>
      </w:r>
      <w:r>
        <w:rPr>
          <w:rFonts w:hint="default" w:ascii="PT Astra Serif" w:hAnsi="PT Astra Serif" w:cs="PT Astra Serif"/>
          <w:color w:val="auto"/>
          <w:sz w:val="24"/>
          <w:szCs w:val="24"/>
          <w:lang w:val="ru-RU"/>
        </w:rPr>
        <w:t xml:space="preserve"> даты заключения контракта </w:t>
      </w:r>
      <w:r>
        <w:rPr>
          <w:rFonts w:hint="default" w:ascii="PT Astra Serif" w:hAnsi="PT Astra Serif" w:cs="PT Astra Serif"/>
          <w:color w:val="auto"/>
          <w:sz w:val="24"/>
          <w:szCs w:val="24"/>
        </w:rPr>
        <w:t>по 3</w:t>
      </w:r>
      <w:r>
        <w:rPr>
          <w:rFonts w:hint="default" w:ascii="PT Astra Serif" w:hAnsi="PT Astra Serif" w:cs="PT Astra Serif"/>
          <w:color w:val="auto"/>
          <w:sz w:val="24"/>
          <w:szCs w:val="24"/>
          <w:lang w:val="ru-RU"/>
        </w:rPr>
        <w:t>0</w:t>
      </w:r>
      <w:r>
        <w:rPr>
          <w:rFonts w:hint="default" w:ascii="PT Astra Serif" w:hAnsi="PT Astra Serif" w:cs="PT Astra Serif"/>
          <w:color w:val="auto"/>
          <w:sz w:val="24"/>
          <w:szCs w:val="24"/>
        </w:rPr>
        <w:t>.0</w:t>
      </w:r>
      <w:r>
        <w:rPr>
          <w:rFonts w:hint="default" w:ascii="PT Astra Serif" w:hAnsi="PT Astra Serif" w:cs="PT Astra Serif"/>
          <w:color w:val="auto"/>
          <w:sz w:val="24"/>
          <w:szCs w:val="24"/>
          <w:lang w:val="ru-RU"/>
        </w:rPr>
        <w:t>9</w:t>
      </w:r>
      <w:r>
        <w:rPr>
          <w:rFonts w:hint="default" w:ascii="PT Astra Serif" w:hAnsi="PT Astra Serif" w:cs="PT Astra Serif"/>
          <w:color w:val="auto"/>
          <w:sz w:val="24"/>
          <w:szCs w:val="24"/>
        </w:rPr>
        <w:t>.2026</w:t>
      </w:r>
      <w:r>
        <w:rPr>
          <w:rFonts w:hint="default" w:ascii="PT Astra Serif" w:hAnsi="PT Astra Serif" w:cs="PT Astra Serif"/>
          <w:color w:val="auto"/>
          <w:sz w:val="24"/>
          <w:szCs w:val="24"/>
          <w:lang w:val="ru-RU"/>
        </w:rPr>
        <w:t>.</w:t>
      </w:r>
      <w:bookmarkStart w:id="0" w:name="_GoBack"/>
      <w:bookmarkEnd w:id="0"/>
      <w:r>
        <w:rPr>
          <w:rFonts w:hint="default" w:ascii="PT Astra Serif" w:hAnsi="PT Astra Serif" w:cs="PT Astra Serif"/>
          <w:color w:val="auto"/>
          <w:sz w:val="24"/>
          <w:szCs w:val="24"/>
        </w:rPr>
        <w:t xml:space="preserve"> </w:t>
      </w:r>
    </w:p>
    <w:p>
      <w:pPr>
        <w:pStyle w:val="8"/>
        <w:ind w:left="0"/>
        <w:jc w:val="both"/>
        <w:rPr>
          <w:rFonts w:hint="default" w:ascii="PT Astra Serif" w:hAnsi="PT Astra Serif" w:cs="PT Astra Serif"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color w:val="auto"/>
          <w:sz w:val="24"/>
          <w:szCs w:val="24"/>
        </w:rPr>
        <w:t>2.2. Заказчик получает товар с использованием пластиковых карт на автозаправочных станциях, Поставщика которые расположены в том числе в пределах административных границ города Ярославля, Ярославского муниципального района, городского округа Рыбинск и/или Рыбинского муниципального района Ярославской области.</w:t>
      </w:r>
    </w:p>
    <w:p>
      <w:pPr>
        <w:pStyle w:val="8"/>
        <w:ind w:left="0"/>
        <w:jc w:val="both"/>
        <w:rPr>
          <w:rFonts w:hint="default" w:ascii="PT Astra Serif" w:hAnsi="PT Astra Serif" w:cs="PT Astra Serif"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color w:val="auto"/>
          <w:sz w:val="24"/>
          <w:szCs w:val="24"/>
        </w:rPr>
        <w:t>2.3. Пластиковые карты единого образца, имеют степени защиты, достаточные для предотвращения несанкционированного использования.</w:t>
      </w:r>
    </w:p>
    <w:p>
      <w:pPr>
        <w:pStyle w:val="8"/>
        <w:ind w:left="0"/>
        <w:jc w:val="both"/>
        <w:rPr>
          <w:rFonts w:hint="default" w:ascii="PT Astra Serif" w:hAnsi="PT Astra Serif" w:cs="PT Astra Serif"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color w:val="auto"/>
          <w:sz w:val="24"/>
          <w:szCs w:val="24"/>
        </w:rPr>
        <w:t xml:space="preserve">2.4. Поставщик обязан: </w:t>
      </w:r>
    </w:p>
    <w:p>
      <w:pPr>
        <w:pStyle w:val="8"/>
        <w:ind w:left="0"/>
        <w:jc w:val="both"/>
        <w:rPr>
          <w:rFonts w:hint="default" w:ascii="PT Astra Serif" w:hAnsi="PT Astra Serif" w:cs="PT Astra Serif"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color w:val="auto"/>
          <w:sz w:val="24"/>
          <w:szCs w:val="24"/>
        </w:rPr>
        <w:t xml:space="preserve">- обеспечить изготовление, кодирование и выдачу пластиковых карт в срок не более пяти рабочих дней с момента получения соответствующей заявки Заказчика и осуществлять обслуживание пластиковых карт. Пластиковые карты являются собственностью Поставщика и передаются в пользование Заказчика на время действия Контракта безвозмездно. </w:t>
      </w:r>
    </w:p>
    <w:p>
      <w:pPr>
        <w:pStyle w:val="8"/>
        <w:ind w:left="0"/>
        <w:jc w:val="both"/>
        <w:rPr>
          <w:rFonts w:hint="default" w:ascii="PT Astra Serif" w:hAnsi="PT Astra Serif" w:cs="PT Astra Serif"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color w:val="auto"/>
          <w:sz w:val="24"/>
          <w:szCs w:val="24"/>
        </w:rPr>
        <w:t xml:space="preserve">-по требованию Заказчика предоставлять декларации о соответствии Товара Требованиям технического регламента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мазуту», утвержденному Решением Комиссии Таможенного Союза от 18 октября 2011 года № 826 (далее - Технический регламент ТС). </w:t>
      </w:r>
    </w:p>
    <w:p>
      <w:pPr>
        <w:pStyle w:val="8"/>
        <w:ind w:left="0"/>
        <w:jc w:val="both"/>
        <w:rPr>
          <w:rFonts w:hint="default" w:ascii="PT Astra Serif" w:hAnsi="PT Astra Serif" w:cs="PT Astra Serif"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color w:val="auto"/>
          <w:sz w:val="24"/>
          <w:szCs w:val="24"/>
        </w:rPr>
        <w:t>-в случае достижения предела по количеству Товара предусмотренному в спецификации, приложение №1 к Контракту в период исполнения Контракта, истечения срока действия Контракта или его расторжения прекратить отпуск Товара по картам (заблокировать карты).</w:t>
      </w:r>
    </w:p>
    <w:p>
      <w:pPr>
        <w:jc w:val="both"/>
        <w:rPr>
          <w:rFonts w:hint="default" w:ascii="PT Astra Serif" w:hAnsi="PT Astra Serif" w:cs="PT Astra Serif"/>
          <w:b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b/>
          <w:color w:val="auto"/>
          <w:sz w:val="24"/>
          <w:szCs w:val="24"/>
        </w:rPr>
        <w:t>3. Качество Товара</w:t>
      </w:r>
    </w:p>
    <w:p>
      <w:pPr>
        <w:jc w:val="both"/>
        <w:rPr>
          <w:rFonts w:hint="default" w:ascii="PT Astra Serif" w:hAnsi="PT Astra Serif" w:cs="PT Astra Serif"/>
          <w:bCs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color w:val="auto"/>
          <w:sz w:val="24"/>
          <w:szCs w:val="24"/>
        </w:rPr>
        <w:t xml:space="preserve">3.1. </w:t>
      </w:r>
      <w:r>
        <w:rPr>
          <w:rFonts w:hint="default" w:ascii="PT Astra Serif" w:hAnsi="PT Astra Serif" w:cs="PT Astra Serif"/>
          <w:bCs/>
          <w:color w:val="auto"/>
          <w:sz w:val="24"/>
          <w:szCs w:val="24"/>
        </w:rPr>
        <w:t>Поставляемый Товар соответствует техническому регламенту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013/2011), утвержденному Решением Комиссии Таможенного Союза от 18 октября 2011 года № 826, соответствует ГОСТу 32511-2013 «Дизельное топливо ЕВРО. Технические условия», ГОСТу 32513-2023 «</w:t>
      </w:r>
      <w:r>
        <w:rPr>
          <w:rFonts w:hint="default" w:ascii="PT Astra Serif" w:hAnsi="PT Astra Serif" w:cs="PT Astra Serif"/>
          <w:color w:val="auto"/>
          <w:sz w:val="24"/>
          <w:szCs w:val="24"/>
          <w:shd w:val="clear" w:color="auto" w:fill="FFFFFF"/>
        </w:rPr>
        <w:t>Бензин автомобильный. Технические условия».</w:t>
      </w:r>
    </w:p>
    <w:p>
      <w:pPr>
        <w:jc w:val="both"/>
        <w:rPr>
          <w:rFonts w:hint="default" w:ascii="PT Astra Serif" w:hAnsi="PT Astra Serif" w:cs="PT Astra Serif"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bCs/>
          <w:color w:val="auto"/>
          <w:sz w:val="24"/>
          <w:szCs w:val="24"/>
        </w:rPr>
        <w:t xml:space="preserve">3.2. </w:t>
      </w:r>
      <w:r>
        <w:rPr>
          <w:rFonts w:hint="default" w:ascii="PT Astra Serif" w:hAnsi="PT Astra Serif" w:cs="PT Astra Serif"/>
          <w:color w:val="auto"/>
          <w:sz w:val="24"/>
          <w:szCs w:val="24"/>
        </w:rPr>
        <w:t xml:space="preserve">Безопасность поставляемого Товара, обеспечивается его соответствием ТР ТС </w:t>
      </w:r>
      <w:r>
        <w:rPr>
          <w:rFonts w:hint="default" w:ascii="PT Astra Serif" w:hAnsi="PT Astra Serif" w:cs="PT Astra Serif"/>
          <w:bCs/>
          <w:color w:val="auto"/>
          <w:sz w:val="24"/>
          <w:szCs w:val="24"/>
        </w:rPr>
        <w:t>013/2011.</w:t>
      </w:r>
    </w:p>
    <w:p>
      <w:pPr>
        <w:jc w:val="both"/>
        <w:rPr>
          <w:rFonts w:hint="default" w:ascii="PT Astra Serif" w:hAnsi="PT Astra Serif" w:cs="PT Astra Serif"/>
          <w:color w:val="auto"/>
          <w:sz w:val="24"/>
          <w:szCs w:val="24"/>
        </w:rPr>
      </w:pPr>
    </w:p>
    <w:p>
      <w:pPr>
        <w:jc w:val="center"/>
        <w:rPr>
          <w:rFonts w:hint="default" w:ascii="PT Astra Serif" w:hAnsi="PT Astra Serif" w:cs="PT Astra Serif"/>
          <w:color w:val="auto"/>
          <w:sz w:val="24"/>
          <w:szCs w:val="24"/>
        </w:rPr>
      </w:pPr>
    </w:p>
    <w:p>
      <w:pPr>
        <w:jc w:val="center"/>
        <w:rPr>
          <w:rFonts w:hint="default" w:ascii="PT Astra Serif" w:hAnsi="PT Astra Serif" w:cs="PT Astra Serif"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color w:val="auto"/>
          <w:sz w:val="24"/>
          <w:szCs w:val="24"/>
        </w:rPr>
        <w:t>Начальник гаража                                                                                   М.П. Булычев</w:t>
      </w:r>
    </w:p>
    <w:sectPr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Segoe UI">
    <w:altName w:val="Noto Looped Lao Bold"/>
    <w:panose1 w:val="020B0502040204020203"/>
    <w:charset w:val="CC"/>
    <w:family w:val="swiss"/>
    <w:pitch w:val="default"/>
    <w:sig w:usb0="00000000" w:usb1="00000000" w:usb2="00000029" w:usb3="00000000" w:csb0="000001DF" w:csb1="00000000"/>
  </w:font>
  <w:font w:name="Noto Looped Lao Bold">
    <w:panose1 w:val="020B0502040504020204"/>
    <w:charset w:val="00"/>
    <w:family w:val="auto"/>
    <w:pitch w:val="default"/>
    <w:sig w:usb0="02000000" w:usb1="00000000" w:usb2="00000000" w:usb3="00000000" w:csb0="00000001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  <w:font w:name="Tahoma">
    <w:panose1 w:val="020B0604030504040204"/>
    <w:charset w:val="CC"/>
    <w:family w:val="swiss"/>
    <w:pitch w:val="default"/>
    <w:sig w:usb0="800022EF" w:usb1="C000205A" w:usb2="00000008" w:usb3="00000000" w:csb0="20000057" w:csb1="000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1B66A4"/>
    <w:multiLevelType w:val="multilevel"/>
    <w:tmpl w:val="361B66A4"/>
    <w:lvl w:ilvl="0" w:tentative="0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80" w:hanging="360"/>
      </w:pPr>
    </w:lvl>
    <w:lvl w:ilvl="2" w:tentative="0">
      <w:start w:val="1"/>
      <w:numFmt w:val="lowerRoman"/>
      <w:lvlText w:val="%3."/>
      <w:lvlJc w:val="right"/>
      <w:pPr>
        <w:ind w:left="2100" w:hanging="180"/>
      </w:pPr>
    </w:lvl>
    <w:lvl w:ilvl="3" w:tentative="0">
      <w:start w:val="1"/>
      <w:numFmt w:val="decimal"/>
      <w:lvlText w:val="%4."/>
      <w:lvlJc w:val="left"/>
      <w:pPr>
        <w:ind w:left="2820" w:hanging="360"/>
      </w:pPr>
    </w:lvl>
    <w:lvl w:ilvl="4" w:tentative="0">
      <w:start w:val="1"/>
      <w:numFmt w:val="lowerLetter"/>
      <w:lvlText w:val="%5."/>
      <w:lvlJc w:val="left"/>
      <w:pPr>
        <w:ind w:left="3540" w:hanging="360"/>
      </w:pPr>
    </w:lvl>
    <w:lvl w:ilvl="5" w:tentative="0">
      <w:start w:val="1"/>
      <w:numFmt w:val="lowerRoman"/>
      <w:lvlText w:val="%6."/>
      <w:lvlJc w:val="right"/>
      <w:pPr>
        <w:ind w:left="4260" w:hanging="180"/>
      </w:pPr>
    </w:lvl>
    <w:lvl w:ilvl="6" w:tentative="0">
      <w:start w:val="1"/>
      <w:numFmt w:val="decimal"/>
      <w:lvlText w:val="%7."/>
      <w:lvlJc w:val="left"/>
      <w:pPr>
        <w:ind w:left="4980" w:hanging="360"/>
      </w:pPr>
    </w:lvl>
    <w:lvl w:ilvl="7" w:tentative="0">
      <w:start w:val="1"/>
      <w:numFmt w:val="lowerLetter"/>
      <w:lvlText w:val="%8."/>
      <w:lvlJc w:val="left"/>
      <w:pPr>
        <w:ind w:left="5700" w:hanging="360"/>
      </w:pPr>
    </w:lvl>
    <w:lvl w:ilvl="8" w:tentative="0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00A"/>
    <w:rsid w:val="0000231F"/>
    <w:rsid w:val="000108EB"/>
    <w:rsid w:val="00025158"/>
    <w:rsid w:val="00025A77"/>
    <w:rsid w:val="00055685"/>
    <w:rsid w:val="000610BC"/>
    <w:rsid w:val="0009700A"/>
    <w:rsid w:val="000B4836"/>
    <w:rsid w:val="000D114E"/>
    <w:rsid w:val="000F6FD4"/>
    <w:rsid w:val="00110AC7"/>
    <w:rsid w:val="00112588"/>
    <w:rsid w:val="001270B9"/>
    <w:rsid w:val="001416BB"/>
    <w:rsid w:val="00144BA4"/>
    <w:rsid w:val="00146E18"/>
    <w:rsid w:val="001566DE"/>
    <w:rsid w:val="0016158C"/>
    <w:rsid w:val="001642D1"/>
    <w:rsid w:val="00182B98"/>
    <w:rsid w:val="001B7881"/>
    <w:rsid w:val="001C1155"/>
    <w:rsid w:val="001C59E5"/>
    <w:rsid w:val="001F12DE"/>
    <w:rsid w:val="001F1AD5"/>
    <w:rsid w:val="00231BC5"/>
    <w:rsid w:val="0023438A"/>
    <w:rsid w:val="0023795A"/>
    <w:rsid w:val="00246A22"/>
    <w:rsid w:val="0025662E"/>
    <w:rsid w:val="002650C0"/>
    <w:rsid w:val="002A1538"/>
    <w:rsid w:val="002B055F"/>
    <w:rsid w:val="002C4A05"/>
    <w:rsid w:val="002E3976"/>
    <w:rsid w:val="002F24C0"/>
    <w:rsid w:val="002F3B17"/>
    <w:rsid w:val="002F4522"/>
    <w:rsid w:val="002F7B16"/>
    <w:rsid w:val="0032268E"/>
    <w:rsid w:val="00325E82"/>
    <w:rsid w:val="00366445"/>
    <w:rsid w:val="003942B0"/>
    <w:rsid w:val="003B0921"/>
    <w:rsid w:val="003C5C5A"/>
    <w:rsid w:val="003D1B50"/>
    <w:rsid w:val="003D4373"/>
    <w:rsid w:val="003F2957"/>
    <w:rsid w:val="003F49E6"/>
    <w:rsid w:val="004026B7"/>
    <w:rsid w:val="004110B3"/>
    <w:rsid w:val="00416976"/>
    <w:rsid w:val="004372B4"/>
    <w:rsid w:val="0045102F"/>
    <w:rsid w:val="0045356F"/>
    <w:rsid w:val="00456B8A"/>
    <w:rsid w:val="004603BB"/>
    <w:rsid w:val="004619C7"/>
    <w:rsid w:val="00466370"/>
    <w:rsid w:val="00492C19"/>
    <w:rsid w:val="004A3D6E"/>
    <w:rsid w:val="004C0256"/>
    <w:rsid w:val="004D33E5"/>
    <w:rsid w:val="004E7302"/>
    <w:rsid w:val="005074E6"/>
    <w:rsid w:val="00522FBC"/>
    <w:rsid w:val="00526A49"/>
    <w:rsid w:val="00540939"/>
    <w:rsid w:val="005603C3"/>
    <w:rsid w:val="005A3A81"/>
    <w:rsid w:val="005A5C18"/>
    <w:rsid w:val="005F3A1B"/>
    <w:rsid w:val="005F6FF8"/>
    <w:rsid w:val="005F75FE"/>
    <w:rsid w:val="0060158E"/>
    <w:rsid w:val="00602003"/>
    <w:rsid w:val="0062063B"/>
    <w:rsid w:val="006274BB"/>
    <w:rsid w:val="00627A60"/>
    <w:rsid w:val="0063757B"/>
    <w:rsid w:val="00642F37"/>
    <w:rsid w:val="00644277"/>
    <w:rsid w:val="00645E7A"/>
    <w:rsid w:val="00680A17"/>
    <w:rsid w:val="00694792"/>
    <w:rsid w:val="006B6F80"/>
    <w:rsid w:val="006E020D"/>
    <w:rsid w:val="00704564"/>
    <w:rsid w:val="007358BE"/>
    <w:rsid w:val="00735DE4"/>
    <w:rsid w:val="00742B39"/>
    <w:rsid w:val="00750EAD"/>
    <w:rsid w:val="0075172D"/>
    <w:rsid w:val="007566D2"/>
    <w:rsid w:val="00761EC4"/>
    <w:rsid w:val="00763470"/>
    <w:rsid w:val="00765C1A"/>
    <w:rsid w:val="0079208E"/>
    <w:rsid w:val="007A3367"/>
    <w:rsid w:val="007D46BC"/>
    <w:rsid w:val="007E1BE0"/>
    <w:rsid w:val="007F3346"/>
    <w:rsid w:val="00800256"/>
    <w:rsid w:val="00800390"/>
    <w:rsid w:val="00802DA2"/>
    <w:rsid w:val="00821905"/>
    <w:rsid w:val="00823153"/>
    <w:rsid w:val="00832400"/>
    <w:rsid w:val="00836055"/>
    <w:rsid w:val="00845A30"/>
    <w:rsid w:val="00856C91"/>
    <w:rsid w:val="00871168"/>
    <w:rsid w:val="00875E5B"/>
    <w:rsid w:val="008B0D37"/>
    <w:rsid w:val="008C6880"/>
    <w:rsid w:val="008C6BD5"/>
    <w:rsid w:val="008E0106"/>
    <w:rsid w:val="008E057B"/>
    <w:rsid w:val="008F489B"/>
    <w:rsid w:val="00905EBF"/>
    <w:rsid w:val="00910F72"/>
    <w:rsid w:val="00913564"/>
    <w:rsid w:val="00915ED8"/>
    <w:rsid w:val="00923DBC"/>
    <w:rsid w:val="009559C4"/>
    <w:rsid w:val="00961534"/>
    <w:rsid w:val="009777C8"/>
    <w:rsid w:val="009A7DE6"/>
    <w:rsid w:val="009B35F3"/>
    <w:rsid w:val="009B47ED"/>
    <w:rsid w:val="009B5B9D"/>
    <w:rsid w:val="009E7EE2"/>
    <w:rsid w:val="00A16230"/>
    <w:rsid w:val="00A73078"/>
    <w:rsid w:val="00AA362A"/>
    <w:rsid w:val="00AF5B26"/>
    <w:rsid w:val="00B31F7F"/>
    <w:rsid w:val="00B50BF8"/>
    <w:rsid w:val="00B52063"/>
    <w:rsid w:val="00B52CE8"/>
    <w:rsid w:val="00B950C5"/>
    <w:rsid w:val="00BD3E21"/>
    <w:rsid w:val="00BD57F6"/>
    <w:rsid w:val="00BD705E"/>
    <w:rsid w:val="00BF051E"/>
    <w:rsid w:val="00BF1B38"/>
    <w:rsid w:val="00C1080F"/>
    <w:rsid w:val="00C23776"/>
    <w:rsid w:val="00C247A9"/>
    <w:rsid w:val="00C36649"/>
    <w:rsid w:val="00C41CC7"/>
    <w:rsid w:val="00C46654"/>
    <w:rsid w:val="00C4779E"/>
    <w:rsid w:val="00C56BCD"/>
    <w:rsid w:val="00C60266"/>
    <w:rsid w:val="00C82640"/>
    <w:rsid w:val="00C86B68"/>
    <w:rsid w:val="00CA0989"/>
    <w:rsid w:val="00CF1DD9"/>
    <w:rsid w:val="00D0766D"/>
    <w:rsid w:val="00D20E56"/>
    <w:rsid w:val="00D2103F"/>
    <w:rsid w:val="00D24AA3"/>
    <w:rsid w:val="00D27CB5"/>
    <w:rsid w:val="00D313CF"/>
    <w:rsid w:val="00D37D97"/>
    <w:rsid w:val="00D46031"/>
    <w:rsid w:val="00D4715C"/>
    <w:rsid w:val="00D56C90"/>
    <w:rsid w:val="00DA5B0B"/>
    <w:rsid w:val="00DB1606"/>
    <w:rsid w:val="00DB77C6"/>
    <w:rsid w:val="00DC7D3E"/>
    <w:rsid w:val="00DD20E9"/>
    <w:rsid w:val="00DF1299"/>
    <w:rsid w:val="00E03685"/>
    <w:rsid w:val="00E04729"/>
    <w:rsid w:val="00E27A80"/>
    <w:rsid w:val="00E51720"/>
    <w:rsid w:val="00E63F83"/>
    <w:rsid w:val="00E71BF6"/>
    <w:rsid w:val="00E9343F"/>
    <w:rsid w:val="00E96F41"/>
    <w:rsid w:val="00EA5BA6"/>
    <w:rsid w:val="00EB69EA"/>
    <w:rsid w:val="00ED1B67"/>
    <w:rsid w:val="00F0129B"/>
    <w:rsid w:val="00F05093"/>
    <w:rsid w:val="00F07D23"/>
    <w:rsid w:val="00F111F7"/>
    <w:rsid w:val="00F65472"/>
    <w:rsid w:val="00F837A4"/>
    <w:rsid w:val="00F96F67"/>
    <w:rsid w:val="00F975F1"/>
    <w:rsid w:val="33BED1EF"/>
    <w:rsid w:val="3ADB61B7"/>
    <w:rsid w:val="431F0512"/>
    <w:rsid w:val="5DBFA8D9"/>
    <w:rsid w:val="5FFD48DE"/>
    <w:rsid w:val="72BE39C6"/>
    <w:rsid w:val="D7F72CE6"/>
    <w:rsid w:val="EEBB9C51"/>
    <w:rsid w:val="FFC3E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  <w:lang w:eastAsia="ru-RU"/>
    </w:rPr>
  </w:style>
  <w:style w:type="paragraph" w:customStyle="1" w:styleId="6">
    <w:name w:val="Абзац списка1"/>
    <w:basedOn w:val="1"/>
    <w:qFormat/>
    <w:uiPriority w:val="0"/>
    <w:pPr>
      <w:spacing w:after="60"/>
      <w:ind w:left="720"/>
      <w:jc w:val="both"/>
    </w:pPr>
  </w:style>
  <w:style w:type="paragraph" w:customStyle="1" w:styleId="7">
    <w:name w:val="Абзац списка2"/>
    <w:basedOn w:val="1"/>
    <w:qFormat/>
    <w:uiPriority w:val="0"/>
    <w:pPr>
      <w:spacing w:after="60"/>
      <w:ind w:left="720"/>
      <w:jc w:val="both"/>
    </w:p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ФКУ «ГБ МСЭ по Ярославской области» Минтруда России</Company>
  <Pages>1</Pages>
  <Words>451</Words>
  <Characters>2574</Characters>
  <Lines>21</Lines>
  <Paragraphs>6</Paragraphs>
  <TotalTime>3</TotalTime>
  <ScaleCrop>false</ScaleCrop>
  <LinksUpToDate>false</LinksUpToDate>
  <CharactersWithSpaces>3019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2022-05-27T11:09:00Z</dcterms:created>
  <dc:creator>Бухгалтерия4</dc:creator>
  <cp:lastModifiedBy>efremov</cp:lastModifiedBy>
  <cp:lastPrinted>2026-07-30T11:44:02Z</cp:lastPrinted>
  <dcterms:modified xsi:type="dcterms:W3CDTF">2026-07-30T11:44:10Z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