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Cs w:val="24"/>
          <w:lang w:val="en-US"/>
        </w:rPr>
      </w:pPr>
      <w:r>
        <w:rPr>
          <w:rFonts w:cs="Times New Roman" w:ascii="Times New Roman" w:hAnsi="Times New Roman"/>
          <w:szCs w:val="24"/>
          <w:lang w:val="en-US"/>
        </w:rPr>
      </w:r>
    </w:p>
    <w:p>
      <w:pPr>
        <w:pStyle w:val="Normal"/>
        <w:shd w:val="clear" w:color="auto" w:fill="FFFFFF"/>
        <w:tabs>
          <w:tab w:val="clear" w:pos="284"/>
          <w:tab w:val="left" w:pos="1418" w:leader="none"/>
        </w:tabs>
        <w:suppressAutoHyphens w:val="true"/>
        <w:spacing w:lineRule="auto" w:line="240" w:before="0" w:after="0"/>
        <w:ind w:right="14"/>
        <w:jc w:val="center"/>
        <w:rPr/>
      </w:pPr>
      <w:r>
        <w:rPr>
          <w:rFonts w:cs="Times New Roman" w:ascii="Times New Roman" w:hAnsi="Times New Roman"/>
          <w:b/>
        </w:rPr>
        <w:t>ОБОСНОВАНИЕ НАЧАЛЬНОЙ (МАКСИМАЛЬНОЙ) ЦЕНЫ КОНТРАКТА</w:t>
      </w:r>
    </w:p>
    <w:p>
      <w:pPr>
        <w:pStyle w:val="Normal"/>
        <w:shd w:val="clear" w:color="auto" w:fill="FFFFFF"/>
        <w:tabs>
          <w:tab w:val="clear" w:pos="284"/>
          <w:tab w:val="left" w:pos="1418" w:leader="none"/>
        </w:tabs>
        <w:suppressAutoHyphens w:val="true"/>
        <w:spacing w:lineRule="auto" w:line="240" w:before="0" w:after="0"/>
        <w:ind w:right="14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оказание услуг по ремонту и техническому обслуживанию компьютерной техники </w:t>
      </w:r>
    </w:p>
    <w:p>
      <w:pPr>
        <w:pStyle w:val="Normal"/>
        <w:shd w:val="clear" w:color="auto" w:fill="FFFFFF"/>
        <w:tabs>
          <w:tab w:val="clear" w:pos="284"/>
          <w:tab w:val="left" w:pos="1418" w:leader="none"/>
        </w:tabs>
        <w:suppressAutoHyphens w:val="true"/>
        <w:spacing w:lineRule="auto" w:line="240" w:before="0" w:after="0"/>
        <w:ind w:right="14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сфере ИКТ</w:t>
      </w:r>
    </w:p>
    <w:p>
      <w:pPr>
        <w:pStyle w:val="Normal"/>
        <w:shd w:val="clear" w:color="auto" w:fill="FFFFFF"/>
        <w:tabs>
          <w:tab w:val="clear" w:pos="284"/>
          <w:tab w:val="left" w:pos="1418" w:leader="none"/>
        </w:tabs>
        <w:suppressAutoHyphens w:val="true"/>
        <w:spacing w:lineRule="auto" w:line="240" w:before="0" w:after="0"/>
        <w:ind w:right="14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284"/>
          <w:tab w:val="left" w:pos="1418" w:leader="none"/>
        </w:tabs>
        <w:snapToGrid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Максимальное значение цены контракта – </w:t>
      </w:r>
      <w:r>
        <w:rPr>
          <w:rFonts w:cs="Times New Roman" w:ascii="Times New Roman" w:hAnsi="Times New Roman"/>
          <w:b/>
          <w:color w:val="000000"/>
          <w:sz w:val="24"/>
          <w:szCs w:val="24"/>
          <w:lang w:eastAsia="zh-CN"/>
        </w:rPr>
        <w:t>80523</w:t>
      </w:r>
      <w:r>
        <w:rPr>
          <w:rFonts w:cs="Times New Roman" w:ascii="Times New Roman" w:hAnsi="Times New Roman"/>
          <w:b/>
          <w:sz w:val="24"/>
          <w:szCs w:val="24"/>
        </w:rPr>
        <w:t xml:space="preserve"> (</w:t>
      </w:r>
      <w:r>
        <w:rPr>
          <w:rFonts w:cs="Times New Roman" w:ascii="Times New Roman" w:hAnsi="Times New Roman"/>
          <w:b/>
          <w:sz w:val="24"/>
          <w:szCs w:val="24"/>
        </w:rPr>
        <w:t>восемьдесят тысяч пятьсот двадцать три</w:t>
      </w:r>
      <w:r>
        <w:rPr>
          <w:rFonts w:cs="Times New Roman" w:ascii="Times New Roman" w:hAnsi="Times New Roman"/>
          <w:b/>
          <w:sz w:val="24"/>
          <w:szCs w:val="24"/>
        </w:rPr>
        <w:t xml:space="preserve">) руб. </w:t>
      </w:r>
      <w:r>
        <w:rPr>
          <w:rFonts w:cs="Times New Roman" w:ascii="Times New Roman" w:hAnsi="Times New Roman"/>
          <w:b/>
          <w:sz w:val="24"/>
          <w:szCs w:val="24"/>
        </w:rPr>
        <w:t>61</w:t>
      </w:r>
      <w:r>
        <w:rPr>
          <w:rFonts w:cs="Times New Roman" w:ascii="Times New Roman" w:hAnsi="Times New Roman"/>
          <w:b/>
          <w:sz w:val="24"/>
          <w:szCs w:val="24"/>
        </w:rPr>
        <w:t xml:space="preserve"> коп , </w:t>
      </w:r>
      <w:r>
        <w:rPr>
          <w:rFonts w:cs="Times New Roman" w:ascii="Times New Roman" w:hAnsi="Times New Roman"/>
          <w:color w:val="000000"/>
          <w:sz w:val="24"/>
          <w:szCs w:val="24"/>
        </w:rPr>
        <w:t>сформировано в пределах доведенных лимитов бюджетных обязательств.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hd w:val="clear" w:color="auto" w:fill="FFFFFF"/>
        <w:tabs>
          <w:tab w:val="clear" w:pos="284"/>
          <w:tab w:val="left" w:pos="993" w:leader="none"/>
          <w:tab w:val="left" w:pos="1418" w:leader="none"/>
        </w:tabs>
        <w:suppressAutoHyphens w:val="true"/>
        <w:spacing w:lineRule="auto" w:line="240"/>
        <w:ind w:firstLine="709" w:right="14"/>
        <w:rPr>
          <w:rFonts w:ascii="Times New Roman" w:hAnsi="Times New Roman" w:cs="Times New Roman"/>
          <w:sz w:val="6"/>
        </w:rPr>
      </w:pPr>
      <w:r>
        <w:rPr>
          <w:rFonts w:cs="Times New Roman" w:ascii="Times New Roman" w:hAnsi="Times New Roman"/>
          <w:sz w:val="6"/>
        </w:rPr>
      </w:r>
    </w:p>
    <w:p>
      <w:pPr>
        <w:pStyle w:val="Normal"/>
        <w:tabs>
          <w:tab w:val="clear" w:pos="284"/>
          <w:tab w:val="left" w:pos="1418" w:leader="none"/>
        </w:tabs>
        <w:snapToGrid w:val="false"/>
        <w:spacing w:lineRule="auto" w:line="24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В целях соблюдения требований Федерального закона от 05.04.2013 № 44-ФЗ « О контрактной системе в сфере закупок товаров, работ, услуг для обеспечения государственных и муниципальных нужд», начальная цена единиц товара, работы, услуги  Заказчиком определена методом сопоставимых  рыночных цен (анализ рынка).</w:t>
      </w:r>
    </w:p>
    <w:p>
      <w:pPr>
        <w:pStyle w:val="Normal"/>
        <w:tabs>
          <w:tab w:val="clear" w:pos="284"/>
          <w:tab w:val="left" w:pos="1418" w:leader="none"/>
        </w:tabs>
        <w:snapToGrid w:val="false"/>
        <w:spacing w:lineRule="auto" w:line="24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Для определения </w:t>
      </w:r>
      <w:r>
        <w:rPr>
          <w:rFonts w:cs="Times New Roman" w:ascii="Times New Roman" w:hAnsi="Times New Roman"/>
          <w:sz w:val="24"/>
          <w:szCs w:val="24"/>
        </w:rPr>
        <w:t xml:space="preserve">общей начальной (максимальной) цены за единицу </w:t>
      </w:r>
      <w:r>
        <w:rPr>
          <w:rFonts w:cs="Times New Roman" w:ascii="Times New Roman" w:hAnsi="Times New Roman"/>
          <w:color w:val="000000"/>
          <w:sz w:val="24"/>
          <w:szCs w:val="24"/>
        </w:rPr>
        <w:t>товаров, работ, услуг использовался метод сопоставимых рыночных цен (анализа рынка). Проведен сравнительный анализ ценовых предложений от 3-х поставщиков услуг и расчет общей (максимальной) цены единицы товаров, работ, услуг, представленный в Таблице№1:</w:t>
      </w:r>
    </w:p>
    <w:p>
      <w:pPr>
        <w:pStyle w:val="Normal"/>
        <w:tabs>
          <w:tab w:val="clear" w:pos="284"/>
          <w:tab w:val="left" w:pos="1418" w:leader="none"/>
        </w:tabs>
        <w:snapToGrid w:val="false"/>
        <w:spacing w:lineRule="auto" w:line="240"/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cs="Times New Roman" w:ascii="Times New Roman" w:hAnsi="Times New Roman"/>
          <w:i/>
          <w:szCs w:val="24"/>
        </w:rPr>
        <w:t>Таблица № 1</w:t>
      </w:r>
    </w:p>
    <w:tbl>
      <w:tblPr>
        <w:tblW w:w="4950" w:type="pct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93"/>
        <w:gridCol w:w="3554"/>
        <w:gridCol w:w="913"/>
        <w:gridCol w:w="1789"/>
        <w:gridCol w:w="1786"/>
        <w:gridCol w:w="1789"/>
      </w:tblGrid>
      <w:tr>
        <w:trPr>
          <w:trHeight w:val="960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  <w:p>
            <w:pPr>
              <w:pStyle w:val="Normal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Наименование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товара, работы, услуги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Единица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измерения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Цена  за ед., руб.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КП № 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Цена  за ед., руб.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КП № 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9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Цена  за ед., руб.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КП № 3</w:t>
            </w:r>
          </w:p>
        </w:tc>
      </w:tr>
      <w:tr>
        <w:trPr>
          <w:trHeight w:val="48" w:hRule="atLeast"/>
        </w:trPr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  <w:t>1. Ремонт моноблока 3Logic Lime Mi3049 :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1.1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профилактические работы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1485,00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1600,00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1720,00</w:t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1.2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ремонт материнской платы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4158,00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4500,00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4740,00</w:t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1.3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ремонт матрицы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5445,00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5800,00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6000,00</w:t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1.4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прошивка BIOS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1980,00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2300,00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2670,00</w:t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1.5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ремонт блока питания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1980,00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2600,00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2925,00</w:t>
            </w:r>
          </w:p>
        </w:tc>
      </w:tr>
      <w:tr>
        <w:trPr>
          <w:trHeight w:val="48" w:hRule="atLeast"/>
        </w:trPr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  <w:t>2. Ремонт моноблока aquarius mnb elt t474 :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профилактические работы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1485,00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1600,00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1800,00</w:t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ремонт материнской платы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3465,00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4500,00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4725,00</w:t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ремонт блока питания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1980,00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2300,00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2550,00</w:t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прошивка BIOS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1980,00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2600,00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2927,00</w:t>
            </w:r>
          </w:p>
        </w:tc>
      </w:tr>
      <w:tr>
        <w:trPr>
          <w:trHeight w:val="48" w:hRule="atLeast"/>
        </w:trPr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  <w:t>3. Ремонт моноблока Гравитон М40И :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3.1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профилактические работы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1485,00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1600,00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1875,00</w:t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3.2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ремонт материнской платы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3267,00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4500,00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4875,00</w:t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3.3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ремонт блока питания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1980,00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2300,00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2800,00</w:t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3.4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прошивка BIOS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1980,00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2600,00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3000,00</w:t>
            </w:r>
          </w:p>
        </w:tc>
      </w:tr>
      <w:tr>
        <w:trPr>
          <w:trHeight w:val="353" w:hRule="atLeast"/>
        </w:trPr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  <w:t>4. Ремонт ИБП Crown 800w :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4.1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ремонт платы управления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2475,00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3000,00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3650,00</w:t>
            </w:r>
          </w:p>
        </w:tc>
      </w:tr>
      <w:tr>
        <w:trPr>
          <w:trHeight w:val="353" w:hRule="atLeast"/>
        </w:trPr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9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  <w:t>5. Ремонт ИБП APC 620w :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5.1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ремонт платы управления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3465,00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4000,00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4200,00</w:t>
            </w:r>
          </w:p>
        </w:tc>
      </w:tr>
      <w:tr>
        <w:trPr>
          <w:trHeight w:val="353" w:hRule="atLeast"/>
        </w:trPr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  <w:t>6. Ремонт ИБП IPPON 450w :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6.1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ремонт платы управления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2277,00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2500,00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2700,00</w:t>
            </w:r>
          </w:p>
        </w:tc>
      </w:tr>
      <w:tr>
        <w:trPr>
          <w:trHeight w:val="353" w:hRule="atLeast"/>
        </w:trPr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  <w:t>7. Ремонт ноутбука Бастион Н15/2 :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7.1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профилактические работы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1485,00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1600,00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1850,00</w:t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7.2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компонентный ремонт системной платы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5940,00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6500,00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7000,00</w:t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7.3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замена (восстановление) матрицы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3960,00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5500,00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5950,00</w:t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7.4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прошивка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1980,00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2300,00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2410,00</w:t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7.5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ремонт корпуса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3465,00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4000,00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4380,00</w:t>
            </w:r>
          </w:p>
        </w:tc>
      </w:tr>
      <w:tr>
        <w:trPr>
          <w:trHeight w:val="353" w:hRule="atLeast"/>
        </w:trPr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  <w:t>8. Ремонт ноутбука OLDI LT590 :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8.1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профилактические работы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1485,00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1600,00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1980,00</w:t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8.2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компонентный ремонт системной платы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6930,00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8000,00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8120,00</w:t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8.3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замена (восстановление) матрицы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3960,00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5500,00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5750,00</w:t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8.4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ремонт корпуса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3465,00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4000,00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4240,00</w:t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8.5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прошивка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1980,00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2300,00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2500,00</w:t>
            </w:r>
          </w:p>
        </w:tc>
      </w:tr>
      <w:tr>
        <w:trPr>
          <w:trHeight w:val="353" w:hRule="atLeast"/>
        </w:trPr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  <w:t>9. Ремонт сервера DEPO Storm 1480V2 :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color w:val="000000"/>
                <w:shd w:fill="FFFFFF" w:val="clear"/>
              </w:rPr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9.1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профилактические работы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86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3465,00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86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5000,00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5900,00</w:t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9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9.2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компонентный ремонт системной платыуправления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86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11880,00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86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13000,00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8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14500,00</w:t>
            </w:r>
          </w:p>
        </w:tc>
      </w:tr>
      <w:tr>
        <w:trPr>
          <w:trHeight w:val="353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9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</w:rPr>
              <w:t>9.3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ремонт интерфейсных плат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шт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86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5940,00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86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7000,00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86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7680,00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tle"/>
        <w:tabs>
          <w:tab w:val="clear" w:pos="284"/>
          <w:tab w:val="left" w:pos="-284" w:leader="none"/>
        </w:tabs>
        <w:spacing w:lineRule="auto" w:line="240" w:before="0" w:after="0"/>
        <w:ind w:left="142"/>
        <w:jc w:val="both"/>
        <w:rPr/>
      </w:pPr>
      <w:r>
        <w:rPr>
          <w:rFonts w:cs="Times New Roman" w:ascii="Times New Roman" w:hAnsi="Times New Roman"/>
          <w:b w:val="false"/>
          <w:i/>
          <w:sz w:val="24"/>
          <w:szCs w:val="24"/>
        </w:rPr>
        <w:t>В результате исследования рынка общая начальная цена единицы услуги установлена по минимальному коммерческому предложению поставщика №1.</w:t>
      </w:r>
    </w:p>
    <w:p>
      <w:pPr>
        <w:pStyle w:val="Normal"/>
        <w:tabs>
          <w:tab w:val="clear" w:pos="284"/>
          <w:tab w:val="left" w:pos="1418" w:leader="none"/>
        </w:tabs>
        <w:spacing w:lineRule="auto" w:line="240"/>
        <w:ind w:firstLine="567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20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sectPr>
      <w:type w:val="nextPage"/>
      <w:pgSz w:w="11906" w:h="16838"/>
      <w:pgMar w:left="709" w:right="566" w:gutter="0" w:header="0" w:top="709" w:footer="0" w:bottom="1134"/>
      <w:pgNumType w:fmt="decimal"/>
      <w:formProt w:val="false"/>
      <w:textDirection w:val="lrTb"/>
      <w:docGrid w:type="default" w:linePitch="36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link w:val="Style17"/>
    <w:uiPriority w:val="99"/>
    <w:qFormat/>
    <w:rsid w:val="0077517b"/>
    <w:pPr>
      <w:widowControl/>
      <w:tabs>
        <w:tab w:val="clear" w:pos="708"/>
        <w:tab w:val="left" w:pos="284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0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2349e"/>
    <w:rPr>
      <w:rFonts w:ascii="Tahoma" w:hAnsi="Tahoma" w:cs="Tahoma"/>
      <w:sz w:val="16"/>
      <w:szCs w:val="16"/>
    </w:rPr>
  </w:style>
  <w:style w:type="character" w:styleId="data" w:customStyle="1">
    <w:name w:val="data"/>
    <w:basedOn w:val="DefaultParagraphFont"/>
    <w:qFormat/>
    <w:rsid w:val="00d43f51"/>
    <w:rPr/>
  </w:style>
  <w:style w:type="character" w:styleId="Style15" w:customStyle="1">
    <w:name w:val="Основной текст Знак"/>
    <w:basedOn w:val="DefaultParagraphFont"/>
    <w:qFormat/>
    <w:rsid w:val="00402673"/>
    <w:rPr>
      <w:rFonts w:ascii="Calibri" w:hAnsi="Calibri" w:eastAsia="Times New Roman" w:cs="Times New Roman"/>
      <w:sz w:val="20"/>
      <w:szCs w:val="20"/>
    </w:rPr>
  </w:style>
  <w:style w:type="character" w:styleId="Style16" w:customStyle="1">
    <w:name w:val="Название Знак"/>
    <w:basedOn w:val="DefaultParagraphFont"/>
    <w:uiPriority w:val="10"/>
    <w:qFormat/>
    <w:rsid w:val="004c6e7b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1" w:customStyle="1">
    <w:name w:val="Название Знак1"/>
    <w:uiPriority w:val="99"/>
    <w:qFormat/>
    <w:locked/>
    <w:rsid w:val="004c6e7b"/>
    <w:rPr>
      <w:rFonts w:ascii="Cambria" w:hAnsi="Cambria" w:eastAsia="Times New Roman" w:cs="Cambria"/>
      <w:b/>
      <w:bCs/>
      <w:kern w:val="2"/>
      <w:sz w:val="32"/>
      <w:szCs w:val="32"/>
      <w:lang w:eastAsia="ru-RU"/>
    </w:rPr>
  </w:style>
  <w:style w:type="character" w:styleId="Style17" w:customStyle="1">
    <w:name w:val="Базовый Знак"/>
    <w:uiPriority w:val="99"/>
    <w:qFormat/>
    <w:rsid w:val="0077517b"/>
    <w:rPr>
      <w:rFonts w:ascii="Calibri" w:hAnsi="Calibri" w:eastAsia="Times New Roman" w:cs="Times New Roman"/>
      <w:color w:val="000000"/>
      <w:sz w:val="24"/>
      <w:szCs w:val="24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Style15"/>
    <w:rsid w:val="00402673"/>
    <w:pPr>
      <w:suppressAutoHyphens w:val="true"/>
      <w:spacing w:before="0" w:after="120"/>
      <w:jc w:val="both"/>
    </w:pPr>
    <w:rPr>
      <w:rFonts w:ascii="Calibri" w:hAnsi="Calibri" w:eastAsia="Times New Roman" w:cs="Times New Roman"/>
      <w:sz w:val="20"/>
      <w:szCs w:val="20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2349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a20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itle1" w:customStyle="1">
    <w:name w:val="title1"/>
    <w:basedOn w:val="Normal"/>
    <w:qFormat/>
    <w:rsid w:val="00fa20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ubtitle" w:customStyle="1">
    <w:name w:val="subtitle"/>
    <w:basedOn w:val="Normal"/>
    <w:qFormat/>
    <w:rsid w:val="00fa20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 w:customStyle="1">
    <w:name w:val="Название объекта1"/>
    <w:basedOn w:val="Normal"/>
    <w:qFormat/>
    <w:rsid w:val="00fa20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meter" w:customStyle="1">
    <w:name w:val="parameter"/>
    <w:basedOn w:val="Normal"/>
    <w:qFormat/>
    <w:rsid w:val="00fa20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metervalue" w:customStyle="1">
    <w:name w:val="parametervalue"/>
    <w:basedOn w:val="Normal"/>
    <w:qFormat/>
    <w:rsid w:val="00fa20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a35ec"/>
    <w:pPr>
      <w:spacing w:before="0" w:after="200"/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styleId="Title">
    <w:name w:val="Title"/>
    <w:basedOn w:val="Normal"/>
    <w:link w:val="1"/>
    <w:uiPriority w:val="99"/>
    <w:qFormat/>
    <w:rsid w:val="004c6e7b"/>
    <w:pPr>
      <w:suppressLineNumbers/>
      <w:suppressAutoHyphens w:val="true"/>
      <w:spacing w:before="120" w:after="120"/>
    </w:pPr>
    <w:rPr>
      <w:rFonts w:ascii="Cambria" w:hAnsi="Cambria" w:eastAsia="Times New Roman" w:cs="Cambria"/>
      <w:b/>
      <w:bCs/>
      <w:kern w:val="2"/>
      <w:sz w:val="32"/>
      <w:szCs w:val="32"/>
      <w:lang w:eastAsia="ru-RU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c61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19C86-2FFF-470A-898F-11CC422B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Application>LibreOffice/25.8.6.2$Windows_X86_64 LibreOffice_project/b4b39682cd9868fa725bc664aff94278d315bd04</Application>
  <AppVersion>15.0000</AppVersion>
  <Pages>2</Pages>
  <Words>441</Words>
  <Characters>2640</Characters>
  <CharactersWithSpaces>2888</CharactersWithSpaces>
  <Paragraphs>202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2022-07-11T12:52:00Z</dcterms:created>
  <dc:creator>SudakovaAV</dc:creator>
  <dc:description/>
  <dc:language>ru-RU</dc:language>
  <cp:lastModifiedBy/>
  <cp:lastPrinted>2022-07-11T12:19:00Z</cp:lastPrinted>
  <dcterms:modified xsi:type="dcterms:W3CDTF">2026-06-25T12:22:15Z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