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w:t>
      </w:r>
      <w:r>
        <w:rPr>
          <w:b/>
          <w:bCs/>
        </w:rPr>
        <w:t>111</w:t>
      </w:r>
      <w:r>
        <w:rPr>
          <w:b/>
          <w:bCs/>
        </w:rPr>
        <w:t>/26</w:t>
      </w:r>
    </w:p>
    <w:p>
      <w:pPr>
        <w:pStyle w:val="Normal"/>
        <w:jc w:val="center"/>
        <w:rPr>
          <w:b/>
        </w:rPr>
      </w:pPr>
      <w:r>
        <w:rPr>
          <w:b/>
        </w:rPr>
        <w:t>на поставку товаров для государственных нужд</w:t>
      </w:r>
    </w:p>
    <w:p>
      <w:pPr>
        <w:pStyle w:val="Normal"/>
        <w:jc w:val="center"/>
        <w:rPr>
          <w:b/>
          <w:shd w:fill="FFFF00" w:val="clear"/>
        </w:rPr>
      </w:pPr>
      <w:r>
        <w:rPr>
          <w:b/>
          <w:shd w:fill="FFFF00" w:val="clear"/>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rFonts w:eastAsia="Times New Roman" w:cs="Times New Roman"/>
          <w:color w:val="auto"/>
          <w:kern w:val="0"/>
          <w:sz w:val="20"/>
          <w:szCs w:val="20"/>
          <w:lang w:val="ru-RU" w:eastAsia="ru-RU" w:bidi="ar-SA"/>
        </w:rPr>
        <w:t xml:space="preserve"> </w:t>
      </w:r>
      <w:bookmarkEnd w:id="3"/>
      <w:r>
        <w:rPr>
          <w:rFonts w:eastAsia="Times New Roman" w:cs="Times New Roman"/>
          <w:b/>
          <w:bCs/>
          <w:color w:val="auto"/>
          <w:kern w:val="0"/>
          <w:sz w:val="20"/>
          <w:szCs w:val="20"/>
          <w:lang w:val="ru-RU" w:eastAsia="ru-RU" w:bidi="ar-SA"/>
        </w:rPr>
        <w:t>Шовный материал</w:t>
      </w:r>
      <w:r>
        <w:rPr>
          <w:rFonts w:eastAsia="Times New Roman" w:cs="Times New Roman"/>
          <w:color w:val="auto"/>
          <w:kern w:val="0"/>
          <w:sz w:val="20"/>
          <w:szCs w:val="20"/>
          <w:lang w:val="ru-RU" w:eastAsia="ru-RU" w:bidi="ar-SA"/>
        </w:rPr>
        <w:t xml:space="preserve"> и передат</w:t>
      </w:r>
      <w:r>
        <w:rPr/>
        <w:t xml:space="preserve">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dark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dark1" w:val="000000"/>
          <w:sz w:val="24"/>
          <w:lang w:val="ru-RU"/>
        </w:rPr>
        <w:t xml:space="preserve">. </w:t>
      </w:r>
      <w:r>
        <w:rPr>
          <w:rFonts w:eastAsia="Times New Roman"/>
          <w:color w:themeColor="dark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fill="FFFFFF" w:val="clear"/>
        <w:tabs>
          <w:tab w:val="clear" w:pos="708"/>
          <w:tab w:val="left" w:pos="0" w:leader="none"/>
          <w:tab w:val="left" w:pos="900" w:leader="none"/>
        </w:tabs>
        <w:jc w:val="center"/>
        <w:rPr>
          <w:b/>
        </w:rPr>
      </w:pPr>
      <w:r>
        <w:rPr>
          <w:b/>
        </w:rPr>
        <w:t>4. Сроки и условия поставки Товара</w:t>
      </w:r>
    </w:p>
    <w:p>
      <w:pPr>
        <w:pStyle w:val="Normal"/>
        <w:shd w:fill="FFFFFF" w:val="clear"/>
        <w:tabs>
          <w:tab w:val="clear" w:pos="708"/>
          <w:tab w:val="left" w:pos="0" w:leader="none"/>
          <w:tab w:val="left" w:pos="900" w:leader="none"/>
        </w:tabs>
        <w:jc w:val="both"/>
        <w:rPr/>
      </w:pPr>
      <w:r>
        <w:rPr/>
        <w:t xml:space="preserve">4.1. Поставка товара осуществляется в течение </w:t>
      </w:r>
      <w:r>
        <w:rPr/>
        <w:t>30</w:t>
      </w:r>
      <w:r>
        <w:rPr/>
        <w:t xml:space="preserve"> (</w:t>
      </w:r>
      <w:r>
        <w:rPr/>
        <w:t>тридцати</w:t>
      </w:r>
      <w:r>
        <w:rPr/>
        <w:t xml:space="preserve">) </w:t>
      </w:r>
      <w:r>
        <w:rPr/>
        <w:t>календарных</w:t>
      </w:r>
      <w:r>
        <w:rPr/>
        <w:t xml:space="preserve"> дней, следующих за днем  заключения контракта.</w:t>
      </w:r>
    </w:p>
    <w:p>
      <w:pPr>
        <w:pStyle w:val="Normal"/>
        <w:shd w:fill="FFFFFF" w:val="clear"/>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fill="FFFFFF" w:val="clear"/>
        <w:tabs>
          <w:tab w:val="clear" w:pos="708"/>
          <w:tab w:val="left" w:pos="0" w:leader="none"/>
          <w:tab w:val="left" w:pos="900" w:leader="none"/>
        </w:tabs>
        <w:jc w:val="both"/>
        <w:rPr>
          <w:color w:themeColor="dark1" w:val="000000"/>
        </w:rPr>
      </w:pPr>
      <w:r>
        <w:rPr/>
        <w:t xml:space="preserve">4.3. </w:t>
      </w:r>
      <w:r>
        <w:rPr>
          <w:color w:themeColor="dark1" w:val="000000"/>
        </w:rPr>
        <w:t>Датой поставки Товара считается дата подписания Заказчиком счет-фактуры (УПД) или товарной накладной.</w:t>
      </w:r>
    </w:p>
    <w:p>
      <w:pPr>
        <w:pStyle w:val="Normal"/>
        <w:jc w:val="both"/>
        <w:rPr>
          <w:color w:themeColor="dark1" w:val="000000"/>
        </w:rPr>
      </w:pPr>
      <w:r>
        <w:rPr>
          <w:color w:themeColor="dark1" w:val="000000"/>
        </w:rPr>
        <w:t>4.4. Вместе с Товаром Поставщик передает Заказчику оригиналы следующих документов:</w:t>
      </w:r>
    </w:p>
    <w:p>
      <w:pPr>
        <w:pStyle w:val="Normal"/>
        <w:shd w:fill="FFFFFF" w:val="clear"/>
        <w:tabs>
          <w:tab w:val="clear" w:pos="708"/>
          <w:tab w:val="left" w:pos="0" w:leader="none"/>
          <w:tab w:val="left" w:pos="900" w:leader="none"/>
        </w:tabs>
        <w:jc w:val="both"/>
        <w:rPr>
          <w:color w:themeColor="dark1" w:val="000000"/>
        </w:rPr>
      </w:pPr>
      <w:r>
        <w:rPr>
          <w:color w:themeColor="dark1" w:val="000000"/>
        </w:rPr>
        <w:t> </w:t>
      </w:r>
      <w:r>
        <w:rPr>
          <w:color w:themeColor="dark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w:t>
      </w:r>
      <w:r>
        <w:rPr>
          <w:rFonts w:eastAsia="Times New Roman"/>
          <w:lang w:val="ru-RU"/>
        </w:rPr>
        <w:t xml:space="preserve">3 </w:t>
      </w:r>
      <w:r>
        <w:rPr>
          <w:rFonts w:eastAsia="Times New Roman"/>
          <w:lang w:val="ru-RU"/>
        </w:rPr>
        <w:t xml:space="preserve"> (</w:t>
      </w:r>
      <w:r>
        <w:rPr>
          <w:rFonts w:eastAsia="Times New Roman"/>
          <w:lang w:val="ru-RU"/>
        </w:rPr>
        <w:t>трех</w:t>
      </w:r>
      <w:r>
        <w:rPr>
          <w:rFonts w:eastAsia="Times New Roman"/>
          <w:lang w:val="ru-RU"/>
        </w:rPr>
        <w:t>) рабоч</w:t>
      </w:r>
      <w:r>
        <w:rPr>
          <w:rFonts w:eastAsia="Times New Roman"/>
          <w:lang w:val="ru-RU"/>
        </w:rPr>
        <w:t>их</w:t>
      </w:r>
      <w:r>
        <w:rPr>
          <w:rFonts w:eastAsia="Times New Roman"/>
          <w:lang w:val="ru-RU"/>
        </w:rPr>
        <w:t xml:space="preserve"> дн</w:t>
      </w:r>
      <w:r>
        <w:rPr>
          <w:rFonts w:eastAsia="Times New Roman"/>
          <w:lang w:val="ru-RU"/>
        </w:rPr>
        <w:t>ей</w:t>
      </w:r>
      <w:r>
        <w:rPr>
          <w:rFonts w:eastAsia="Times New Roman"/>
          <w:lang w:val="ru-RU"/>
        </w:rPr>
        <w:t xml:space="preserve">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shd w:fill="FFFF00" w:val="clear"/>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rPr>
        <w:t>30.09</w:t>
      </w:r>
      <w:r>
        <w:rPr>
          <w:rFonts w:ascii="Times New Roman" w:hAnsi="Times New Roman"/>
          <w:sz w:val="20"/>
          <w:szCs w:val="20"/>
        </w:rPr>
        <w:t>.2026 г., а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fill="FFFFFF" w:val="clear"/>
        <w:jc w:val="center"/>
        <w:rPr>
          <w:b/>
        </w:rPr>
      </w:pPr>
      <w:r>
        <w:rPr>
          <w:b/>
        </w:rPr>
        <w:t>10. Переход права собственности и риск случайной гибели Товара</w:t>
      </w:r>
    </w:p>
    <w:p>
      <w:pPr>
        <w:pStyle w:val="Normal"/>
        <w:shd w:fill="FFFFFF" w:val="clear"/>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fill="FFFFFF" w:val="clear"/>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fill="FFFFFF" w:val="clear"/>
        <w:tabs>
          <w:tab w:val="clear" w:pos="708"/>
          <w:tab w:val="left" w:pos="540" w:leader="none"/>
          <w:tab w:val="left" w:pos="1248" w:leader="none"/>
        </w:tabs>
        <w:jc w:val="both"/>
        <w:rPr/>
      </w:pPr>
      <w:r>
        <w:rPr/>
      </w:r>
    </w:p>
    <w:p>
      <w:pPr>
        <w:pStyle w:val="Normal"/>
        <w:shd w:fill="FFFFFF" w:val="clear"/>
        <w:tabs>
          <w:tab w:val="clear" w:pos="708"/>
          <w:tab w:val="left" w:pos="540" w:leader="none"/>
          <w:tab w:val="left" w:pos="1248" w:leader="none"/>
        </w:tabs>
        <w:jc w:val="center"/>
        <w:rPr>
          <w:b/>
        </w:rPr>
      </w:pPr>
      <w:r>
        <w:rPr>
          <w:b/>
        </w:rPr>
        <w:t>11. Противодействие коррупции</w:t>
      </w:r>
    </w:p>
    <w:p>
      <w:pPr>
        <w:pStyle w:val="Normal"/>
        <w:shd w:fill="FFFFFF" w:val="clear"/>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fill="FFFFFF" w:val="clear"/>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fill="FFFFFF" w:val="clear"/>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fill="FFFFFF" w:val="clear"/>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fill="FFFFFF" w:val="clear"/>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fill="FFFFFF" w:val="clear"/>
        <w:tabs>
          <w:tab w:val="clear" w:pos="708"/>
          <w:tab w:val="left" w:pos="540" w:leader="none"/>
          <w:tab w:val="left" w:pos="1248" w:leader="none"/>
        </w:tabs>
        <w:jc w:val="center"/>
        <w:rPr/>
      </w:pPr>
      <w:r>
        <w:rPr/>
      </w:r>
    </w:p>
    <w:p>
      <w:pPr>
        <w:pStyle w:val="Normal"/>
        <w:shd w:fill="FFFFFF" w:val="clear"/>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fill="FFFFFF" w:val="clear"/>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Pr>
      <w:tblGrid>
        <w:gridCol w:w="5636"/>
        <w:gridCol w:w="4820"/>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rPr/>
            </w:pPr>
            <w:r>
              <w:rPr/>
              <w:t>Банковские реквизиты:</w:t>
            </w:r>
          </w:p>
          <w:p>
            <w:pPr>
              <w:pStyle w:val="Normal"/>
              <w:widowControl/>
              <w:overflowPunct w:val="false"/>
              <w:spacing w:before="0" w:after="0"/>
              <w:jc w:val="left"/>
              <w:textAlignment w:val="auto"/>
              <w:rPr>
                <w:szCs w:val="24"/>
              </w:rPr>
            </w:pPr>
            <w:r>
              <w:rPr>
                <w:szCs w:val="24"/>
              </w:rPr>
              <w:t>ИНН 4205012290  КПП 420501001</w:t>
            </w:r>
          </w:p>
          <w:p>
            <w:pPr>
              <w:pStyle w:val="Normal"/>
              <w:widowControl/>
              <w:overflowPunct w:val="tru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true"/>
              <w:spacing w:before="0" w:after="0"/>
              <w:jc w:val="left"/>
              <w:textAlignment w:val="auto"/>
              <w:rPr>
                <w:szCs w:val="24"/>
              </w:rPr>
            </w:pPr>
            <w:r>
              <w:rPr>
                <w:szCs w:val="24"/>
              </w:rPr>
              <w:t>ИНН 4205012290  КПП 420501001</w:t>
            </w:r>
          </w:p>
          <w:p>
            <w:pPr>
              <w:pStyle w:val="Normal"/>
              <w:widowControl/>
              <w:overflowPunct w:val="true"/>
              <w:spacing w:before="0" w:after="0"/>
              <w:jc w:val="left"/>
              <w:textAlignment w:val="auto"/>
              <w:rPr>
                <w:szCs w:val="24"/>
              </w:rPr>
            </w:pPr>
            <w:r>
              <w:rPr>
                <w:szCs w:val="24"/>
              </w:rPr>
              <w:t>р/с 03214643000000015106</w:t>
            </w:r>
          </w:p>
          <w:p>
            <w:pPr>
              <w:pStyle w:val="Normal"/>
              <w:widowControl/>
              <w:overflowPunct w:val="tru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true"/>
              <w:spacing w:before="0" w:after="0"/>
              <w:jc w:val="left"/>
              <w:textAlignment w:val="auto"/>
              <w:rPr>
                <w:szCs w:val="24"/>
              </w:rPr>
            </w:pPr>
            <w:r>
              <w:rPr>
                <w:szCs w:val="24"/>
              </w:rPr>
              <w:t>БИК 015004950</w:t>
            </w:r>
          </w:p>
          <w:p>
            <w:pPr>
              <w:pStyle w:val="Normal"/>
              <w:widowControl/>
              <w:overflowPunct w:val="true"/>
              <w:spacing w:before="0" w:after="0"/>
              <w:jc w:val="left"/>
              <w:textAlignment w:val="auto"/>
              <w:rPr>
                <w:szCs w:val="24"/>
              </w:rPr>
            </w:pPr>
            <w:r>
              <w:rPr>
                <w:szCs w:val="24"/>
              </w:rPr>
              <w:t>к/с 40102810445370000043</w:t>
            </w:r>
          </w:p>
          <w:p>
            <w:pPr>
              <w:pStyle w:val="Normal"/>
              <w:widowControl/>
              <w:overflowPunct w:val="tru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true"/>
              <w:spacing w:before="0" w:after="0"/>
              <w:jc w:val="left"/>
              <w:textAlignment w:val="auto"/>
              <w:rPr>
                <w:szCs w:val="24"/>
              </w:rPr>
            </w:pPr>
            <w:r>
              <w:rPr>
                <w:szCs w:val="24"/>
              </w:rPr>
              <w:t>ОГРН 1034205024479</w:t>
            </w:r>
          </w:p>
          <w:p>
            <w:pPr>
              <w:pStyle w:val="Normal"/>
              <w:widowControl/>
              <w:overflowPunct w:val="true"/>
              <w:spacing w:before="0" w:after="0"/>
              <w:jc w:val="left"/>
              <w:textAlignment w:val="auto"/>
              <w:rPr>
                <w:szCs w:val="24"/>
              </w:rPr>
            </w:pPr>
            <w:r>
              <w:rPr>
                <w:szCs w:val="24"/>
              </w:rPr>
              <w:t>ОКПО 55608705</w:t>
            </w:r>
          </w:p>
          <w:p>
            <w:pPr>
              <w:pStyle w:val="Normal"/>
              <w:widowControl/>
              <w:overflowPunct w:val="true"/>
              <w:spacing w:before="0" w:after="0"/>
              <w:jc w:val="left"/>
              <w:textAlignment w:val="auto"/>
              <w:rPr>
                <w:szCs w:val="24"/>
              </w:rPr>
            </w:pPr>
            <w:r>
              <w:rPr>
                <w:szCs w:val="24"/>
              </w:rPr>
              <w:t>ОКАТО 32401000000</w:t>
            </w:r>
          </w:p>
          <w:p>
            <w:pPr>
              <w:pStyle w:val="Normal"/>
              <w:widowControl/>
              <w:overflowPunct w:val="true"/>
              <w:spacing w:before="0" w:after="0"/>
              <w:jc w:val="left"/>
              <w:textAlignment w:val="auto"/>
              <w:rPr>
                <w:szCs w:val="24"/>
              </w:rPr>
            </w:pPr>
            <w:r>
              <w:rPr>
                <w:szCs w:val="24"/>
              </w:rPr>
              <w:t>ОКТМО 32701000</w:t>
            </w:r>
          </w:p>
          <w:p>
            <w:pPr>
              <w:pStyle w:val="Normal"/>
              <w:widowControl/>
              <w:overflowPunct w:val="true"/>
              <w:spacing w:before="0" w:after="0"/>
              <w:jc w:val="left"/>
              <w:textAlignment w:val="auto"/>
              <w:rPr>
                <w:szCs w:val="24"/>
              </w:rPr>
            </w:pPr>
            <w:r>
              <w:rPr>
                <w:szCs w:val="24"/>
              </w:rPr>
              <w:t>ОКОГУ 1330612</w:t>
            </w:r>
          </w:p>
          <w:p>
            <w:pPr>
              <w:pStyle w:val="Normal"/>
              <w:widowControl/>
              <w:overflowPunct w:val="true"/>
              <w:spacing w:before="0" w:after="0"/>
              <w:jc w:val="left"/>
              <w:textAlignment w:val="auto"/>
              <w:rPr>
                <w:szCs w:val="24"/>
              </w:rPr>
            </w:pPr>
            <w:r>
              <w:rPr>
                <w:szCs w:val="24"/>
              </w:rPr>
              <w:t>ОКФС 12</w:t>
            </w:r>
          </w:p>
          <w:p>
            <w:pPr>
              <w:pStyle w:val="Normal"/>
              <w:widowControl/>
              <w:overflowPunct w:val="true"/>
              <w:spacing w:before="0" w:after="0"/>
              <w:jc w:val="left"/>
              <w:textAlignment w:val="auto"/>
              <w:rPr>
                <w:szCs w:val="24"/>
              </w:rPr>
            </w:pPr>
            <w:r>
              <w:rPr>
                <w:szCs w:val="24"/>
              </w:rPr>
              <w:t>ОКОПФ 75103</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tc>
        <w:tc>
          <w:tcPr>
            <w:tcW w:w="4820" w:type="dxa"/>
            <w:tcBorders/>
          </w:tcPr>
          <w:p>
            <w:pPr>
              <w:pStyle w:val="Normal"/>
              <w:jc w:val="both"/>
              <w:rPr/>
            </w:pPr>
            <w:r>
              <w:rPr/>
            </w:r>
          </w:p>
          <w:p>
            <w:pPr>
              <w:pStyle w:val="Normal"/>
              <w:jc w:val="both"/>
              <w:rPr>
                <w:b/>
                <w:bCs/>
                <w:shd w:fill="FFFF00" w:val="clear"/>
              </w:rPr>
            </w:pPr>
            <w:r>
              <w:rPr>
                <w:b/>
                <w:bCs/>
                <w:shd w:fill="FFFF00" w:val="clear"/>
              </w:rPr>
              <w:t>Поставщик:</w:t>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default" r:id="rId2"/>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pPr>
      <w:r>
        <w:rPr/>
        <w:t xml:space="preserve">Приложение №1 </w:t>
      </w:r>
    </w:p>
    <w:p>
      <w:pPr>
        <w:pStyle w:val="Normal"/>
        <w:spacing w:before="0" w:after="60"/>
        <w:jc w:val="right"/>
        <w:rPr/>
      </w:pPr>
      <w:r>
        <w:rPr/>
        <w:t xml:space="preserve">                                                                                                                         </w:t>
      </w:r>
      <w:bookmarkStart w:id="10" w:name="_Hlk180496427"/>
      <w:r>
        <w:rPr/>
        <w:t xml:space="preserve">к Контракту </w:t>
      </w:r>
      <w:r>
        <w:rPr>
          <w:b/>
          <w:bCs/>
        </w:rPr>
        <w:t xml:space="preserve">№ </w:t>
      </w:r>
      <w:r>
        <w:rPr>
          <w:b/>
          <w:bCs/>
        </w:rPr>
        <w:t>111</w:t>
      </w:r>
      <w:r>
        <w:rPr>
          <w:b/>
          <w:bCs/>
        </w:rPr>
        <w:t>/26</w:t>
      </w:r>
    </w:p>
    <w:p>
      <w:pPr>
        <w:pStyle w:val="Normal"/>
        <w:spacing w:before="0" w:after="60"/>
        <w:jc w:val="right"/>
        <w:rPr>
          <w:b/>
          <w:bCs/>
        </w:rPr>
      </w:pPr>
      <w:r>
        <w:rPr/>
        <w:t xml:space="preserve">                                                                                                                                </w:t>
      </w:r>
      <w:r>
        <w:rPr>
          <w:rFonts w:eastAsia="Calibri"/>
          <w:lang w:eastAsia="en-US"/>
        </w:rPr>
        <w:t>«      » ______________ 2026г.</w:t>
      </w:r>
      <w:bookmarkEnd w:id="10"/>
    </w:p>
    <w:p>
      <w:pPr>
        <w:pStyle w:val="Normal"/>
        <w:spacing w:before="0" w:after="60"/>
        <w:jc w:val="center"/>
        <w:rPr>
          <w:b/>
          <w:bCs/>
        </w:rPr>
      </w:pPr>
      <w:r>
        <w:rPr>
          <w:b/>
          <w:bCs/>
        </w:rPr>
        <w:t>Спецификация</w:t>
      </w:r>
    </w:p>
    <w:p>
      <w:pPr>
        <w:pStyle w:val="Normal"/>
        <w:spacing w:before="0" w:after="60"/>
        <w:jc w:val="center"/>
        <w:rPr>
          <w:b/>
          <w:bCs/>
        </w:rPr>
      </w:pPr>
      <w:r>
        <w:rPr>
          <w:b/>
          <w:bCs/>
        </w:rPr>
      </w:r>
    </w:p>
    <w:tbl>
      <w:tblPr>
        <w:tblW w:w="15714" w:type="dxa"/>
        <w:jc w:val="left"/>
        <w:tblInd w:w="0" w:type="dxa"/>
        <w:tblLayout w:type="fixed"/>
        <w:tblCellMar>
          <w:top w:w="0" w:type="dxa"/>
          <w:left w:w="108" w:type="dxa"/>
          <w:bottom w:w="0" w:type="dxa"/>
          <w:right w:w="108" w:type="dxa"/>
        </w:tblCellMar>
      </w:tblPr>
      <w:tblGrid>
        <w:gridCol w:w="562"/>
        <w:gridCol w:w="38"/>
        <w:gridCol w:w="7764"/>
        <w:gridCol w:w="399"/>
        <w:gridCol w:w="849"/>
        <w:gridCol w:w="306"/>
        <w:gridCol w:w="101"/>
        <w:gridCol w:w="1155"/>
        <w:gridCol w:w="264"/>
        <w:gridCol w:w="870"/>
        <w:gridCol w:w="1278"/>
        <w:gridCol w:w="2128"/>
      </w:tblGrid>
      <w:tr>
        <w:trPr>
          <w:trHeight w:val="574" w:hRule="atLeast"/>
        </w:trPr>
        <w:tc>
          <w:tcPr>
            <w:tcW w:w="60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auto" w:val="clear"/>
              </w:rPr>
            </w:pPr>
            <w:r>
              <w:rPr>
                <w:shd w:fill="auto" w:val="clear"/>
              </w:rPr>
              <w:t>№</w:t>
            </w:r>
          </w:p>
          <w:p>
            <w:pPr>
              <w:pStyle w:val="Normal"/>
              <w:widowControl w:val="false"/>
              <w:jc w:val="center"/>
              <w:rPr>
                <w:shd w:fill="auto" w:val="clear"/>
              </w:rPr>
            </w:pPr>
            <w:r>
              <w:rPr>
                <w:shd w:fill="auto" w:val="clear"/>
              </w:rPr>
              <w:t>п/п</w:t>
            </w:r>
          </w:p>
        </w:tc>
        <w:tc>
          <w:tcPr>
            <w:tcW w:w="77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auto" w:val="clear"/>
              </w:rPr>
            </w:pPr>
            <w:r>
              <w:rPr>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shd w:fill="auto" w:val="clear"/>
              </w:rPr>
            </w:pPr>
            <w:r>
              <w:rPr>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auto" w:val="clear"/>
              </w:rPr>
            </w:pPr>
            <w:r>
              <w:rPr>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fill="FFFFFF" w:val="clear"/>
              <w:jc w:val="center"/>
              <w:rPr>
                <w:shd w:fill="auto" w:val="clear"/>
              </w:rPr>
            </w:pPr>
            <w:r>
              <w:rPr>
                <w:color w:val="000000"/>
                <w:spacing w:val="-11"/>
                <w:shd w:fill="auto" w:val="clear"/>
              </w:rPr>
              <w:t>Стоимость единицы с НДС , рублей</w:t>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fill="FFFFFF" w:val="clear"/>
              <w:jc w:val="center"/>
              <w:rPr>
                <w:shd w:fill="auto" w:val="clear"/>
              </w:rPr>
            </w:pPr>
            <w:r>
              <w:rPr>
                <w:color w:val="000000"/>
                <w:spacing w:val="-11"/>
                <w:shd w:fill="auto" w:val="clear"/>
              </w:rPr>
              <w:t>Общая стоимость с НДС, рублей</w:t>
            </w:r>
          </w:p>
        </w:tc>
      </w:tr>
      <w:tr>
        <w:trPr>
          <w:trHeight w:val="406" w:hRule="atLeast"/>
        </w:trPr>
        <w:tc>
          <w:tcPr>
            <w:tcW w:w="600" w:type="dxa"/>
            <w:gridSpan w:val="2"/>
            <w:tcBorders>
              <w:top w:val="single" w:sz="4" w:space="0" w:color="000000"/>
              <w:left w:val="single" w:sz="10" w:space="0" w:color="000000"/>
              <w:bottom w:val="single" w:sz="4" w:space="0" w:color="000000"/>
              <w:right w:val="single" w:sz="4" w:space="0" w:color="000000"/>
            </w:tcBorders>
            <w:vAlign w:val="center"/>
          </w:tcPr>
          <w:p>
            <w:pPr>
              <w:pStyle w:val="Normal"/>
              <w:jc w:val="center"/>
              <w:rPr>
                <w:shd w:fill="auto" w:val="clear"/>
              </w:rPr>
            </w:pPr>
            <w:r>
              <w:rPr>
                <w:shd w:fill="auto" w:val="clear"/>
              </w:rPr>
              <w:t>1</w:t>
            </w:r>
          </w:p>
        </w:tc>
        <w:tc>
          <w:tcPr>
            <w:tcW w:w="7764" w:type="dxa"/>
            <w:tcBorders>
              <w:top w:val="single" w:sz="4" w:space="0" w:color="000001"/>
              <w:left w:val="single" w:sz="4" w:space="0" w:color="000001"/>
              <w:bottom w:val="single" w:sz="4" w:space="0" w:color="000000"/>
              <w:right w:val="single" w:sz="4" w:space="0" w:color="000000"/>
            </w:tcBorders>
          </w:tcPr>
          <w:p>
            <w:pPr>
              <w:pStyle w:val="Style22"/>
              <w:rPr>
                <w:rFonts w:ascii="Times New Roman" w:hAnsi="Times New Roman" w:cs="Times New Roman"/>
                <w:b w:val="false"/>
                <w:bCs w:val="false"/>
                <w:sz w:val="20"/>
                <w:szCs w:val="20"/>
                <w:shd w:fill="FFFFFF" w:val="clear"/>
              </w:rPr>
            </w:pPr>
            <w:r>
              <w:rPr>
                <w:rFonts w:cs="Times New Roman" w:ascii="Times New Roman" w:hAnsi="Times New Roman"/>
                <w:b w:val="false"/>
                <w:bCs w:val="false"/>
                <w:sz w:val="20"/>
                <w:szCs w:val="20"/>
                <w:shd w:fill="FFFFFF" w:val="clear"/>
              </w:rPr>
              <w:t xml:space="preserve">Шовный материал хирургический стерильный: </w:t>
            </w:r>
            <w:r>
              <w:rPr>
                <w:rFonts w:cs="Times New Roman" w:ascii="Times New Roman" w:hAnsi="Times New Roman"/>
                <w:b/>
                <w:bCs/>
                <w:sz w:val="16"/>
                <w:szCs w:val="16"/>
                <w:shd w:fill="FFFFFF" w:val="clear"/>
              </w:rPr>
              <w:t xml:space="preserve">МедЛавсан ,  хирургическая из полиэфира, плетеная, неокрашенная EP 3 USP 2/0 длина нити 75 см,  с иглой атравматической 25 мм, ½ окружности, колющая </w:t>
            </w:r>
          </w:p>
          <w:p>
            <w:pPr>
              <w:pStyle w:val="Style22"/>
              <w:rPr>
                <w:rFonts w:ascii="Times New Roman" w:hAnsi="Times New Roman" w:cs="Times New Roman"/>
                <w:b w:val="false"/>
                <w:bCs w:val="false"/>
                <w:sz w:val="20"/>
                <w:szCs w:val="20"/>
                <w:shd w:fill="FFFFFF" w:val="clear"/>
              </w:rPr>
            </w:pPr>
            <w:r>
              <w:rPr>
                <w:rFonts w:cs="Times New Roman" w:ascii="Times New Roman" w:hAnsi="Times New Roman"/>
                <w:b/>
                <w:bCs/>
                <w:sz w:val="16"/>
                <w:szCs w:val="16"/>
                <w:shd w:fill="FFFFFF" w:val="clear"/>
              </w:rPr>
            </w:r>
          </w:p>
          <w:tbl>
            <w:tblPr>
              <w:tblW w:w="7483" w:type="dxa"/>
              <w:jc w:val="left"/>
              <w:tblInd w:w="0" w:type="dxa"/>
              <w:tblLayout w:type="fixed"/>
              <w:tblCellMar>
                <w:top w:w="0" w:type="dxa"/>
                <w:left w:w="108" w:type="dxa"/>
                <w:bottom w:w="0" w:type="dxa"/>
                <w:right w:w="108" w:type="dxa"/>
              </w:tblCellMar>
            </w:tblPr>
            <w:tblGrid>
              <w:gridCol w:w="3068"/>
              <w:gridCol w:w="2658"/>
              <w:gridCol w:w="1757"/>
            </w:tblGrid>
            <w:tr>
              <w:trPr/>
              <w:tc>
                <w:tcPr>
                  <w:tcW w:w="3068"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bCs/>
                      <w:caps/>
                      <w:color w:val="000000"/>
                      <w:sz w:val="16"/>
                      <w:szCs w:val="16"/>
                      <w:shd w:fill="auto" w:val="clear"/>
                    </w:rPr>
                  </w:pPr>
                  <w:r>
                    <w:rPr>
                      <w:rFonts w:eastAsia="Times New Roman" w:cs="Times New Roman" w:ascii="Times New Roman" w:hAnsi="Times New Roman"/>
                      <w:b/>
                      <w:bCs/>
                      <w:caps/>
                      <w:color w:val="000000"/>
                      <w:sz w:val="16"/>
                      <w:szCs w:val="16"/>
                      <w:shd w:fill="auto" w:val="clear"/>
                    </w:rPr>
                    <w:t>НАИМЕНОВАНИЕ ХАРАКТЕРИСТИКИ</w:t>
                  </w:r>
                </w:p>
              </w:tc>
              <w:tc>
                <w:tcPr>
                  <w:tcW w:w="2658"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t>ЗНАЧЕНИЕ ХАРАКТЕРИСТИКИ</w:t>
                  </w:r>
                </w:p>
              </w:tc>
              <w:tc>
                <w:tcPr>
                  <w:tcW w:w="1757"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t>ЕДИНИЦА ИЗМЕРЕНИЯ ХАРАКТЕРИСТИКИ</w:t>
                  </w:r>
                </w:p>
              </w:tc>
            </w:tr>
            <w:tr>
              <w:trPr/>
              <w:tc>
                <w:tcPr>
                  <w:tcW w:w="7483" w:type="dxa"/>
                  <w:gridSpan w:val="3"/>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t>Дополнительные характеристики:</w:t>
                  </w:r>
                </w:p>
              </w:tc>
            </w:tr>
            <w:tr>
              <w:trPr>
                <w:trHeight w:val="422" w:hRule="atLeast"/>
              </w:trPr>
              <w:tc>
                <w:tcPr>
                  <w:tcW w:w="3068"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16"/>
                      <w:szCs w:val="16"/>
                    </w:rPr>
                  </w:pPr>
                  <w:r>
                    <w:rPr>
                      <w:rFonts w:cs="Times New Roman"/>
                      <w:sz w:val="16"/>
                      <w:szCs w:val="16"/>
                    </w:rPr>
                    <w:t>Нить</w:t>
                  </w:r>
                </w:p>
              </w:tc>
              <w:tc>
                <w:tcPr>
                  <w:tcW w:w="2658"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lang w:val="en-US"/>
                    </w:rPr>
                  </w:pPr>
                  <w:r>
                    <w:rPr>
                      <w:rFonts w:cs="Times New Roman"/>
                      <w:bCs/>
                      <w:sz w:val="16"/>
                      <w:szCs w:val="16"/>
                      <w:lang w:val="en-US"/>
                    </w:rPr>
                    <w:t>Плетеная, нерассасывающаяся, полиэфирная, без покрытия, неокрашенная, стерильная</w:t>
                  </w:r>
                </w:p>
              </w:tc>
              <w:tc>
                <w:tcPr>
                  <w:tcW w:w="175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bCs/>
                      <w:sz w:val="16"/>
                      <w:szCs w:val="16"/>
                      <w:lang w:val="en-US"/>
                    </w:rPr>
                  </w:r>
                </w:p>
              </w:tc>
            </w:tr>
            <w:tr>
              <w:trPr/>
              <w:tc>
                <w:tcPr>
                  <w:tcW w:w="3068" w:type="dxa"/>
                  <w:tcBorders>
                    <w:left w:val="single" w:sz="4" w:space="0" w:color="000000"/>
                    <w:bottom w:val="single" w:sz="4" w:space="0" w:color="000000"/>
                    <w:right w:val="single" w:sz="4" w:space="0" w:color="000000"/>
                  </w:tcBorders>
                </w:tcPr>
                <w:p>
                  <w:pPr>
                    <w:pStyle w:val="Normal"/>
                    <w:widowControl w:val="false"/>
                    <w:overflowPunct w:val="true"/>
                    <w:spacing w:before="0" w:after="0"/>
                    <w:rPr>
                      <w:rFonts w:ascii="Times New Roman" w:hAnsi="Times New Roman" w:cs="Times New Roman"/>
                      <w:bCs/>
                      <w:sz w:val="16"/>
                      <w:szCs w:val="16"/>
                    </w:rPr>
                  </w:pPr>
                  <w:r>
                    <w:rPr>
                      <w:rFonts w:cs="Times New Roman"/>
                      <w:bCs/>
                      <w:sz w:val="16"/>
                      <w:szCs w:val="16"/>
                    </w:rPr>
                    <w:t>Область применения</w:t>
                  </w:r>
                </w:p>
              </w:tc>
              <w:tc>
                <w:tcPr>
                  <w:tcW w:w="2658" w:type="dxa"/>
                  <w:tcBorders>
                    <w:left w:val="single" w:sz="4" w:space="0" w:color="000000"/>
                    <w:bottom w:val="single" w:sz="4" w:space="0" w:color="000000"/>
                    <w:right w:val="single" w:sz="4" w:space="0" w:color="000000"/>
                  </w:tcBorders>
                </w:tcPr>
                <w:p>
                  <w:pPr>
                    <w:pStyle w:val="Normal"/>
                    <w:widowControl w:val="false"/>
                    <w:overflowPunct w:val="true"/>
                    <w:spacing w:before="0" w:after="0"/>
                    <w:rPr>
                      <w:rFonts w:ascii="Times New Roman" w:hAnsi="Times New Roman" w:cs="Times New Roman"/>
                      <w:sz w:val="16"/>
                      <w:szCs w:val="16"/>
                      <w:shd w:fill="FFFFFF" w:val="clear"/>
                    </w:rPr>
                  </w:pPr>
                  <w:r>
                    <w:rPr>
                      <w:rFonts w:cs="Times New Roman"/>
                      <w:sz w:val="16"/>
                      <w:szCs w:val="16"/>
                      <w:shd w:fill="FFFFFF" w:val="clear"/>
                    </w:rPr>
                    <w:t>Сердечно-сосудистая хирургия</w:t>
                  </w:r>
                </w:p>
              </w:tc>
              <w:tc>
                <w:tcPr>
                  <w:tcW w:w="1757"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bCs/>
                      <w:sz w:val="16"/>
                      <w:szCs w:val="16"/>
                      <w:lang w:val="en-US"/>
                    </w:rPr>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16"/>
                      <w:szCs w:val="16"/>
                    </w:rPr>
                  </w:pPr>
                  <w:r>
                    <w:rPr>
                      <w:rFonts w:cs="Times New Roman"/>
                      <w:sz w:val="16"/>
                      <w:szCs w:val="16"/>
                    </w:rPr>
                    <w:t>Условный размер нити (USP)</w:t>
                  </w:r>
                </w:p>
              </w:tc>
              <w:tc>
                <w:tcPr>
                  <w:tcW w:w="265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2/0</w:t>
                  </w:r>
                </w:p>
              </w:tc>
              <w:tc>
                <w:tcPr>
                  <w:tcW w:w="1757"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bCs/>
                      <w:sz w:val="16"/>
                      <w:szCs w:val="16"/>
                      <w:lang w:val="en-US"/>
                    </w:rPr>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16"/>
                      <w:szCs w:val="16"/>
                    </w:rPr>
                  </w:pPr>
                  <w:r>
                    <w:rPr>
                      <w:rFonts w:cs="Times New Roman"/>
                      <w:sz w:val="16"/>
                      <w:szCs w:val="16"/>
                    </w:rPr>
                    <w:t>Метрический размер нити (EP)</w:t>
                  </w:r>
                </w:p>
              </w:tc>
              <w:tc>
                <w:tcPr>
                  <w:tcW w:w="265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3</w:t>
                  </w:r>
                </w:p>
              </w:tc>
              <w:tc>
                <w:tcPr>
                  <w:tcW w:w="1757"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bCs/>
                      <w:sz w:val="16"/>
                      <w:szCs w:val="16"/>
                      <w:lang w:val="en-US"/>
                    </w:rPr>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Длина нити</w:t>
                  </w:r>
                </w:p>
              </w:tc>
              <w:tc>
                <w:tcPr>
                  <w:tcW w:w="265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75</w:t>
                  </w:r>
                </w:p>
              </w:tc>
              <w:tc>
                <w:tcPr>
                  <w:tcW w:w="1757"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см</w:t>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Игла</w:t>
                  </w:r>
                </w:p>
              </w:tc>
              <w:tc>
                <w:tcPr>
                  <w:tcW w:w="265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колющая</w:t>
                  </w:r>
                </w:p>
              </w:tc>
              <w:tc>
                <w:tcPr>
                  <w:tcW w:w="1757"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bCs/>
                      <w:sz w:val="16"/>
                      <w:szCs w:val="16"/>
                      <w:lang w:val="en-US"/>
                    </w:rPr>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Длина иглы</w:t>
                  </w:r>
                </w:p>
              </w:tc>
              <w:tc>
                <w:tcPr>
                  <w:tcW w:w="265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25</w:t>
                  </w:r>
                </w:p>
              </w:tc>
              <w:tc>
                <w:tcPr>
                  <w:tcW w:w="1757"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мм</w:t>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Окружность иглы</w:t>
                  </w:r>
                </w:p>
              </w:tc>
              <w:tc>
                <w:tcPr>
                  <w:tcW w:w="265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1/2</w:t>
                  </w:r>
                </w:p>
              </w:tc>
              <w:tc>
                <w:tcPr>
                  <w:tcW w:w="1757"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bCs/>
                      <w:sz w:val="16"/>
                      <w:szCs w:val="16"/>
                      <w:lang w:val="en-US"/>
                    </w:rPr>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Материал иглы</w:t>
                  </w:r>
                </w:p>
              </w:tc>
              <w:tc>
                <w:tcPr>
                  <w:tcW w:w="265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твердоволоконная нержавеющая (коррозионностойкая) аустенитная хромоникелевая сталь</w:t>
                  </w:r>
                </w:p>
              </w:tc>
              <w:tc>
                <w:tcPr>
                  <w:tcW w:w="1757"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rPr>
                  </w:pPr>
                  <w:r>
                    <w:rPr>
                      <w:rFonts w:cs="Times New Roman"/>
                      <w:bCs/>
                      <w:sz w:val="16"/>
                      <w:szCs w:val="16"/>
                    </w:rPr>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Наружная поверхность иглы</w:t>
                  </w:r>
                </w:p>
              </w:tc>
              <w:tc>
                <w:tcPr>
                  <w:tcW w:w="265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блестящая, без царапин, трещин и заусенцев</w:t>
                  </w:r>
                </w:p>
              </w:tc>
              <w:tc>
                <w:tcPr>
                  <w:tcW w:w="1757"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rPr>
                  </w:pPr>
                  <w:r>
                    <w:rPr>
                      <w:rFonts w:cs="Times New Roman"/>
                      <w:bCs/>
                      <w:sz w:val="16"/>
                      <w:szCs w:val="16"/>
                    </w:rPr>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Место запрессовки нити в игле</w:t>
                  </w:r>
                </w:p>
              </w:tc>
              <w:tc>
                <w:tcPr>
                  <w:tcW w:w="265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выполнено методом сверления</w:t>
                  </w:r>
                </w:p>
              </w:tc>
              <w:tc>
                <w:tcPr>
                  <w:tcW w:w="1757"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bCs/>
                      <w:sz w:val="16"/>
                      <w:szCs w:val="16"/>
                      <w:lang w:val="en-US"/>
                    </w:rPr>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Опрессовка нити в игле</w:t>
                  </w:r>
                </w:p>
              </w:tc>
              <w:tc>
                <w:tcPr>
                  <w:tcW w:w="265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выполнена объемным способом</w:t>
                  </w:r>
                </w:p>
              </w:tc>
              <w:tc>
                <w:tcPr>
                  <w:tcW w:w="1757"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bCs/>
                      <w:sz w:val="16"/>
                      <w:szCs w:val="16"/>
                      <w:lang w:val="en-US"/>
                    </w:rPr>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 xml:space="preserve">Информация о хирургическом шовном материале на этикетке и заводской упаковке </w:t>
                  </w:r>
                </w:p>
              </w:tc>
              <w:tc>
                <w:tcPr>
                  <w:tcW w:w="2658" w:type="dxa"/>
                  <w:tcBorders>
                    <w:left w:val="single" w:sz="4" w:space="0" w:color="000000"/>
                    <w:bottom w:val="single" w:sz="4" w:space="0" w:color="000000"/>
                    <w:right w:val="single" w:sz="4" w:space="0" w:color="000000"/>
                  </w:tcBorders>
                </w:tcPr>
                <w:p>
                  <w:pPr>
                    <w:pStyle w:val="Normal"/>
                    <w:widowControl w:val="false"/>
                    <w:overflowPunct w:val="true"/>
                    <w:spacing w:before="0" w:after="0"/>
                    <w:rPr>
                      <w:rFonts w:ascii="Times New Roman" w:hAnsi="Times New Roman" w:cs="Times New Roman"/>
                      <w:bCs/>
                      <w:sz w:val="16"/>
                      <w:szCs w:val="16"/>
                    </w:rPr>
                  </w:pPr>
                  <w:r>
                    <w:rPr>
                      <w:rFonts w:cs="Times New Roman"/>
                      <w:bCs/>
                      <w:sz w:val="16"/>
                      <w:szCs w:val="16"/>
                    </w:rPr>
                    <w:t>Соответствие</w:t>
                  </w:r>
                </w:p>
              </w:tc>
              <w:tc>
                <w:tcPr>
                  <w:tcW w:w="1757"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rPr>
                  </w:pPr>
                  <w:r>
                    <w:rPr>
                      <w:rFonts w:cs="Times New Roman"/>
                      <w:bCs/>
                      <w:sz w:val="16"/>
                      <w:szCs w:val="16"/>
                    </w:rPr>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16"/>
                      <w:szCs w:val="16"/>
                      <w:lang w:eastAsia="ru-RU"/>
                    </w:rPr>
                  </w:pPr>
                  <w:r>
                    <w:rPr>
                      <w:rFonts w:cs="Times New Roman"/>
                      <w:sz w:val="16"/>
                      <w:szCs w:val="16"/>
                      <w:lang w:eastAsia="ru-RU"/>
                    </w:rPr>
                    <w:t>Поставка в групповой заводской упаковке производителя</w:t>
                  </w:r>
                </w:p>
              </w:tc>
              <w:tc>
                <w:tcPr>
                  <w:tcW w:w="2658" w:type="dxa"/>
                  <w:tcBorders>
                    <w:left w:val="single" w:sz="4" w:space="0" w:color="000000"/>
                    <w:bottom w:val="single" w:sz="4" w:space="0" w:color="000000"/>
                    <w:right w:val="single" w:sz="4" w:space="0" w:color="000000"/>
                  </w:tcBorders>
                </w:tcPr>
                <w:p>
                  <w:pPr>
                    <w:pStyle w:val="Normal"/>
                    <w:widowControl w:val="false"/>
                    <w:overflowPunct w:val="true"/>
                    <w:spacing w:before="0" w:after="0"/>
                    <w:rPr>
                      <w:rFonts w:ascii="Times New Roman" w:hAnsi="Times New Roman" w:cs="Times New Roman"/>
                      <w:sz w:val="16"/>
                      <w:szCs w:val="16"/>
                    </w:rPr>
                  </w:pPr>
                  <w:r>
                    <w:rPr>
                      <w:rFonts w:cs="Times New Roman"/>
                      <w:sz w:val="16"/>
                      <w:szCs w:val="16"/>
                    </w:rPr>
                    <w:t>Соответствие</w:t>
                  </w:r>
                </w:p>
              </w:tc>
              <w:tc>
                <w:tcPr>
                  <w:tcW w:w="1757" w:type="dxa"/>
                  <w:tcBorders>
                    <w:left w:val="single" w:sz="4" w:space="0" w:color="000000"/>
                    <w:bottom w:val="single" w:sz="4" w:space="0" w:color="000000"/>
                    <w:right w:val="single" w:sz="4" w:space="0" w:color="000000"/>
                  </w:tcBorders>
                </w:tcPr>
                <w:p>
                  <w:pPr>
                    <w:pStyle w:val="Normal"/>
                    <w:widowControl w:val="false"/>
                    <w:overflowPunct w:val="true"/>
                    <w:snapToGrid w:val="false"/>
                    <w:spacing w:before="0" w:after="0"/>
                    <w:rPr>
                      <w:rFonts w:ascii="Times New Roman" w:hAnsi="Times New Roman" w:cs="Times New Roman"/>
                      <w:bCs/>
                      <w:sz w:val="16"/>
                      <w:szCs w:val="16"/>
                      <w:lang w:val="en-US"/>
                    </w:rPr>
                  </w:pPr>
                  <w:r>
                    <w:rPr>
                      <w:rFonts w:cs="Times New Roman"/>
                      <w:bCs/>
                      <w:sz w:val="16"/>
                      <w:szCs w:val="16"/>
                      <w:lang w:val="en-US"/>
                    </w:rPr>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Инструкции о хирургическом шовном материале на русском языке</w:t>
                  </w:r>
                </w:p>
              </w:tc>
              <w:tc>
                <w:tcPr>
                  <w:tcW w:w="265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bCs/>
                      <w:sz w:val="16"/>
                      <w:szCs w:val="16"/>
                    </w:rPr>
                    <w:t>наличие</w:t>
                  </w:r>
                </w:p>
              </w:tc>
              <w:tc>
                <w:tcPr>
                  <w:tcW w:w="1757"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rPr>
                  </w:pPr>
                  <w:r>
                    <w:rPr>
                      <w:rFonts w:cs="Times New Roman"/>
                      <w:bCs/>
                      <w:sz w:val="16"/>
                      <w:szCs w:val="16"/>
                    </w:rPr>
                  </w:r>
                </w:p>
              </w:tc>
            </w:tr>
          </w:tbl>
          <w:p>
            <w:pPr>
              <w:pStyle w:val="Normal"/>
              <w:rPr>
                <w:rFonts w:ascii="Times New Roman" w:hAnsi="Times New Roman" w:cs="Times New Roman"/>
                <w:b w:val="false"/>
                <w:bCs w:val="false"/>
                <w:sz w:val="20"/>
                <w:szCs w:val="20"/>
                <w:shd w:fill="FFFFFF" w:val="clear"/>
              </w:rPr>
            </w:pPr>
            <w:r>
              <w:rPr>
                <w:rFonts w:cs="Times New Roman" w:ascii="Times New Roman" w:hAnsi="Times New Roman"/>
                <w:b/>
                <w:bCs/>
                <w:sz w:val="16"/>
                <w:szCs w:val="16"/>
                <w:shd w:fill="FFFFFF" w:val="clear"/>
              </w:rPr>
            </w:r>
          </w:p>
          <w:p>
            <w:pPr>
              <w:pStyle w:val="Normal"/>
              <w:rPr>
                <w:rFonts w:ascii="Times New Roman" w:hAnsi="Times New Roman" w:cs="Times New Roman"/>
                <w:b w:val="false"/>
                <w:bCs w:val="false"/>
                <w:sz w:val="20"/>
                <w:szCs w:val="20"/>
                <w:shd w:fill="FFFFFF" w:val="clear"/>
              </w:rPr>
            </w:pPr>
            <w:r>
              <w:rPr>
                <w:rFonts w:cs="Times New Roman" w:ascii="Times New Roman" w:hAnsi="Times New Roman"/>
                <w:b/>
                <w:bCs/>
                <w:sz w:val="16"/>
                <w:szCs w:val="16"/>
                <w:shd w:fill="FFFFFF" w:val="clear"/>
              </w:rPr>
              <w:t xml:space="preserve">ОКПД 2   21.20.24.120  </w:t>
            </w:r>
          </w:p>
          <w:p>
            <w:pPr>
              <w:pStyle w:val="Normal"/>
              <w:rPr>
                <w:rFonts w:ascii="Times New Roman" w:hAnsi="Times New Roman" w:cs="Times New Roman"/>
                <w:b w:val="false"/>
                <w:bCs w:val="false"/>
                <w:sz w:val="20"/>
                <w:szCs w:val="20"/>
                <w:shd w:fill="FFFFFF" w:val="clear"/>
              </w:rPr>
            </w:pPr>
            <w:r>
              <w:rPr>
                <w:rFonts w:cs="Times New Roman" w:ascii="Times New Roman" w:hAnsi="Times New Roman"/>
                <w:b/>
                <w:bCs/>
                <w:sz w:val="16"/>
                <w:szCs w:val="16"/>
                <w:shd w:fill="FFFFFF" w:val="clear"/>
              </w:rPr>
              <w:t>Страна происхождения:</w:t>
            </w:r>
          </w:p>
          <w:p>
            <w:pPr>
              <w:pStyle w:val="Normal"/>
              <w:rPr>
                <w:rFonts w:ascii="Times New Roman" w:hAnsi="Times New Roman" w:cs="Times New Roman"/>
                <w:b w:val="false"/>
                <w:bCs w:val="false"/>
                <w:sz w:val="20"/>
                <w:szCs w:val="20"/>
                <w:shd w:fill="FFFFFF" w:val="clear"/>
              </w:rPr>
            </w:pPr>
            <w:r>
              <w:rPr>
                <w:rFonts w:cs="Times New Roman"/>
                <w:b w:val="false"/>
                <w:bCs w:val="false"/>
                <w:sz w:val="20"/>
                <w:szCs w:val="20"/>
                <w:shd w:fill="FFFFFF" w:val="clear"/>
              </w:rPr>
            </w:r>
          </w:p>
        </w:tc>
        <w:tc>
          <w:tcPr>
            <w:tcW w:w="1554"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b w:val="false"/>
                <w:bCs w:val="false"/>
                <w:sz w:val="20"/>
                <w:szCs w:val="20"/>
              </w:rPr>
            </w:pPr>
            <w:r>
              <w:rPr>
                <w:rFonts w:cs="Times New Roman" w:ascii="Times New Roman" w:hAnsi="Times New Roman"/>
                <w:b w:val="false"/>
                <w:bCs w:val="false"/>
                <w:sz w:val="16"/>
                <w:szCs w:val="16"/>
                <w:shd w:fill="auto" w:val="clear"/>
                <w:lang w:eastAsia="ru-RU"/>
              </w:rPr>
              <w:t>2500</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b w:val="false"/>
                <w:bCs w:val="false"/>
                <w:sz w:val="20"/>
                <w:szCs w:val="20"/>
              </w:rPr>
            </w:pPr>
            <w:r>
              <w:rPr>
                <w:b w:val="false"/>
                <w:bCs w:val="false"/>
                <w:sz w:val="20"/>
                <w:szCs w:val="20"/>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shd w:fill="auto" w:val="clear"/>
              </w:rPr>
            </w:pPr>
            <w:r>
              <w:rPr>
                <w:shd w:fill="auto" w:val="clear"/>
              </w:rPr>
            </w:r>
          </w:p>
        </w:tc>
        <w:tc>
          <w:tcPr>
            <w:tcW w:w="2128" w:type="dxa"/>
            <w:tcBorders>
              <w:top w:val="single" w:sz="4" w:space="0" w:color="000000"/>
              <w:left w:val="single" w:sz="4" w:space="0" w:color="000000"/>
              <w:bottom w:val="single" w:sz="4" w:space="0" w:color="000000"/>
              <w:right w:val="single" w:sz="10" w:space="0" w:color="000000"/>
            </w:tcBorders>
            <w:vAlign w:val="center"/>
          </w:tcPr>
          <w:p>
            <w:pPr>
              <w:pStyle w:val="Normal"/>
              <w:jc w:val="center"/>
              <w:rPr>
                <w:b/>
                <w:bCs/>
                <w:shd w:fill="auto" w:val="clear"/>
              </w:rPr>
            </w:pPr>
            <w:r>
              <w:rPr>
                <w:b/>
                <w:bCs/>
                <w:shd w:fill="auto" w:val="clear"/>
              </w:rPr>
            </w:r>
          </w:p>
        </w:tc>
      </w:tr>
      <w:tr>
        <w:trPr>
          <w:trHeight w:val="574"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jc w:val="center"/>
              <w:rPr>
                <w:b/>
                <w:bCs/>
                <w:shd w:fill="auto" w:val="clear"/>
              </w:rPr>
            </w:pPr>
            <w:r>
              <w:rPr>
                <w:b/>
                <w:bCs/>
                <w:shd w:fill="auto" w:val="clear"/>
              </w:rPr>
            </w:r>
          </w:p>
        </w:tc>
        <w:tc>
          <w:tcPr>
            <w:tcW w:w="13024" w:type="dxa"/>
            <w:gridSpan w:val="10"/>
            <w:tcBorders>
              <w:top w:val="single" w:sz="4" w:space="0" w:color="000000"/>
              <w:left w:val="single" w:sz="4" w:space="0" w:color="000000"/>
              <w:bottom w:val="single" w:sz="4" w:space="0" w:color="000000"/>
              <w:right w:val="single" w:sz="4" w:space="0" w:color="000000"/>
            </w:tcBorders>
          </w:tcPr>
          <w:p>
            <w:pPr>
              <w:pStyle w:val="Normal"/>
              <w:jc w:val="center"/>
              <w:rPr>
                <w:shd w:fill="auto" w:val="clear"/>
              </w:rPr>
            </w:pPr>
            <w:r>
              <w:rPr>
                <w:b/>
                <w:bCs/>
                <w:shd w:fill="auto" w:val="clear"/>
              </w:rPr>
              <w:t>ИТОГО:</w:t>
            </w:r>
          </w:p>
        </w:tc>
        <w:tc>
          <w:tcPr>
            <w:tcW w:w="2128" w:type="dxa"/>
            <w:tcBorders>
              <w:top w:val="single" w:sz="4" w:space="0" w:color="000000"/>
              <w:left w:val="single" w:sz="4" w:space="0" w:color="000000"/>
              <w:bottom w:val="single" w:sz="4" w:space="0" w:color="000000"/>
              <w:right w:val="single" w:sz="4" w:space="0" w:color="000000"/>
            </w:tcBorders>
          </w:tcPr>
          <w:p>
            <w:pPr>
              <w:pStyle w:val="Normal"/>
              <w:jc w:val="center"/>
              <w:rPr>
                <w:b/>
                <w:bCs/>
                <w:shd w:fill="auto" w:val="clear"/>
              </w:rPr>
            </w:pPr>
            <w:r>
              <w:rPr>
                <w:b/>
                <w:bCs/>
                <w:shd w:fill="auto" w:val="clear"/>
              </w:rPr>
            </w:r>
          </w:p>
        </w:tc>
      </w:tr>
      <w:tr>
        <w:trPr>
          <w:trHeight w:val="1831" w:hRule="atLeast"/>
        </w:trPr>
        <w:tc>
          <w:tcPr>
            <w:tcW w:w="8763" w:type="dxa"/>
            <w:gridSpan w:val="4"/>
            <w:tcBorders/>
          </w:tcPr>
          <w:p>
            <w:pPr>
              <w:pStyle w:val="Normal"/>
              <w:tabs>
                <w:tab w:val="clear" w:pos="708"/>
                <w:tab w:val="left" w:pos="7680" w:leader="none"/>
              </w:tabs>
              <w:rPr>
                <w:b/>
                <w:color w:val="000000"/>
                <w:shd w:fill="auto" w:val="clear"/>
              </w:rPr>
            </w:pPr>
            <w:r>
              <w:rPr>
                <w:b/>
                <w:color w:val="000000"/>
                <w:shd w:fill="auto" w:val="clear"/>
              </w:rPr>
            </w:r>
          </w:p>
          <w:p>
            <w:pPr>
              <w:pStyle w:val="11"/>
              <w:rPr>
                <w:rFonts w:ascii="Times New Roman" w:hAnsi="Times New Roman" w:cs="Times New Roman"/>
                <w:b/>
                <w:bCs/>
                <w:sz w:val="20"/>
                <w:szCs w:val="20"/>
                <w:shd w:fill="auto" w:val="clear"/>
              </w:rPr>
            </w:pPr>
            <w:r>
              <w:rPr>
                <w:rFonts w:cs="Times New Roman" w:ascii="Times New Roman" w:hAnsi="Times New Roman"/>
                <w:b/>
                <w:bCs/>
                <w:sz w:val="20"/>
                <w:szCs w:val="20"/>
                <w:shd w:fill="auto" w:val="clear"/>
              </w:rPr>
            </w:r>
          </w:p>
          <w:p>
            <w:pPr>
              <w:pStyle w:val="11"/>
              <w:rPr>
                <w:shd w:fill="auto" w:val="clear"/>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shd w:fill="auto" w:val="clear"/>
              </w:rPr>
            </w:pPr>
            <w:r>
              <w:rPr>
                <w:rFonts w:cs="Times New Roman" w:ascii="Times New Roman" w:hAnsi="Times New Roman"/>
                <w:sz w:val="20"/>
                <w:szCs w:val="20"/>
                <w:shd w:fill="auto" w:val="clear"/>
              </w:rPr>
            </w:r>
          </w:p>
          <w:p>
            <w:pPr>
              <w:pStyle w:val="Normal"/>
              <w:rPr>
                <w:shd w:fill="auto" w:val="clear"/>
              </w:rPr>
            </w:pPr>
            <w:r>
              <w:rPr>
                <w:shd w:fill="auto" w:val="clear"/>
              </w:rPr>
              <w:t>____________</w:t>
            </w:r>
          </w:p>
          <w:p>
            <w:pPr>
              <w:pStyle w:val="Normal"/>
              <w:tabs>
                <w:tab w:val="clear" w:pos="708"/>
                <w:tab w:val="left" w:pos="7680" w:leader="none"/>
              </w:tabs>
              <w:rPr>
                <w:shd w:fill="auto" w:val="clear"/>
              </w:rPr>
            </w:pPr>
            <w:r>
              <w:rPr>
                <w:shd w:fill="auto" w:val="clear"/>
              </w:rPr>
              <w:t>м.п.</w:t>
            </w:r>
          </w:p>
        </w:tc>
        <w:tc>
          <w:tcPr>
            <w:tcW w:w="849" w:type="dxa"/>
            <w:tcBorders/>
          </w:tcPr>
          <w:p>
            <w:pPr>
              <w:pStyle w:val="Normal"/>
              <w:tabs>
                <w:tab w:val="clear" w:pos="708"/>
                <w:tab w:val="left" w:pos="7680" w:leader="none"/>
              </w:tabs>
              <w:rPr>
                <w:b/>
                <w:color w:val="000000"/>
                <w:shd w:fill="auto" w:val="clear"/>
              </w:rPr>
            </w:pPr>
            <w:r>
              <w:rPr>
                <w:b/>
                <w:color w:val="000000"/>
                <w:shd w:fill="auto" w:val="clear"/>
              </w:rPr>
            </w:r>
          </w:p>
        </w:tc>
        <w:tc>
          <w:tcPr>
            <w:tcW w:w="407" w:type="dxa"/>
            <w:gridSpan w:val="2"/>
            <w:tcBorders/>
          </w:tcPr>
          <w:p>
            <w:pPr>
              <w:pStyle w:val="Normal"/>
              <w:tabs>
                <w:tab w:val="clear" w:pos="708"/>
                <w:tab w:val="left" w:pos="7680" w:leader="none"/>
              </w:tabs>
              <w:rPr>
                <w:b/>
                <w:color w:val="000000"/>
                <w:shd w:fill="auto" w:val="clear"/>
              </w:rPr>
            </w:pPr>
            <w:r>
              <w:rPr>
                <w:b/>
                <w:color w:val="000000"/>
                <w:shd w:fill="auto" w:val="clear"/>
              </w:rPr>
            </w:r>
          </w:p>
        </w:tc>
        <w:tc>
          <w:tcPr>
            <w:tcW w:w="1419" w:type="dxa"/>
            <w:gridSpan w:val="2"/>
            <w:tcBorders/>
          </w:tcPr>
          <w:p>
            <w:pPr>
              <w:pStyle w:val="Normal"/>
              <w:tabs>
                <w:tab w:val="clear" w:pos="708"/>
                <w:tab w:val="left" w:pos="7680" w:leader="none"/>
              </w:tabs>
              <w:rPr>
                <w:b/>
                <w:color w:val="000000"/>
                <w:shd w:fill="auto" w:val="clear"/>
              </w:rPr>
            </w:pPr>
            <w:r>
              <w:rPr>
                <w:b/>
                <w:color w:val="000000"/>
                <w:shd w:fill="auto" w:val="clear"/>
              </w:rPr>
            </w:r>
          </w:p>
        </w:tc>
        <w:tc>
          <w:tcPr>
            <w:tcW w:w="870" w:type="dxa"/>
            <w:tcBorders/>
          </w:tcPr>
          <w:p>
            <w:pPr>
              <w:pStyle w:val="Normal"/>
              <w:tabs>
                <w:tab w:val="clear" w:pos="708"/>
                <w:tab w:val="left" w:pos="7680" w:leader="none"/>
              </w:tabs>
              <w:rPr>
                <w:b/>
                <w:color w:val="000000"/>
                <w:shd w:fill="auto" w:val="clear"/>
              </w:rPr>
            </w:pPr>
            <w:r>
              <w:rPr>
                <w:b/>
                <w:color w:val="000000"/>
                <w:shd w:fill="auto" w:val="clear"/>
              </w:rPr>
            </w:r>
          </w:p>
        </w:tc>
        <w:tc>
          <w:tcPr>
            <w:tcW w:w="3406" w:type="dxa"/>
            <w:gridSpan w:val="2"/>
            <w:tcBorders/>
          </w:tcPr>
          <w:p>
            <w:pPr>
              <w:pStyle w:val="Normal"/>
              <w:tabs>
                <w:tab w:val="clear" w:pos="708"/>
                <w:tab w:val="left" w:pos="7680" w:leader="none"/>
              </w:tabs>
              <w:rPr>
                <w:b/>
                <w:color w:val="000000"/>
                <w:shd w:fill="auto" w:val="clear"/>
              </w:rPr>
            </w:pPr>
            <w:r>
              <w:rPr>
                <w:b/>
                <w:color w:val="000000"/>
                <w:shd w:fill="auto" w:val="clear"/>
              </w:rPr>
            </w:r>
          </w:p>
          <w:p>
            <w:pPr>
              <w:pStyle w:val="Normal"/>
              <w:tabs>
                <w:tab w:val="clear" w:pos="708"/>
                <w:tab w:val="left" w:pos="7680" w:leader="none"/>
              </w:tabs>
              <w:rPr>
                <w:b/>
                <w:color w:val="000000"/>
                <w:shd w:fill="auto" w:val="clear"/>
              </w:rPr>
            </w:pPr>
            <w:r>
              <w:rPr>
                <w:b/>
                <w:color w:val="000000"/>
                <w:shd w:fill="auto" w:val="clear"/>
              </w:rPr>
            </w:r>
          </w:p>
          <w:p>
            <w:pPr>
              <w:pStyle w:val="Normal"/>
              <w:tabs>
                <w:tab w:val="clear" w:pos="708"/>
                <w:tab w:val="left" w:pos="7680" w:leader="none"/>
              </w:tabs>
              <w:rPr>
                <w:shd w:fill="auto" w:val="clear"/>
              </w:rPr>
            </w:pPr>
            <w:r>
              <w:rPr>
                <w:b/>
                <w:color w:val="000000"/>
                <w:shd w:fill="auto" w:val="clear"/>
              </w:rPr>
              <w:t>Поставщик</w:t>
            </w:r>
          </w:p>
          <w:p>
            <w:pPr>
              <w:pStyle w:val="Normal"/>
              <w:tabs>
                <w:tab w:val="clear" w:pos="708"/>
                <w:tab w:val="left" w:pos="7680" w:leader="none"/>
              </w:tabs>
              <w:rPr>
                <w:shd w:fill="auto" w:val="clear"/>
              </w:rPr>
            </w:pPr>
            <w:r>
              <w:rPr>
                <w:bCs/>
                <w:color w:val="000000"/>
                <w:shd w:fill="auto" w:val="clear"/>
              </w:rPr>
              <w:t>______________/</w:t>
            </w:r>
            <w:r>
              <w:rPr>
                <w:shd w:fill="auto" w:val="clear"/>
              </w:rPr>
              <w:t xml:space="preserve"> </w:t>
            </w:r>
            <w:r>
              <w:rPr>
                <w:bCs/>
                <w:color w:val="000000"/>
                <w:shd w:fill="auto" w:val="clear"/>
              </w:rPr>
              <w:t>______________</w:t>
            </w:r>
          </w:p>
          <w:p>
            <w:pPr>
              <w:pStyle w:val="Normal"/>
              <w:rPr>
                <w:shd w:fill="auto" w:val="clear"/>
              </w:rPr>
            </w:pPr>
            <w:r>
              <w:rPr>
                <w:shd w:fill="auto" w:val="clear"/>
              </w:rPr>
              <w:t>м.п.</w:t>
            </w:r>
          </w:p>
        </w:tc>
      </w:tr>
    </w:tbl>
    <w:p>
      <w:pPr>
        <w:pStyle w:val="Normal"/>
        <w:spacing w:before="0" w:after="60"/>
        <w:rPr>
          <w:b/>
          <w:bCs/>
          <w:sz w:val="24"/>
          <w:szCs w:val="24"/>
        </w:rPr>
      </w:pPr>
      <w:r>
        <w:rPr>
          <w:b/>
          <w:bCs/>
          <w:sz w:val="24"/>
          <w:szCs w:val="24"/>
        </w:rPr>
      </w:r>
    </w:p>
    <w:sectPr>
      <w:footerReference w:type="default" r:id="rId3"/>
      <w:footerReference w:type="first" r:id="rId4"/>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pPr>
      <w:keepNext w:val="true"/>
      <w:keepLines/>
      <w:numPr>
        <w:ilvl w:val="0"/>
        <w:numId w:val="0"/>
      </w:numPr>
      <w:spacing w:before="480" w:after="200"/>
      <w:outlineLvl w:val="0"/>
    </w:pPr>
    <w:rPr>
      <w:rFonts w:ascii="Arial" w:hAnsi="Arial" w:eastAsia="Arial" w:cs="Arial"/>
      <w:sz w:val="40"/>
      <w:szCs w:val="40"/>
    </w:rPr>
  </w:style>
  <w:style w:type="paragraph" w:styleId="Heading2">
    <w:name w:val="heading 2"/>
    <w:basedOn w:val="Normal"/>
    <w:next w:val="Normal"/>
    <w:link w:val="2"/>
    <w:qFormat/>
    <w:pPr>
      <w:keepNext w:val="true"/>
      <w:keepLines/>
      <w:numPr>
        <w:ilvl w:val="0"/>
        <w:numId w:val="0"/>
      </w:numPr>
      <w:spacing w:before="360" w:after="200"/>
      <w:outlineLvl w:val="1"/>
    </w:pPr>
    <w:rPr>
      <w:rFonts w:ascii="Arial" w:hAnsi="Arial" w:eastAsia="Arial" w:cs="Arial"/>
      <w:sz w:val="34"/>
    </w:rPr>
  </w:style>
  <w:style w:type="paragraph" w:styleId="Heading3">
    <w:name w:val="heading 3"/>
    <w:basedOn w:val="Normal"/>
    <w:next w:val="Normal"/>
    <w:link w:val="3"/>
    <w:qFormat/>
    <w:pPr>
      <w:keepNext w:val="true"/>
      <w:keepLines/>
      <w:numPr>
        <w:ilvl w:val="0"/>
        <w:numId w:val="0"/>
      </w:numPr>
      <w:spacing w:before="320" w:after="200"/>
      <w:outlineLvl w:val="2"/>
    </w:pPr>
    <w:rPr>
      <w:rFonts w:ascii="Arial" w:hAnsi="Arial" w:eastAsia="Arial" w:cs="Arial"/>
      <w:sz w:val="30"/>
      <w:szCs w:val="30"/>
    </w:rPr>
  </w:style>
  <w:style w:type="paragraph" w:styleId="Heading4">
    <w:name w:val="heading 4"/>
    <w:basedOn w:val="Normal"/>
    <w:next w:val="Normal"/>
    <w:link w:val="4"/>
    <w:qFormat/>
    <w:pPr>
      <w:keepNext w:val="true"/>
      <w:keepLines/>
      <w:numPr>
        <w:ilvl w:val="0"/>
        <w:numId w:val="0"/>
      </w:numPr>
      <w:spacing w:before="320" w:after="200"/>
      <w:outlineLvl w:val="3"/>
    </w:pPr>
    <w:rPr>
      <w:rFonts w:ascii="Arial" w:hAnsi="Arial" w:eastAsia="Arial" w:cs="Arial"/>
      <w:b/>
      <w:bCs/>
      <w:sz w:val="26"/>
      <w:szCs w:val="26"/>
    </w:rPr>
  </w:style>
  <w:style w:type="paragraph" w:styleId="Heading5">
    <w:name w:val="heading 5"/>
    <w:basedOn w:val="Normal"/>
    <w:next w:val="Normal"/>
    <w:link w:val="5"/>
    <w:qFormat/>
    <w:pPr>
      <w:keepNext w:val="true"/>
      <w:keepLines/>
      <w:numPr>
        <w:ilvl w:val="0"/>
        <w:numId w:val="0"/>
      </w:numPr>
      <w:spacing w:before="320" w:after="200"/>
      <w:outlineLvl w:val="4"/>
    </w:pPr>
    <w:rPr>
      <w:rFonts w:ascii="Arial" w:hAnsi="Arial" w:eastAsia="Arial" w:cs="Arial"/>
      <w:b/>
      <w:bCs/>
      <w:sz w:val="24"/>
      <w:szCs w:val="24"/>
    </w:rPr>
  </w:style>
  <w:style w:type="paragraph" w:styleId="Heading6">
    <w:name w:val="heading 6"/>
    <w:basedOn w:val="Normal"/>
    <w:next w:val="Normal"/>
    <w:link w:val="6"/>
    <w:qFormat/>
    <w:pPr>
      <w:keepNext w:val="true"/>
      <w:keepLines/>
      <w:numPr>
        <w:ilvl w:val="0"/>
        <w:numId w:val="0"/>
      </w:numPr>
      <w:spacing w:before="320" w:after="200"/>
      <w:outlineLvl w:val="5"/>
    </w:pPr>
    <w:rPr>
      <w:rFonts w:ascii="Arial" w:hAnsi="Arial" w:eastAsia="Arial" w:cs="Arial"/>
      <w:b/>
      <w:bCs/>
      <w:sz w:val="22"/>
      <w:szCs w:val="22"/>
    </w:rPr>
  </w:style>
  <w:style w:type="paragraph" w:styleId="Heading7">
    <w:name w:val="heading 7"/>
    <w:basedOn w:val="Normal"/>
    <w:next w:val="Normal"/>
    <w:link w:val="7"/>
    <w:qFormat/>
    <w:pPr>
      <w:keepNext w:val="true"/>
      <w:keepLines/>
      <w:numPr>
        <w:ilvl w:val="0"/>
        <w:numId w:val="0"/>
      </w:numPr>
      <w:spacing w:before="320" w:after="200"/>
      <w:outlineLvl w:val="6"/>
    </w:pPr>
    <w:rPr>
      <w:rFonts w:ascii="Arial" w:hAnsi="Arial" w:eastAsia="Arial" w:cs="Arial"/>
      <w:b/>
      <w:bCs/>
      <w:i/>
      <w:iCs/>
      <w:sz w:val="22"/>
      <w:szCs w:val="22"/>
    </w:rPr>
  </w:style>
  <w:style w:type="paragraph" w:styleId="Heading8">
    <w:name w:val="heading 8"/>
    <w:basedOn w:val="Normal"/>
    <w:next w:val="Normal"/>
    <w:link w:val="8"/>
    <w:qFormat/>
    <w:pPr>
      <w:keepNext w:val="true"/>
      <w:keepLines/>
      <w:numPr>
        <w:ilvl w:val="0"/>
        <w:numId w:val="0"/>
      </w:numPr>
      <w:spacing w:before="320" w:after="200"/>
      <w:outlineLvl w:val="7"/>
    </w:pPr>
    <w:rPr>
      <w:rFonts w:ascii="Arial" w:hAnsi="Arial" w:eastAsia="Arial" w:cs="Arial"/>
      <w:i/>
      <w:iCs/>
      <w:sz w:val="22"/>
      <w:szCs w:val="22"/>
    </w:rPr>
  </w:style>
  <w:style w:type="paragraph" w:styleId="Heading9">
    <w:name w:val="heading 9"/>
    <w:basedOn w:val="Normal"/>
    <w:next w:val="Normal"/>
    <w:link w:val="9"/>
    <w:qFormat/>
    <w:pPr>
      <w:keepNext w:val="true"/>
      <w:keepLines/>
      <w:numPr>
        <w:ilvl w:val="0"/>
        <w:numId w:val="0"/>
      </w:numPr>
      <w:spacing w:before="320" w:after="200"/>
      <w:outlineLvl w:val="8"/>
    </w:pPr>
    <w:rPr>
      <w:rFonts w:ascii="Arial" w:hAnsi="Arial" w:eastAsia="Arial" w:cs="Arial"/>
      <w:i/>
      <w:iCs/>
      <w:sz w:val="21"/>
      <w:szCs w:val="21"/>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link w:val="Quote"/>
    <w:qFormat/>
    <w:rPr>
      <w:i/>
    </w:rPr>
  </w:style>
  <w:style w:type="character" w:styleId="Style7">
    <w:name w:val="Выделенная цитата Знак"/>
    <w:link w:val="IntenseQuote"/>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name w:val="Текст концевой сноски Знак"/>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link w:val="ConsPlusNormal1"/>
    <w:qFormat/>
    <w:rPr>
      <w:rFonts w:ascii="Arial" w:hAnsi="Arial"/>
      <w:sz w:val="22"/>
      <w:lang w:eastAsia="ru-RU"/>
    </w:rPr>
  </w:style>
  <w:style w:type="character" w:styleId="Emphasis">
    <w:name w:val="Emphasis"/>
    <w:qFormat/>
    <w:rPr>
      <w:rFonts w:cs="Times New Roman"/>
      <w:i/>
    </w:rPr>
  </w:style>
  <w:style w:type="character" w:styleId="Style13">
    <w:name w:val="Верхний колонтитул Знак"/>
    <w:qFormat/>
    <w:rPr>
      <w:rFonts w:ascii="Times New Roman" w:hAnsi="Times New Roman" w:eastAsia="Times New Roman"/>
      <w:sz w:val="20"/>
      <w:szCs w:val="20"/>
    </w:rPr>
  </w:style>
  <w:style w:type="character" w:styleId="Style14">
    <w:name w:val="Нижний колонтитул Знак"/>
    <w:qFormat/>
    <w:rPr>
      <w:rFonts w:ascii="Times New Roman" w:hAnsi="Times New Roman" w:eastAsia="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5">
    <w:name w:val="Текст примечания Знак"/>
    <w:basedOn w:val="DefaultParagraphFont"/>
    <w:qFormat/>
    <w:rPr>
      <w:rFonts w:ascii="Times New Roman" w:hAnsi="Times New Roman" w:eastAsia="Times New Roman"/>
    </w:rPr>
  </w:style>
  <w:style w:type="character" w:styleId="Style16">
    <w:name w:val="Тема примечания Знак"/>
    <w:basedOn w:val="Style15"/>
    <w:link w:val="annotationsubject"/>
    <w:qFormat/>
    <w:rPr>
      <w:rFonts w:ascii="Times New Roman" w:hAnsi="Times New Roman" w:eastAsia="Times New Roman"/>
      <w:b/>
      <w:bCs/>
    </w:rPr>
  </w:style>
  <w:style w:type="character" w:styleId="Style17">
    <w:name w:val="Текст выноски Знак"/>
    <w:basedOn w:val="DefaultParagraphFont"/>
    <w:link w:val="BalloonText"/>
    <w:qFormat/>
    <w:rPr>
      <w:rFonts w:ascii="Tahoma" w:hAnsi="Tahoma" w:eastAsia="Times New Roman" w:cs="Tahoma"/>
      <w:sz w:val="16"/>
      <w:szCs w:val="16"/>
    </w:rPr>
  </w:style>
  <w:style w:type="character" w:styleId="Style18">
    <w:name w:val="Без интервала Знак"/>
    <w:link w:val="NoSpacing"/>
    <w:qFormat/>
    <w:rPr>
      <w:sz w:val="24"/>
      <w:szCs w:val="24"/>
    </w:rPr>
  </w:style>
  <w:style w:type="character" w:styleId="Hyperlink">
    <w:name w:val="Hyperlink"/>
    <w:basedOn w:val="DefaultParagraphFont"/>
    <w:rPr>
      <w:color w:themeColor="hyperlink"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qFormat/>
    <w:pPr>
      <w:spacing w:before="0" w:after="0"/>
      <w:ind w:left="720"/>
      <w:contextualSpacing/>
    </w:pPr>
    <w:rPr/>
  </w:style>
  <w:style w:type="paragraph" w:styleId="Title">
    <w:name w:val="Title"/>
    <w:basedOn w:val="Normal"/>
    <w:next w:val="Normal"/>
    <w:link w:val="Style5"/>
    <w:qFormat/>
    <w:pPr>
      <w:spacing w:before="300" w:after="200"/>
      <w:contextualSpacing/>
    </w:pPr>
    <w:rPr>
      <w:sz w:val="48"/>
      <w:szCs w:val="48"/>
    </w:rPr>
  </w:style>
  <w:style w:type="paragraph" w:styleId="Subtitle">
    <w:name w:val="Subtitle"/>
    <w:basedOn w:val="Normal"/>
    <w:next w:val="Normal"/>
    <w:link w:val="Style6"/>
    <w:qFormat/>
    <w:pPr>
      <w:spacing w:before="200" w:after="200"/>
    </w:pPr>
    <w:rPr>
      <w:sz w:val="24"/>
      <w:szCs w:val="24"/>
    </w:rPr>
  </w:style>
  <w:style w:type="paragraph" w:styleId="Quote">
    <w:name w:val="Quote"/>
    <w:basedOn w:val="Normal"/>
    <w:next w:val="Normal"/>
    <w:link w:val="21"/>
    <w:qFormat/>
    <w:pPr>
      <w:ind w:left="720" w:right="720"/>
    </w:pPr>
    <w:rPr>
      <w:i/>
    </w:rPr>
  </w:style>
  <w:style w:type="paragraph" w:styleId="IntenseQuote">
    <w:name w:val="Intense Quote"/>
    <w:basedOn w:val="Normal"/>
    <w:next w:val="Normal"/>
    <w:link w:val="Style7"/>
    <w:qFormat/>
    <w:pPr>
      <w:pBdr>
        <w:top w:val="single" w:sz="4" w:space="5" w:color="FFFFFF"/>
        <w:left w:val="single" w:sz="4" w:space="10" w:color="FFFFFF"/>
        <w:bottom w:val="single" w:sz="4" w:space="5" w:color="FFFFFF"/>
        <w:right w:val="single" w:sz="4" w:space="10" w:color="FFFFFF"/>
      </w:pBdr>
      <w:shd w:fill="F2F2F2" w:val="clear"/>
      <w:ind w:left="720" w:right="720"/>
    </w:pPr>
    <w:rPr>
      <w:i/>
    </w:rPr>
  </w:style>
  <w:style w:type="paragraph" w:styleId="FootnoteText">
    <w:name w:val="footnote text"/>
    <w:basedOn w:val="Normal"/>
    <w:link w:val="Style8"/>
    <w:pPr>
      <w:spacing w:before="0" w:after="40"/>
    </w:pPr>
    <w:rPr>
      <w:sz w:val="18"/>
    </w:rPr>
  </w:style>
  <w:style w:type="paragraph" w:styleId="EndnoteText">
    <w:name w:val="endnote text"/>
    <w:basedOn w:val="Normal"/>
    <w:link w:val="Style10"/>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left="283"/>
    </w:pPr>
    <w:rPr/>
  </w:style>
  <w:style w:type="paragraph" w:styleId="TOC3">
    <w:name w:val="toc 3"/>
    <w:basedOn w:val="Normal"/>
    <w:next w:val="Normal"/>
    <w:pPr>
      <w:spacing w:before="0" w:after="57"/>
      <w:ind w:left="567"/>
    </w:pPr>
    <w:rPr/>
  </w:style>
  <w:style w:type="paragraph" w:styleId="TOC4">
    <w:name w:val="toc 4"/>
    <w:basedOn w:val="Normal"/>
    <w:next w:val="Normal"/>
    <w:pPr>
      <w:spacing w:before="0" w:after="57"/>
      <w:ind w:left="850"/>
    </w:pPr>
    <w:rPr/>
  </w:style>
  <w:style w:type="paragraph" w:styleId="TOC5">
    <w:name w:val="toc 5"/>
    <w:basedOn w:val="Normal"/>
    <w:next w:val="Normal"/>
    <w:pPr>
      <w:spacing w:before="0" w:after="57"/>
      <w:ind w:left="1134"/>
    </w:pPr>
    <w:rPr/>
  </w:style>
  <w:style w:type="paragraph" w:styleId="TOC6">
    <w:name w:val="toc 6"/>
    <w:basedOn w:val="Normal"/>
    <w:next w:val="Normal"/>
    <w:pPr>
      <w:spacing w:before="0" w:after="57"/>
      <w:ind w:left="1417"/>
    </w:pPr>
    <w:rPr/>
  </w:style>
  <w:style w:type="paragraph" w:styleId="TOC7">
    <w:name w:val="toc 7"/>
    <w:basedOn w:val="Normal"/>
    <w:next w:val="Normal"/>
    <w:pPr>
      <w:spacing w:before="0" w:after="57"/>
      <w:ind w:left="1701"/>
    </w:pPr>
    <w:rPr/>
  </w:style>
  <w:style w:type="paragraph" w:styleId="TOC8">
    <w:name w:val="toc 8"/>
    <w:basedOn w:val="Normal"/>
    <w:next w:val="Normal"/>
    <w:pPr>
      <w:spacing w:before="0" w:after="57"/>
      <w:ind w:left="1984"/>
    </w:pPr>
    <w:rPr/>
  </w:style>
  <w:style w:type="paragraph" w:styleId="TOC9">
    <w:name w:val="toc 9"/>
    <w:basedOn w:val="Normal"/>
    <w:next w:val="Normal"/>
    <w:pPr>
      <w:spacing w:before="0" w:after="57"/>
      <w:ind w:left="2268"/>
    </w:pPr>
    <w:rPr/>
  </w:style>
  <w:style w:type="paragraph" w:styleId="IndexHeading">
    <w:name w:val="index heading"/>
    <w:basedOn w:val="user2"/>
    <w:pPr/>
    <w:rPr/>
  </w:style>
  <w:style w:type="paragraph" w:styleId="TOCHeading">
    <w:name w:val="TOC Heading"/>
    <w:qFormat/>
    <w:pPr>
      <w:widowControl/>
      <w:suppressAutoHyphens w:val="true"/>
      <w:kinsoku w:val="true"/>
      <w:overflowPunct w:val="true"/>
      <w:autoSpaceDE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pPr/>
    <w:rPr/>
  </w:style>
  <w:style w:type="paragraph" w:styleId="BodyTextIndent">
    <w:name w:val="Body Text Indent"/>
    <w:basedOn w:val="Normal"/>
    <w:link w:val="Style12"/>
    <w:pPr>
      <w:ind w:firstLine="709"/>
      <w:jc w:val="both"/>
    </w:pPr>
    <w:rPr>
      <w:rFonts w:eastAsia="Calibri"/>
      <w:lang w:val="en-US"/>
    </w:rPr>
  </w:style>
  <w:style w:type="paragraph" w:styleId="ConsPlusNormal1">
    <w:name w:val="ConsPlusNormal"/>
    <w:link w:val="ConsPlusNormal"/>
    <w:qFormat/>
    <w:pPr>
      <w:widowControl w:val="false"/>
      <w:suppressAutoHyphens w:val="true"/>
      <w:kinsoku w:val="true"/>
      <w:overflowPunct w:val="true"/>
      <w:autoSpaceDE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kinsoku w:val="true"/>
      <w:overflowPunct w:val="true"/>
      <w:autoSpaceDE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3"/>
    <w:pPr>
      <w:tabs>
        <w:tab w:val="clear" w:pos="708"/>
        <w:tab w:val="center" w:pos="4677" w:leader="none"/>
        <w:tab w:val="right" w:pos="9355" w:leader="none"/>
      </w:tabs>
    </w:pPr>
    <w:rPr/>
  </w:style>
  <w:style w:type="paragraph" w:styleId="Footer">
    <w:name w:val="footer"/>
    <w:basedOn w:val="Normal"/>
    <w:link w:val="Style14"/>
    <w:pPr>
      <w:tabs>
        <w:tab w:val="clear" w:pos="708"/>
        <w:tab w:val="center" w:pos="4677" w:leader="none"/>
        <w:tab w:val="right" w:pos="9355" w:leader="none"/>
      </w:tabs>
    </w:pPr>
    <w:rPr/>
  </w:style>
  <w:style w:type="paragraph" w:styleId="CommentText">
    <w:name w:val="annotation text"/>
    <w:basedOn w:val="Normal"/>
    <w:link w:val="Style15"/>
    <w:pPr/>
    <w:rPr/>
  </w:style>
  <w:style w:type="paragraph" w:styleId="annotationsubject">
    <w:name w:val="annotation subject"/>
    <w:basedOn w:val="CommentText"/>
    <w:next w:val="CommentText"/>
    <w:link w:val="Style16"/>
    <w:qFormat/>
    <w:pPr/>
    <w:rPr>
      <w:b/>
      <w:bCs/>
    </w:rPr>
  </w:style>
  <w:style w:type="paragraph" w:styleId="BalloonText">
    <w:name w:val="Balloon Text"/>
    <w:basedOn w:val="Normal"/>
    <w:link w:val="Style17"/>
    <w:qFormat/>
    <w:pPr/>
    <w:rPr>
      <w:rFonts w:ascii="Tahoma" w:hAnsi="Tahoma" w:cs="Tahoma"/>
      <w:sz w:val="16"/>
      <w:szCs w:val="16"/>
    </w:rPr>
  </w:style>
  <w:style w:type="paragraph" w:styleId="NoSpacing">
    <w:name w:val="No Spacing"/>
    <w:link w:val="Style18"/>
    <w:qFormat/>
    <w:pPr>
      <w:widowControl/>
      <w:suppressAutoHyphens w:val="true"/>
      <w:kinsoku w:val="true"/>
      <w:overflowPunct w:val="true"/>
      <w:autoSpaceDE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kinsoku w:val="true"/>
      <w:overflowPunct w:val="true"/>
      <w:autoSpaceDE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2">
    <w:name w:val="Без интервала"/>
    <w:qFormat/>
    <w:pPr>
      <w:widowControl/>
      <w:suppressAutoHyphens w:val="true"/>
      <w:kinsoku w:val="true"/>
      <w:overflowPunct w:val="true"/>
      <w:autoSpaceDE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user5">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110</TotalTime>
  <Application>LibreOffice/25.2.6.2$Linux_X86_64 LibreOffice_project/520$Build-2</Application>
  <AppVersion>15.0000</AppVersion>
  <Pages>8</Pages>
  <Words>3322</Words>
  <Characters>23937</Characters>
  <CharactersWithSpaces>27777</CharactersWithSpaces>
  <Paragraphs>207</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2026-07-21T17:14:45Z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