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На основании представленных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коммерческих предложений на открытки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подготовлено обоснование начальной (максимальной) цены контракта в соответствии со статьёй 22 Федерального закона № 44-ФЗ. Для обеспечения экономии бюджетных средств НМЦК устанавливается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на уровне минимальной цены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из полученных предложений (аналогично предыдущему подходу заказчика).</w:t>
      </w:r>
      <w:r/>
    </w:p>
    <w:p>
      <w:pPr>
        <w:pStyle w:val="16"/>
        <w:ind w:left="0" w:right="0" w:firstLine="0"/>
        <w:spacing w:before="480" w:after="240" w:line="48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3"/>
        </w:rPr>
        <w:t xml:space="preserve">ОБОСНОВАНИЕ НАЧАЛЬНОЙ (МАКСИМАЛЬНОЙ) ЦЕНЫ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(метод сопоставимых рыночных цен, выбор минимальной цены)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1. Общие сведения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690"/>
        <w:gridCol w:w="545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Параметр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Предмет закупки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Поставка открыток (2 наименования)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Заказчик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Департамент Росгидромета по СФО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Дата составления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31.08.2026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Метод определения НМЦК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Метод сопоставимых рыночных цен (анализ рынка) в соответствии с ч. 1 ст. 22 Закона № 44-ФЗ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Выбранный подход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Установление НМЦК на уровне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наименьшей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общей цены из полученных предложений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2. Перечень закупаемых товаров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03"/>
        <w:gridCol w:w="3208"/>
        <w:gridCol w:w="1003"/>
        <w:gridCol w:w="1915"/>
        <w:gridCol w:w="20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 п/п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Наименование товара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ОКПД2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ТРУ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Кол-во (упаковок по 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Открытки «С Новым Годом!» евро-формат, без текста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304007102.000056870_26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Открытки «С Новым Годом и Рождеством!», двойные, евро-формат, без текста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304007102.000056871_26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3. Анализ рыночных цен (коммерческие предложения)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Заказчиком получены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три коммерческих предложения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от разных поставщиков на идентичные товары с одинаковыми условиями поставки (срок, доставка, гарантия). Все цены указаны без НДС.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05"/>
        <w:gridCol w:w="1517"/>
        <w:gridCol w:w="1849"/>
        <w:gridCol w:w="1849"/>
        <w:gridCol w:w="1447"/>
        <w:gridCol w:w="152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Поставщик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1,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2,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4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Общая сумма,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2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Реквизиты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ООО «Литигатор»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2 400,30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2 661,12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4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5 061,42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2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32526 от 31.08.2026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ООО «КиД»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2 438,40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2 703,36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4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5 141,76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2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28039 от 31.08.2026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ИП Моховикова А.В.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2 457,45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4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2 724,48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4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5 181,93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2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47667 от 31.08.2026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4. Обоснование выбора минимальной цены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заказчик вправе использовать любую цену из полученного диапазона, если она признана достоверной и соответствует рыночным условиям. Закон не предписывает обязательного вычисления среднего арифметического.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Основания для принятия минимальной общей цены (5 061,42 руб. от ООО «Литигатор»):</w:t>
      </w:r>
      <w:r/>
    </w:p>
    <w:p>
      <w:pPr>
        <w:pStyle w:val="32"/>
        <w:numPr>
          <w:ilvl w:val="0"/>
          <w:numId w:val="2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Идентичность предмета закупки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все предложения содержат товары с одинаковыми характеристиками (евро-формат, без текста, двойные и одинарные).</w:t>
      </w:r>
      <w:r/>
    </w:p>
    <w:p>
      <w:pPr>
        <w:pStyle w:val="32"/>
        <w:numPr>
          <w:ilvl w:val="0"/>
          <w:numId w:val="2"/>
        </w:numPr>
        <w:ind w:right="0"/>
        <w:spacing w:before="0" w:after="1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Одинаковые условия поставки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: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поставки – 15 рабочих дней с даты заключения контракта;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доставка включена в цену;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адрес поставки – Новосибирск, ул. Советская, д. 30, к. 314;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действия предложений – 5 календарных дней;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все поставщики применяют УСН (НДС не облагается).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Рыночный характер минимальной цены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разница между минимальной и средней ценой незначительна. Для проверки выполнен расчёт среднего арифметического:</w:t>
        <w:br/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(5 061,42 + 5 141,76 + 5 181,93) / 3 = 5 128,37 руб.</w:t>
        <w:br/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Минимальная цена ниже среднего значения всего на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1,3 %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что исключает демпинг и подтверждает её обоснованность.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Эффективность расходования бюджетных средств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выбор минимальной цены соответствует принципу ответственности за результативность закупок (ст. 12 Закона № 44-ФЗ).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Согласно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п. 3.20 Методических рекомендаций по применению методов определения НМЦК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(утв. Приказом Минэкономразвития России от 02.10.2013 № 567), заказчик вправе не усреднять цены при наличии обоснования.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5. Расчёт НМЦК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НМЦК устанавливается равной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минимальной общей стоимости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товаров, указанной в коммерческом предложении ООО «Литигатор»: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НМЦК = 5 061,42 (Пять тысяч шестьдесят один) рубль 42 копейки.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0f1115"/>
          <w:sz w:val="24"/>
        </w:rPr>
        <w:t xml:space="preserve">Данная сумма включает поставку 10 открыток первого вида и 10 открыток второго вида (всего 2 упаковки).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6. Итоговая начальная (максимальная) цена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Начальная (максимальная) цена контракта составляет:</w:t>
        <w:br/>
        <w:t xml:space="preserve">5 061,42 руб. (Пять тысяч шестьдесят один рубль 42 копейки).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НДС не облагается.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7. Условия поставки, учтённые при формировании НМЦК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823"/>
        <w:gridCol w:w="53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Срок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течение 15 рабочих дней с даты заключения контракта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Условия доставки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Доставка включена в стоимость товара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Адрес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Новосибирск, 630099, г. Новосибирск, ул. Советская, д. 30, к. 314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Гарантийные обязательства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соответствии с условиями поставщика (стандартные)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8. Нормативное обоснование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Расчёт произведён 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Федерального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Применён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метод сопоставимых рыночных цен (анализа рынка)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как приоритетный (ч. 6 ст. 22 Закона № 44-ФЗ).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Использованы цены из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трёх коммерческих предложений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полученных по запросу заказчика, что соответствует требованию об использовании не менее трёх источников ценовой информации (п. 3.9 Методических рекомендаций, утв. Приказом Минэкономразвития № 567).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обосновании указаны реквизиты всех полученных предложений (№ 32526, № 28039, № 47667 от 31.08.2026).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9. Заключение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Предлагаемая НМЦК в размере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5 061,42 руб.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полностью соответствует рыночным ценам на аналогичную продукцию, подтверждена тремя независимыми поставщиками, обеспечивает экономию бюджетных средств и не нарушает требований 44-ФЗ.</w:t>
      </w:r>
      <w:r/>
    </w:p>
    <w:p>
      <w:pPr>
        <w:ind w:left="0" w:right="0" w:firstLine="0"/>
        <w:spacing w:before="24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Дата составления: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31.08.2026</w:t>
        <w:br/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Ответственный за расчёт: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__________________ / __________________ /</w:t>
      </w:r>
      <w:r/>
    </w:p>
    <w:p>
      <w:pPr>
        <w:pStyle w:val="620"/>
      </w:pPr>
      <w:r/>
      <w:r/>
    </w:p>
    <w:sectPr>
      <w:footnotePr/>
      <w:endnotePr/>
      <w:type w:val="nextPage"/>
      <w:pgSz w:w="11905" w:h="16837" w:orient="portrait"/>
      <w:pgMar w:top="1134" w:right="1134" w:bottom="1134" w:left="1134" w:header="1134" w:footer="113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Droid Sans Fallback">
    <w:panose1 w:val="02000603000000000000"/>
  </w:font>
  <w:font w:name="Droid Sans Devanagari">
    <w:panose1 w:val="02000603000000000000"/>
  </w:font>
  <w:font w:name="Liberation 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character" w:styleId="48">
    <w:name w:val="Caption Char"/>
    <w:basedOn w:val="12"/>
    <w:link w:val="624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9" w:default="1">
    <w:name w:val="DStyle_paragraph"/>
    <w:pPr>
      <w:widowControl/>
    </w:pPr>
    <w:rPr>
      <w:rFonts w:ascii="Liberation Serif" w:hAnsi="Liberation Serif" w:eastAsia="Droid Sans Fallback" w:cs="Droid Sans Devanagari"/>
      <w:color w:val="auto"/>
      <w:sz w:val="24"/>
      <w:szCs w:val="24"/>
      <w:lang w:val="ru-RU" w:eastAsia="zh-CN" w:bidi="hi-IN"/>
    </w:rPr>
  </w:style>
  <w:style w:type="paragraph" w:styleId="620" w:customStyle="1">
    <w:name w:val="Standard"/>
    <w:basedOn w:val="619"/>
  </w:style>
  <w:style w:type="paragraph" w:styleId="621" w:customStyle="1">
    <w:name w:val="Heading"/>
    <w:basedOn w:val="620"/>
    <w:next w:val="622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622" w:customStyle="1">
    <w:name w:val="Text body"/>
    <w:basedOn w:val="620"/>
    <w:qFormat/>
    <w:pPr>
      <w:spacing w:before="0" w:after="140" w:line="276" w:lineRule="auto"/>
    </w:pPr>
  </w:style>
  <w:style w:type="paragraph" w:styleId="623" w:customStyle="1">
    <w:name w:val="List"/>
    <w:basedOn w:val="622"/>
    <w:rPr>
      <w:rFonts w:cs="Droid Sans Devanagari"/>
    </w:rPr>
  </w:style>
  <w:style w:type="paragraph" w:styleId="624" w:customStyle="1">
    <w:name w:val="Caption"/>
    <w:basedOn w:val="620"/>
    <w:pPr>
      <w:spacing w:before="120" w:after="120"/>
    </w:pPr>
    <w:rPr>
      <w:rFonts w:cs="Droid Sans Devanagari"/>
      <w:i/>
      <w:iCs/>
      <w:sz w:val="24"/>
      <w:szCs w:val="24"/>
    </w:rPr>
  </w:style>
  <w:style w:type="paragraph" w:styleId="625" w:customStyle="1">
    <w:name w:val="Index"/>
    <w:basedOn w:val="620"/>
    <w:rPr>
      <w:rFonts w:cs="Droid Sans Devanagari"/>
    </w:rPr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table" w:styleId="6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</cp:lastModifiedBy>
  <cp:revision>1</cp:revision>
  <dcterms:created xsi:type="dcterms:W3CDTF">2021-11-23T16:56:10Z</dcterms:created>
  <dcterms:modified xsi:type="dcterms:W3CDTF">2026-08-31T04:33:18Z</dcterms:modified>
</cp:coreProperties>
</file>