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16"/>
        </w:rPr>
      </w:pPr>
    </w:p>
    <w:p w14:paraId="02000000">
      <w:pPr>
        <w:pStyle w:val="Style_1"/>
        <w:rPr>
          <w:sz w:val="16"/>
        </w:rPr>
      </w:pPr>
    </w:p>
    <w:p w14:paraId="03000000">
      <w:pPr>
        <w:pStyle w:val="Style_1"/>
        <w:rPr>
          <w:sz w:val="16"/>
        </w:rPr>
      </w:pPr>
    </w:p>
    <w:p w14:paraId="04000000">
      <w:pPr>
        <w:pStyle w:val="Style_1"/>
        <w:rPr>
          <w:sz w:val="16"/>
        </w:rPr>
      </w:pPr>
    </w:p>
    <w:p w14:paraId="05000000">
      <w:pPr>
        <w:pStyle w:val="Style_1"/>
        <w:rPr>
          <w:sz w:val="16"/>
        </w:rPr>
      </w:pPr>
      <w:r>
        <w:rPr>
          <w:sz w:val="25"/>
        </w:rPr>
        <w:t xml:space="preserve">КОНТРАКТ </w:t>
      </w:r>
      <w:r>
        <w:rPr>
          <w:sz w:val="25"/>
        </w:rPr>
        <w:t xml:space="preserve">РГМУ </w:t>
      </w:r>
      <w:r>
        <w:rPr>
          <w:sz w:val="25"/>
        </w:rPr>
        <w:t>33255</w:t>
      </w:r>
    </w:p>
    <w:p w14:paraId="06000000">
      <w:pPr>
        <w:pStyle w:val="Style_1"/>
        <w:rPr>
          <w:b w:val="0"/>
          <w:sz w:val="22"/>
        </w:rPr>
      </w:pPr>
      <w:r>
        <w:rPr>
          <w:b w:val="0"/>
          <w:sz w:val="22"/>
        </w:rPr>
        <w:t>на услуг</w:t>
      </w:r>
      <w:r>
        <w:rPr>
          <w:b w:val="0"/>
          <w:sz w:val="22"/>
        </w:rPr>
        <w:t xml:space="preserve">и </w:t>
      </w:r>
      <w:r>
        <w:rPr>
          <w:b w:val="0"/>
          <w:sz w:val="22"/>
        </w:rPr>
        <w:t>по</w:t>
      </w:r>
      <w:r>
        <w:rPr>
          <w:b w:val="0"/>
          <w:sz w:val="22"/>
        </w:rPr>
        <w:t xml:space="preserve"> такелажным работам</w:t>
      </w:r>
    </w:p>
    <w:p w14:paraId="07000000">
      <w:pPr>
        <w:pStyle w:val="Style_1"/>
        <w:rPr>
          <w:sz w:val="24"/>
        </w:rPr>
      </w:pPr>
      <w:r>
        <w:rPr>
          <w:sz w:val="24"/>
        </w:rPr>
        <w:t>ИКЗ:</w:t>
      </w:r>
      <w:r>
        <w:rPr>
          <w:sz w:val="24"/>
        </w:rPr>
        <w:t>261616303285061630100100130000000244</w:t>
      </w:r>
    </w:p>
    <w:p w14:paraId="08000000">
      <w:pPr>
        <w:widowControl w:val="0"/>
        <w:ind/>
        <w:jc w:val="both"/>
        <w:rPr>
          <w:sz w:val="20"/>
        </w:rPr>
      </w:pPr>
    </w:p>
    <w:p w14:paraId="09000000">
      <w:pPr>
        <w:widowControl w:val="0"/>
        <w:spacing w:line="480" w:lineRule="auto"/>
        <w:ind/>
        <w:jc w:val="both"/>
      </w:pPr>
      <w:r>
        <w:t>г. Ростов-на-Дону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«</w:t>
      </w:r>
      <w:r>
        <w:t>____</w:t>
      </w:r>
      <w:r>
        <w:t xml:space="preserve">» </w:t>
      </w:r>
      <w:r>
        <w:t>__</w:t>
      </w:r>
      <w:r>
        <w:t>______ 202</w:t>
      </w:r>
      <w:r>
        <w:t>6</w:t>
      </w:r>
      <w:r>
        <w:t>г.</w:t>
      </w:r>
    </w:p>
    <w:p w14:paraId="0A000000">
      <w:pPr>
        <w:ind w:firstLine="709" w:left="0"/>
        <w:jc w:val="both"/>
        <w:rPr>
          <w:rFonts w:ascii="Rubik" w:hAnsi="Rubik"/>
          <w:b w:val="0"/>
          <w:i w:val="0"/>
          <w:caps w:val="0"/>
          <w:color w:val="0C0E31"/>
          <w:spacing w:val="0"/>
          <w:sz w:val="21"/>
          <w:highlight w:val="white"/>
        </w:rPr>
      </w:pPr>
      <w: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(ФГБОУ ВО РостГМУ Минздрава России), в лице </w:t>
      </w:r>
      <w:r>
        <w:t>и</w:t>
      </w:r>
      <w:r>
        <w:t xml:space="preserve">. о. </w:t>
      </w:r>
      <w:r>
        <w:t>ректора Шишова Михаила Алексеевича</w:t>
      </w:r>
      <w:r>
        <w:t>, действующего на основании устава</w:t>
      </w:r>
      <w:r>
        <w:t xml:space="preserve">, именуемое в дальнейшем «Заказчик», </w:t>
      </w:r>
      <w:r>
        <w:t xml:space="preserve">с одной стороны и </w:t>
      </w:r>
      <w:r>
        <w:t>_______________________________</w:t>
      </w:r>
      <w:r>
        <w:t xml:space="preserve"> в лице </w:t>
      </w:r>
      <w:r>
        <w:t>__________________________</w:t>
      </w:r>
      <w:r>
        <w:t xml:space="preserve"> на основании </w:t>
      </w:r>
      <w:r>
        <w:t>_____________</w:t>
      </w:r>
      <w:r>
        <w:t>, именуемого</w:t>
      </w:r>
      <w:r>
        <w:rPr>
          <w:b w:val="1"/>
        </w:rPr>
        <w:t xml:space="preserve"> </w:t>
      </w:r>
      <w:r>
        <w:t>в</w:t>
      </w:r>
      <w:r>
        <w:rPr>
          <w:b w:val="1"/>
        </w:rPr>
        <w:t xml:space="preserve"> </w:t>
      </w:r>
      <w:r>
        <w:t>дальнейшем</w:t>
      </w:r>
      <w:r>
        <w:rPr>
          <w:b w:val="1"/>
        </w:rPr>
        <w:t xml:space="preserve"> «</w:t>
      </w:r>
      <w:r>
        <w:t>Исполнитель» с другой</w:t>
      </w:r>
      <w:r>
        <w:t xml:space="preserve">, </w:t>
      </w:r>
      <w:r>
        <w:rPr>
          <w:color w:val="000000"/>
        </w:rPr>
        <w:t>зде</w:t>
      </w:r>
      <w:r>
        <w:rPr>
          <w:color w:val="000000"/>
        </w:rPr>
        <w:t>сь и далее именуемы</w:t>
      </w:r>
      <w:r>
        <w:rPr>
          <w:color w:val="000000"/>
        </w:rPr>
        <w:t>е «Стороны»</w:t>
      </w:r>
      <w:r>
        <w:rPr>
          <w:color w:val="000000"/>
        </w:rPr>
        <w:t xml:space="preserve">, в соответствии с </w:t>
      </w:r>
      <w:r>
        <w:t>п</w:t>
      </w:r>
      <w:r>
        <w:t>. 4</w:t>
      </w:r>
      <w:r>
        <w:t xml:space="preserve"> ч</w:t>
      </w:r>
      <w:r>
        <w:t xml:space="preserve"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000000"/>
        </w:rPr>
        <w:t>(далее - Федеральный закон о контрактной системе), заключили настоящий Контракт (далее -  Контракт) о нижеследующем:</w:t>
      </w:r>
    </w:p>
    <w:p w14:paraId="0B000000">
      <w:pPr>
        <w:widowControl w:val="0"/>
        <w:ind/>
        <w:rPr>
          <w:sz w:val="12"/>
        </w:rPr>
      </w:pPr>
    </w:p>
    <w:p w14:paraId="0C000000">
      <w:pPr>
        <w:widowControl w:val="0"/>
        <w:ind/>
        <w:jc w:val="center"/>
      </w:pPr>
      <w:r>
        <w:t xml:space="preserve">1. </w:t>
      </w:r>
      <w:r>
        <w:t>ПРЕДМЕТ КОНТРАКТ</w:t>
      </w:r>
      <w:r>
        <w:t>А</w:t>
      </w:r>
    </w:p>
    <w:p w14:paraId="0D000000">
      <w:pPr>
        <w:widowControl w:val="0"/>
        <w:ind w:firstLine="0" w:left="360"/>
        <w:rPr>
          <w:sz w:val="12"/>
        </w:rPr>
      </w:pPr>
    </w:p>
    <w:p w14:paraId="0E000000">
      <w:pPr>
        <w:ind w:firstLine="426" w:left="0"/>
        <w:jc w:val="both"/>
      </w:pPr>
      <w:r>
        <w:t xml:space="preserve">1.1. «Исполнитель» обязуется в соответствии с условиями настоящего </w:t>
      </w:r>
      <w:r>
        <w:t>Контракт</w:t>
      </w:r>
      <w:r>
        <w:t>а оказать услуг</w:t>
      </w:r>
      <w:r>
        <w:t xml:space="preserve">и </w:t>
      </w:r>
      <w:r>
        <w:t>по</w:t>
      </w:r>
      <w:r>
        <w:t xml:space="preserve"> такелажным работам.</w:t>
      </w:r>
    </w:p>
    <w:p w14:paraId="0F000000">
      <w:pPr>
        <w:ind w:firstLine="426" w:left="0"/>
        <w:jc w:val="both"/>
      </w:pPr>
      <w:r>
        <w:t>1.2. Требов</w:t>
      </w:r>
      <w:r>
        <w:t>ания к содержанию и объему услуг</w:t>
      </w:r>
      <w:r>
        <w:t>, а такж</w:t>
      </w:r>
      <w:r>
        <w:t>е иные условия оказания услуг «Исполнителем»</w:t>
      </w:r>
      <w:r>
        <w:t xml:space="preserve">, установлены в приложении №1 (техническое задание) к настоящему </w:t>
      </w:r>
      <w:r>
        <w:t>Контракт</w:t>
      </w:r>
      <w:r>
        <w:t>у.</w:t>
      </w:r>
    </w:p>
    <w:p w14:paraId="10000000">
      <w:pPr>
        <w:spacing w:line="276" w:lineRule="auto"/>
        <w:ind/>
        <w:jc w:val="both"/>
      </w:pPr>
      <w:r>
        <w:t>1.3. Срок оказания Услуг</w:t>
      </w:r>
      <w:r>
        <w:t xml:space="preserve">: </w:t>
      </w:r>
      <w:r>
        <w:t>услуги оказываются в полном объеме в течение 60 (шестидесяти)   дней с момента подписания Контракта.</w:t>
      </w:r>
    </w:p>
    <w:p w14:paraId="11000000">
      <w:pPr>
        <w:pStyle w:val="Style_2"/>
        <w:widowControl w:val="1"/>
        <w:ind w:firstLine="0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</w:t>
      </w:r>
    </w:p>
    <w:p w14:paraId="12000000">
      <w:pPr>
        <w:ind w:firstLine="426" w:left="0"/>
        <w:jc w:val="both"/>
      </w:pPr>
    </w:p>
    <w:p w14:paraId="13000000">
      <w:pPr>
        <w:widowControl w:val="0"/>
        <w:ind w:firstLine="360" w:left="0"/>
        <w:jc w:val="both"/>
      </w:pPr>
      <w:r>
        <w:t>1.</w:t>
      </w:r>
      <w:r>
        <w:t>4</w:t>
      </w:r>
      <w:r>
        <w:t>. Место оказания услуг:</w:t>
      </w:r>
      <w:r>
        <w:t xml:space="preserve"> </w:t>
      </w:r>
      <w:r>
        <w:t xml:space="preserve">г. Ростов-на-Дону, </w:t>
      </w:r>
      <w:r>
        <w:t>Нахичеванский, зд. 38</w:t>
      </w:r>
      <w:r>
        <w:t>, стр. 20 (Лечебно-диагностический корпус)</w:t>
      </w:r>
      <w:r>
        <w:t>.</w:t>
      </w:r>
    </w:p>
    <w:p w14:paraId="14000000">
      <w:pPr>
        <w:widowControl w:val="0"/>
        <w:ind/>
        <w:jc w:val="center"/>
        <w:rPr>
          <w:sz w:val="12"/>
        </w:rPr>
      </w:pPr>
    </w:p>
    <w:p w14:paraId="15000000">
      <w:pPr>
        <w:widowControl w:val="0"/>
        <w:ind/>
        <w:jc w:val="center"/>
      </w:pPr>
      <w:r>
        <w:t xml:space="preserve">2. </w:t>
      </w:r>
      <w:r>
        <w:t>ЦЕНА КОНТРАКТ</w:t>
      </w:r>
      <w:r>
        <w:t>А И ПОРЯДОК РАСЧЕТОВ</w:t>
      </w:r>
    </w:p>
    <w:p w14:paraId="16000000">
      <w:pPr>
        <w:widowControl w:val="0"/>
        <w:ind w:firstLine="567" w:left="0"/>
        <w:jc w:val="both"/>
        <w:rPr>
          <w:sz w:val="12"/>
        </w:rPr>
      </w:pPr>
    </w:p>
    <w:p w14:paraId="17000000">
      <w:pPr>
        <w:pStyle w:val="Style_3"/>
        <w:tabs>
          <w:tab w:leader="none" w:pos="709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Оплата производится за счет</w:t>
      </w:r>
      <w:r>
        <w:rPr>
          <w:rFonts w:ascii="Times New Roman" w:hAnsi="Times New Roman"/>
          <w:sz w:val="24"/>
        </w:rPr>
        <w:t xml:space="preserve"> средств бюджетного учреждения.</w:t>
      </w:r>
    </w:p>
    <w:p w14:paraId="18000000">
      <w:pPr>
        <w:ind w:firstLine="567" w:left="0"/>
        <w:jc w:val="both"/>
      </w:pPr>
      <w:r>
        <w:t xml:space="preserve">Цена </w:t>
      </w:r>
      <w:r>
        <w:t>Контракт</w:t>
      </w:r>
      <w:r>
        <w:t xml:space="preserve">а составляет </w:t>
      </w:r>
      <w:r>
        <w:t>_________</w:t>
      </w:r>
      <w:r>
        <w:t xml:space="preserve"> (</w:t>
      </w:r>
      <w:r>
        <w:t>_______</w:t>
      </w:r>
      <w:r>
        <w:t>)</w:t>
      </w:r>
      <w:r>
        <w:t xml:space="preserve"> </w:t>
      </w:r>
      <w:r>
        <w:t xml:space="preserve">рублей </w:t>
      </w:r>
      <w:r>
        <w:t>___</w:t>
      </w:r>
      <w:r>
        <w:t xml:space="preserve"> копеек,</w:t>
      </w:r>
      <w:r>
        <w:t xml:space="preserve"> в том числе</w:t>
      </w:r>
      <w:r>
        <w:t xml:space="preserve"> (без)</w:t>
      </w:r>
      <w:r>
        <w:t xml:space="preserve"> </w:t>
      </w:r>
      <w:r>
        <w:t xml:space="preserve">НДС </w:t>
      </w:r>
      <w:r>
        <w:t>___</w:t>
      </w:r>
      <w:r>
        <w:t>%</w:t>
      </w:r>
      <w:r>
        <w:t xml:space="preserve"> </w:t>
      </w:r>
      <w:r>
        <w:t>(</w:t>
      </w:r>
      <w:r>
        <w:t>___________</w:t>
      </w:r>
      <w:r>
        <w:t xml:space="preserve"> руб.)</w:t>
      </w:r>
      <w:r>
        <w:t xml:space="preserve">. </w:t>
      </w:r>
    </w:p>
    <w:p w14:paraId="19000000">
      <w:pPr>
        <w:ind w:firstLine="567" w:left="0"/>
        <w:jc w:val="both"/>
      </w:pPr>
      <w:r>
        <w:t xml:space="preserve">Валютой </w:t>
      </w:r>
      <w:r>
        <w:t>Контракт</w:t>
      </w:r>
      <w:r>
        <w:t>а является Российский рубль.</w:t>
      </w:r>
    </w:p>
    <w:p w14:paraId="1A000000">
      <w:pPr>
        <w:spacing w:after="60"/>
        <w:ind w:firstLine="567" w:left="0"/>
        <w:contextualSpacing w:val="1"/>
        <w:jc w:val="both"/>
      </w:pPr>
      <w:r>
        <w:t xml:space="preserve">2.2. Расчеты осуществляются в безналичной форме. </w:t>
      </w:r>
    </w:p>
    <w:p w14:paraId="1B000000">
      <w:pPr>
        <w:spacing w:after="60"/>
        <w:ind w:firstLine="567" w:left="0"/>
        <w:contextualSpacing w:val="1"/>
        <w:jc w:val="both"/>
      </w:pPr>
      <w:r>
        <w:t>2.3.</w:t>
      </w:r>
      <w:r>
        <w:t xml:space="preserve"> Оплата производится в течение 7</w:t>
      </w:r>
      <w:r>
        <w:t xml:space="preserve"> (</w:t>
      </w:r>
      <w:r>
        <w:t>сем</w:t>
      </w:r>
      <w:r>
        <w:t>и) рабочих дней после подписания «Сторонами» Акта сдачи-приемки оказанных услуг,</w:t>
      </w:r>
      <w:r>
        <w:t xml:space="preserve"> Акта приемки ТРУ по форме ОКУД0510452</w:t>
      </w:r>
      <w:r>
        <w:t xml:space="preserve"> и предоставления «Исполнителем» счета на оплату.</w:t>
      </w:r>
    </w:p>
    <w:p w14:paraId="1C000000">
      <w:pPr>
        <w:widowControl w:val="0"/>
        <w:spacing w:after="60"/>
        <w:ind w:firstLine="567" w:left="0"/>
        <w:contextualSpacing w:val="1"/>
        <w:jc w:val="both"/>
      </w:pPr>
      <w:r>
        <w:t xml:space="preserve">. </w:t>
      </w:r>
    </w:p>
    <w:p w14:paraId="1D000000">
      <w:pPr>
        <w:widowControl w:val="0"/>
        <w:ind/>
        <w:rPr>
          <w:sz w:val="12"/>
        </w:rPr>
      </w:pPr>
    </w:p>
    <w:p w14:paraId="1E000000">
      <w:pPr>
        <w:widowControl w:val="0"/>
        <w:ind/>
        <w:jc w:val="center"/>
      </w:pPr>
      <w:r>
        <w:t xml:space="preserve">3. </w:t>
      </w:r>
      <w:r>
        <w:t>ПОРЯДОК ВЫПОЛНЕНИЯ, СДАЧИ И ПРИЕМКИ УСЛУГ</w:t>
      </w:r>
    </w:p>
    <w:p w14:paraId="1F000000">
      <w:pPr>
        <w:widowControl w:val="0"/>
        <w:ind w:firstLine="0" w:left="720"/>
        <w:rPr>
          <w:sz w:val="12"/>
        </w:rPr>
      </w:pPr>
    </w:p>
    <w:p w14:paraId="20000000">
      <w:pPr>
        <w:widowControl w:val="0"/>
        <w:ind w:firstLine="360" w:left="0"/>
        <w:jc w:val="both"/>
      </w:pPr>
      <w:r>
        <w:t xml:space="preserve">3.1. Оказанные услуги оформляются Актом </w:t>
      </w:r>
      <w:r>
        <w:t>сдачи-приемки оказанных услуг</w:t>
      </w:r>
      <w:r>
        <w:t xml:space="preserve"> и Актом ТРУ по форме</w:t>
      </w:r>
      <w:r>
        <w:t xml:space="preserve"> ОКУД 0510452</w:t>
      </w:r>
      <w:r>
        <w:t xml:space="preserve"> </w:t>
      </w:r>
      <w:r>
        <w:t>(приказ Минфина от 15.04.2012 №61н)</w:t>
      </w:r>
      <w:r>
        <w:t>.</w:t>
      </w:r>
    </w:p>
    <w:p w14:paraId="21000000">
      <w:pPr>
        <w:widowControl w:val="0"/>
        <w:ind w:firstLine="360" w:left="0"/>
        <w:jc w:val="both"/>
      </w:pPr>
      <w:r>
        <w:t>3.2. Заказчик не позднее 5-ти дней со дня получения соответствующего Акта направляет Исполнителю подписанный им Акт</w:t>
      </w:r>
      <w:r>
        <w:t xml:space="preserve">, </w:t>
      </w:r>
      <w:r>
        <w:t>Акт</w:t>
      </w:r>
      <w:r>
        <w:t xml:space="preserve"> приемки ТРУ</w:t>
      </w:r>
      <w:r>
        <w:t xml:space="preserve"> </w:t>
      </w:r>
      <w:r>
        <w:t xml:space="preserve">по форме ОКУД0510452 (приказ Минфина от 15.04.2012 №61н) </w:t>
      </w:r>
      <w:r>
        <w:t>или мотивированный отказ от приемки оказанных услуг.</w:t>
      </w:r>
    </w:p>
    <w:p w14:paraId="22000000">
      <w:pPr>
        <w:widowControl w:val="0"/>
        <w:ind w:firstLine="360" w:left="0"/>
        <w:jc w:val="both"/>
      </w:pPr>
      <w:r>
        <w:t xml:space="preserve">3.3. В случае мотивированного отказа Заказчика от приемки оказанных услуг, Сторонами составляется двусторонний Акт с указанием перечня необходимых доработок и сроков их оказания. </w:t>
      </w:r>
    </w:p>
    <w:p w14:paraId="23000000">
      <w:pPr>
        <w:widowControl w:val="0"/>
        <w:ind w:firstLine="360" w:left="0"/>
        <w:jc w:val="both"/>
      </w:pPr>
      <w:r>
        <w:t xml:space="preserve">3.4. </w:t>
      </w:r>
      <w:r>
        <w:t xml:space="preserve">После устранения недостатков, послуживших основанием для отказа в подписании Акта оказанных услуг, Заказчик в порядке и сроки, предусмотренные пунктом 3.2 настоящего </w:t>
      </w:r>
      <w:r>
        <w:t>Контракт</w:t>
      </w:r>
      <w:r>
        <w:t>а, принимает услуги, подписывает Акт оказанных услуг, Акт приемки ТРУ по форме ОКУД0510452 (приказ Минфина от 15.</w:t>
      </w:r>
      <w:r>
        <w:t>04.2012 №61н) и направляет его Исполнителю.</w:t>
      </w:r>
    </w:p>
    <w:p w14:paraId="24000000">
      <w:pPr>
        <w:widowControl w:val="0"/>
        <w:ind w:firstLine="360" w:left="0"/>
        <w:jc w:val="both"/>
      </w:pPr>
      <w:r>
        <w:t>3.5 Если исполнитель в установленный срок не устранит недостатки, Заказчик в праве отказаться</w:t>
      </w:r>
      <w:r>
        <w:t xml:space="preserve"> от исполнения </w:t>
      </w:r>
      <w:r>
        <w:t>Контракт</w:t>
      </w:r>
      <w:r>
        <w:t>а и предъ</w:t>
      </w:r>
      <w:r>
        <w:t xml:space="preserve">явить Исполнителю требование о возмещении понесенных убытков, уплате неустойки и (или) о расторжении </w:t>
      </w:r>
      <w:r>
        <w:t>Контракт</w:t>
      </w:r>
      <w:r>
        <w:t>а.</w:t>
      </w:r>
    </w:p>
    <w:p w14:paraId="25000000">
      <w:pPr>
        <w:widowControl w:val="0"/>
        <w:ind w:firstLine="360" w:left="0"/>
        <w:jc w:val="both"/>
      </w:pPr>
      <w:r>
        <w:t>3.6 Услуги могут быть оказаны досрочно.</w:t>
      </w:r>
    </w:p>
    <w:p w14:paraId="26000000">
      <w:pPr>
        <w:widowControl w:val="0"/>
        <w:ind/>
        <w:rPr>
          <w:sz w:val="12"/>
        </w:rPr>
      </w:pPr>
    </w:p>
    <w:p w14:paraId="27000000">
      <w:pPr>
        <w:widowControl w:val="0"/>
        <w:ind/>
        <w:jc w:val="center"/>
      </w:pPr>
      <w:r>
        <w:t>4.</w:t>
      </w:r>
      <w:r>
        <w:t xml:space="preserve"> </w:t>
      </w:r>
      <w:r>
        <w:t>ОБЯЗАННОСТИ СТОРОН</w:t>
      </w:r>
    </w:p>
    <w:p w14:paraId="28000000">
      <w:pPr>
        <w:widowControl w:val="0"/>
        <w:ind/>
        <w:rPr>
          <w:sz w:val="12"/>
        </w:rPr>
      </w:pPr>
    </w:p>
    <w:p w14:paraId="29000000">
      <w:pPr>
        <w:widowControl w:val="0"/>
        <w:ind w:firstLine="360" w:left="0"/>
        <w:jc w:val="both"/>
      </w:pPr>
      <w:r>
        <w:t xml:space="preserve">В рамках исполнения настоящего </w:t>
      </w:r>
      <w:r>
        <w:t>Контракт</w:t>
      </w:r>
      <w:r>
        <w:t>а «Заказчик» и «Исполнитель» имеют права и беруг на себя соответствующие обязанности:</w:t>
      </w:r>
    </w:p>
    <w:p w14:paraId="2A000000">
      <w:pPr>
        <w:widowControl w:val="0"/>
        <w:ind w:firstLine="360" w:left="0"/>
        <w:jc w:val="both"/>
      </w:pPr>
      <w:r>
        <w:t>4.1. «Исполнитель» обязан:</w:t>
      </w:r>
    </w:p>
    <w:p w14:paraId="2B000000">
      <w:pPr>
        <w:widowControl w:val="0"/>
        <w:ind w:firstLine="360" w:left="0"/>
        <w:jc w:val="both"/>
      </w:pPr>
      <w:r>
        <w:t xml:space="preserve">4.1.1. Обеспечить выполнение услуг в срок, </w:t>
      </w:r>
      <w:r>
        <w:t xml:space="preserve">указанный в период действия </w:t>
      </w:r>
      <w:r>
        <w:t>Контракт</w:t>
      </w:r>
      <w:r>
        <w:t xml:space="preserve">а с надлежащим качеством, </w:t>
      </w:r>
      <w:r>
        <w:t>в соответствии с правилами эксплуатации и техникой безопасности.</w:t>
      </w:r>
    </w:p>
    <w:p w14:paraId="2C000000">
      <w:pPr>
        <w:widowControl w:val="0"/>
        <w:ind w:firstLine="360" w:left="0"/>
        <w:jc w:val="both"/>
      </w:pPr>
      <w:r>
        <w:t>4.1.2. «Исполнитель» самостоятельно определя</w:t>
      </w:r>
      <w:r>
        <w:t>ет состав и количество лиц исполнителя, привлеченных</w:t>
      </w:r>
      <w:r>
        <w:t xml:space="preserve"> </w:t>
      </w:r>
      <w:r>
        <w:t xml:space="preserve">для оказания услуг по настоящему </w:t>
      </w:r>
      <w:r>
        <w:t>Контракт</w:t>
      </w:r>
      <w:r>
        <w:t>у.</w:t>
      </w:r>
    </w:p>
    <w:p w14:paraId="2D000000">
      <w:pPr>
        <w:widowControl w:val="0"/>
        <w:ind w:firstLine="360" w:left="0"/>
        <w:jc w:val="both"/>
      </w:pPr>
      <w:r>
        <w:t>4.1.3. При оказании услуг «Исполнитель» несет полную материальную ответственность за повреждения или утрату имущества «Заказчика», произошедших в результате действий «Исполнителя».</w:t>
      </w:r>
    </w:p>
    <w:p w14:paraId="2E000000">
      <w:pPr>
        <w:widowControl w:val="0"/>
        <w:ind w:firstLine="360" w:left="0"/>
        <w:jc w:val="both"/>
      </w:pPr>
      <w:r>
        <w:t xml:space="preserve">4.1.4. «Исполнитель» обязуется, при необходимости, информировать Заказчика о ходе </w:t>
      </w:r>
      <w:r>
        <w:t>выполнения услуги</w:t>
      </w:r>
      <w:r>
        <w:t>.</w:t>
      </w:r>
    </w:p>
    <w:p w14:paraId="2F000000">
      <w:pPr>
        <w:widowControl w:val="0"/>
        <w:ind w:firstLine="360" w:left="0"/>
        <w:jc w:val="both"/>
      </w:pPr>
      <w:r>
        <w:t>4.1.5. Не разглашать конфиденциальную информацию и сведения о «Заказчике», ставшие известными в ходе оказания услуги.</w:t>
      </w:r>
    </w:p>
    <w:p w14:paraId="30000000">
      <w:pPr>
        <w:pStyle w:val="Style_3"/>
        <w:spacing w:after="0" w:line="240" w:lineRule="auto"/>
        <w:ind w:firstLine="709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4.1.6. Оказывать услуги</w:t>
      </w:r>
      <w:r>
        <w:rPr>
          <w:rFonts w:ascii="Times New Roman" w:hAnsi="Times New Roman"/>
          <w:sz w:val="24"/>
        </w:rPr>
        <w:t xml:space="preserve"> в соответствии Приказом Министерства труда и социальной защиты РФ от 28.10.202</w:t>
      </w:r>
      <w:r>
        <w:rPr>
          <w:rFonts w:ascii="Times New Roman" w:hAnsi="Times New Roman"/>
          <w:sz w:val="24"/>
        </w:rPr>
        <w:t xml:space="preserve">0 </w:t>
      </w:r>
      <w:r>
        <w:rPr>
          <w:rFonts w:ascii="Times New Roman" w:hAnsi="Times New Roman"/>
          <w:sz w:val="24"/>
        </w:rPr>
        <w:t>г. № 753н «</w:t>
      </w:r>
      <w:r>
        <w:rPr>
          <w:rFonts w:ascii="Times New Roman" w:hAnsi="Times New Roman"/>
          <w:sz w:val="24"/>
        </w:rPr>
        <w:t xml:space="preserve">Об утверждении правил по охране труда при погрузочно-разгрузочных работах и размещении грузов», </w:t>
      </w:r>
      <w:r>
        <w:rPr>
          <w:rFonts w:ascii="Times New Roman" w:hAnsi="Times New Roman"/>
          <w:sz w:val="24"/>
          <w:highlight w:val="white"/>
        </w:rPr>
        <w:t>ГОСТ 23.3.009-76, ГОСТ 12.3.020-80 ССБТ</w:t>
      </w:r>
      <w:r>
        <w:rPr>
          <w:rFonts w:ascii="Times New Roman" w:hAnsi="Times New Roman"/>
          <w:sz w:val="24"/>
          <w:highlight w:val="white"/>
        </w:rPr>
        <w:t>.</w:t>
      </w:r>
      <w:r>
        <w:t xml:space="preserve"> </w:t>
      </w:r>
      <w:r>
        <w:t>Процессы перемещения грузов на предприятиях. ОТБ</w:t>
      </w:r>
      <w:r>
        <w:rPr>
          <w:rFonts w:ascii="Times New Roman" w:hAnsi="Times New Roman"/>
          <w:sz w:val="24"/>
          <w:highlight w:val="white"/>
        </w:rPr>
        <w:t xml:space="preserve">. </w:t>
      </w:r>
    </w:p>
    <w:p w14:paraId="31000000">
      <w:pPr>
        <w:ind w:firstLine="426" w:left="0"/>
        <w:jc w:val="both"/>
        <w:outlineLvl w:val="1"/>
      </w:pPr>
      <w:r>
        <w:t>4.2. «Заказчик» обязуется:</w:t>
      </w:r>
    </w:p>
    <w:p w14:paraId="32000000">
      <w:pPr>
        <w:tabs>
          <w:tab w:leader="none" w:pos="851" w:val="left"/>
        </w:tabs>
        <w:ind w:firstLine="426" w:left="0"/>
        <w:jc w:val="both"/>
        <w:outlineLvl w:val="0"/>
      </w:pPr>
      <w:r>
        <w:t>4.2.</w:t>
      </w:r>
      <w:r>
        <w:t>1. Обеспечить допуск лиц</w:t>
      </w:r>
      <w:r>
        <w:t xml:space="preserve"> «Исполнителя» для оказания услуг по настоящему </w:t>
      </w:r>
      <w:r>
        <w:t>Контракт</w:t>
      </w:r>
      <w:r>
        <w:t>у, и выделить ответственное ли</w:t>
      </w:r>
      <w:r>
        <w:t>цо для сопровождения лиц</w:t>
      </w:r>
      <w:r>
        <w:t xml:space="preserve"> «Исполнителя».</w:t>
      </w:r>
    </w:p>
    <w:p w14:paraId="33000000">
      <w:pPr>
        <w:widowControl w:val="0"/>
        <w:ind w:firstLine="360" w:left="0"/>
        <w:jc w:val="both"/>
      </w:pPr>
      <w:r>
        <w:t xml:space="preserve">4.2.2. «Заказчик» имеет право беспрепятственной проверки хода и качества </w:t>
      </w:r>
      <w:r>
        <w:t>оказываемых услуг</w:t>
      </w:r>
      <w:r>
        <w:t xml:space="preserve">, </w:t>
      </w:r>
      <w:r>
        <w:t>при этом, не вмешиваясь в процесс оказания услуг «Исполнителем».</w:t>
      </w:r>
    </w:p>
    <w:p w14:paraId="34000000">
      <w:pPr>
        <w:widowControl w:val="0"/>
        <w:ind w:firstLine="360" w:left="0"/>
        <w:jc w:val="both"/>
      </w:pPr>
      <w:r>
        <w:t xml:space="preserve">4.2.3. «Заказчик» обязуется обеспечить «Исполнителю» по его требованию необходимые условия для </w:t>
      </w:r>
      <w:r>
        <w:t>оказания услуги</w:t>
      </w:r>
      <w:r>
        <w:t>:</w:t>
      </w:r>
    </w:p>
    <w:p w14:paraId="35000000">
      <w:pPr>
        <w:widowControl w:val="0"/>
        <w:ind w:firstLine="360" w:left="0"/>
        <w:jc w:val="both"/>
      </w:pPr>
      <w:r>
        <w:t>а) иметь подъездные пути к пунктам погрузки и выгрузки.</w:t>
      </w:r>
    </w:p>
    <w:p w14:paraId="36000000">
      <w:pPr>
        <w:widowControl w:val="0"/>
        <w:ind w:firstLine="360" w:left="0"/>
        <w:jc w:val="both"/>
      </w:pPr>
      <w:r>
        <w:t>б) разгрузочно-погрузочные площадки и механизмы подъёма (лифты) в исправном состоянии, обеспечивающие беспрепятственное и безопасное движение грузов, и необходимое маневрирование автомобилей.</w:t>
      </w:r>
    </w:p>
    <w:p w14:paraId="37000000">
      <w:pPr>
        <w:widowControl w:val="0"/>
        <w:ind w:firstLine="360" w:left="0"/>
        <w:jc w:val="both"/>
      </w:pPr>
      <w:r>
        <w:t xml:space="preserve">4.2.4. Произвести оплату услуг «Исполнителю» после подписания Акта </w:t>
      </w:r>
      <w:r>
        <w:t xml:space="preserve">сдачи-приемки </w:t>
      </w:r>
      <w:r>
        <w:t>оказа</w:t>
      </w:r>
      <w:r>
        <w:t xml:space="preserve">нных услуг и Акта ТРУ, </w:t>
      </w:r>
      <w:r>
        <w:t xml:space="preserve">в порядке, размере и сроке, согласованных в настоящем </w:t>
      </w:r>
      <w:r>
        <w:t>Контракт</w:t>
      </w:r>
      <w:r>
        <w:t>е.</w:t>
      </w:r>
    </w:p>
    <w:p w14:paraId="38000000">
      <w:pPr>
        <w:widowControl w:val="0"/>
        <w:ind w:firstLine="360" w:left="0"/>
        <w:jc w:val="both"/>
        <w:rPr>
          <w:sz w:val="12"/>
        </w:rPr>
      </w:pPr>
    </w:p>
    <w:p w14:paraId="39000000">
      <w:pPr>
        <w:widowControl w:val="0"/>
        <w:ind w:firstLine="360" w:left="0"/>
        <w:jc w:val="center"/>
      </w:pPr>
      <w:r>
        <w:t xml:space="preserve">5. </w:t>
      </w:r>
      <w:r>
        <w:t>ОТВЕТСТВЕННОСТЬ СТОРОН</w:t>
      </w:r>
    </w:p>
    <w:p w14:paraId="3A000000">
      <w:pPr>
        <w:widowControl w:val="0"/>
        <w:ind w:firstLine="0" w:left="720"/>
        <w:rPr>
          <w:sz w:val="12"/>
        </w:rPr>
      </w:pPr>
    </w:p>
    <w:p w14:paraId="3B000000">
      <w:pPr>
        <w:widowControl w:val="0"/>
        <w:ind w:firstLine="567" w:left="0"/>
        <w:jc w:val="both"/>
      </w:pPr>
      <w:r>
        <w:t>5.1. За неисполнение или ненадлежащее исполнение условий</w:t>
      </w:r>
      <w:r>
        <w:t xml:space="preserve">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3C000000">
      <w:pPr>
        <w:widowControl w:val="0"/>
        <w:ind w:firstLine="567" w:left="0"/>
        <w:jc w:val="both"/>
      </w:pPr>
      <w:r>
        <w:t xml:space="preserve">5.2. В случае просрочки исполнения Заказчиком обязательств, предусмотренных </w:t>
      </w:r>
      <w:r>
        <w:t>Контракт</w:t>
      </w:r>
      <w:r>
        <w:t>ом, а также в иных случаях неисполнения или ненадлежащего исполнения Заказчиком обязательств, пред</w:t>
      </w:r>
      <w:r>
        <w:t xml:space="preserve">усмотренных </w:t>
      </w:r>
      <w:r>
        <w:t>Контракт</w:t>
      </w:r>
      <w:r>
        <w:t>ом, «Исполнитель»</w:t>
      </w:r>
      <w:r>
        <w:t xml:space="preserve"> вправе потребовать уплаты неустоек (штрафов, пеней).</w:t>
      </w:r>
    </w:p>
    <w:p w14:paraId="3D000000">
      <w:pPr>
        <w:widowControl w:val="0"/>
        <w:ind w:firstLine="567" w:left="0"/>
        <w:jc w:val="both"/>
      </w:pPr>
      <w:r>
        <w:t xml:space="preserve">5.3.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E000000">
      <w:pPr>
        <w:widowControl w:val="0"/>
        <w:ind w:firstLine="567" w:left="0"/>
        <w:jc w:val="both"/>
        <w:rPr>
          <w:i w:val="1"/>
        </w:rPr>
      </w:pPr>
      <w:r>
        <w:t xml:space="preserve">5.4.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 исполнения обязательств, пред</w:t>
      </w:r>
      <w:r>
        <w:t xml:space="preserve">усмотренных </w:t>
      </w:r>
      <w:r>
        <w:t>Контракт</w:t>
      </w:r>
      <w:r>
        <w:t>ом, Исполнитель</w:t>
      </w:r>
      <w:r>
        <w:t xml:space="preserve"> вправе взыскать с Заказчика штраф в размере </w:t>
      </w:r>
      <w:r>
        <w:rPr>
          <w:i w:val="1"/>
        </w:rPr>
        <w:t>1000 рублей;</w:t>
      </w:r>
    </w:p>
    <w:p w14:paraId="3F000000">
      <w:pPr>
        <w:widowControl w:val="0"/>
        <w:ind w:firstLine="567" w:left="0"/>
        <w:jc w:val="both"/>
      </w:pPr>
      <w:r>
        <w:t xml:space="preserve">5.5.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40000000">
      <w:pPr>
        <w:widowControl w:val="0"/>
        <w:ind w:firstLine="567" w:left="0"/>
        <w:jc w:val="both"/>
      </w:pPr>
      <w:r>
        <w:t xml:space="preserve">5.6. В случае </w:t>
      </w:r>
      <w:r>
        <w:t>просрочки исполнения Исполнителем</w:t>
      </w:r>
      <w:r>
        <w:t xml:space="preserve"> обязательств, предусмотренных </w:t>
      </w:r>
      <w:r>
        <w:t>Контракт</w:t>
      </w:r>
      <w:r>
        <w:t>ом, а также в иных случаях неисполнения или нена</w:t>
      </w:r>
      <w:r>
        <w:t>длежащего исполнения Исполнителем</w:t>
      </w:r>
      <w:r>
        <w:t xml:space="preserve"> обязательств, предусмотренных </w:t>
      </w:r>
      <w:r>
        <w:t>Контракт</w:t>
      </w:r>
      <w:r>
        <w:t>ом, Заказч</w:t>
      </w:r>
      <w:r>
        <w:t>ик направляет Исполнителю</w:t>
      </w:r>
      <w:r>
        <w:t xml:space="preserve"> требование об уплате неустоек (штрафов, пеней).</w:t>
      </w:r>
    </w:p>
    <w:p w14:paraId="41000000">
      <w:pPr>
        <w:ind w:firstLine="567" w:left="0"/>
        <w:jc w:val="both"/>
      </w:pPr>
      <w:r>
        <w:t xml:space="preserve">5.7. Пеня начисляется за каждый день </w:t>
      </w:r>
      <w:r>
        <w:t>просрочки исполнения Исполнителем</w:t>
      </w:r>
      <w:r>
        <w:t xml:space="preserve"> обязательства, предусмотренного </w:t>
      </w:r>
      <w:r>
        <w:t>Контракт</w:t>
      </w:r>
      <w:r>
        <w:t xml:space="preserve">ом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>ом и фа</w:t>
      </w:r>
      <w:r>
        <w:t>ктически исполненных Исполнителем</w:t>
      </w:r>
      <w:r>
        <w:t>, за исключением случаев, если законодательством Российской Федерации установлен иной порядок начисления пени.</w:t>
      </w:r>
    </w:p>
    <w:p w14:paraId="42000000">
      <w:pPr>
        <w:widowControl w:val="0"/>
        <w:ind w:firstLine="540" w:left="0"/>
        <w:jc w:val="both"/>
        <w:rPr>
          <w:i w:val="1"/>
        </w:rPr>
      </w:pPr>
      <w:r>
        <w:t>5.8. За каждый факт неисполнения или нена</w:t>
      </w:r>
      <w:r>
        <w:t>длежащего исполнения Исполнителем</w:t>
      </w:r>
      <w:r>
        <w:t xml:space="preserve"> обязательств, предусмотренных </w:t>
      </w:r>
      <w:r>
        <w:t>Контракт</w:t>
      </w:r>
      <w:r>
        <w:t>ом, за исключением просрочки исполнения обязательств (в том числе гарантийного обязательства), пред</w:t>
      </w:r>
      <w:r>
        <w:t xml:space="preserve">усмотренных </w:t>
      </w:r>
      <w:r>
        <w:t>Контракт</w:t>
      </w:r>
      <w:r>
        <w:t>ом, Исполнитель</w:t>
      </w:r>
      <w:r>
        <w:t xml:space="preserve"> выплачивает Заказчику штраф в </w:t>
      </w:r>
      <w:r>
        <w:rPr>
          <w:i w:val="1"/>
        </w:rPr>
        <w:t xml:space="preserve">размере 10 процентов цены </w:t>
      </w:r>
      <w:r>
        <w:rPr>
          <w:i w:val="1"/>
        </w:rPr>
        <w:t>Контракт</w:t>
      </w:r>
      <w:r>
        <w:rPr>
          <w:i w:val="1"/>
        </w:rPr>
        <w:t>а .</w:t>
      </w:r>
    </w:p>
    <w:p w14:paraId="43000000">
      <w:pPr>
        <w:widowControl w:val="0"/>
        <w:ind w:firstLine="540" w:left="0"/>
        <w:jc w:val="both"/>
      </w:pPr>
      <w:r>
        <w:t>5.9. За каждый факт неисполнения или ненад</w:t>
      </w:r>
      <w:r>
        <w:t>лежащего исполнения Исполнителем</w:t>
      </w:r>
      <w:r>
        <w:t xml:space="preserve"> обязательства, предусмотренного </w:t>
      </w:r>
      <w:r>
        <w:t>Контракт</w:t>
      </w:r>
      <w:r>
        <w:t>ом, которое не имеет с</w:t>
      </w:r>
      <w:r>
        <w:t>тоимостного выражения, Исполнитель</w:t>
      </w:r>
      <w:r>
        <w:t xml:space="preserve"> выплачивает Заказчику штраф в размере </w:t>
      </w:r>
      <w:r>
        <w:rPr>
          <w:i w:val="1"/>
        </w:rPr>
        <w:t xml:space="preserve">1000 рублей. </w:t>
      </w:r>
    </w:p>
    <w:p w14:paraId="44000000">
      <w:pPr>
        <w:widowControl w:val="0"/>
        <w:ind w:firstLine="540" w:left="0"/>
        <w:jc w:val="both"/>
      </w:pPr>
      <w:r>
        <w:t>5.10. Общая сумма начисленных штрафов за неисполнение или нен</w:t>
      </w:r>
      <w:r>
        <w:t>адлежащее исполнение Исполнителем</w:t>
      </w:r>
      <w:r>
        <w:t xml:space="preserve">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45000000">
      <w:pPr>
        <w:ind w:firstLine="540" w:left="0"/>
        <w:jc w:val="both"/>
      </w:pPr>
      <w:r>
        <w:t>5.11. Исполнитель</w:t>
      </w:r>
      <w:r>
        <w:t xml:space="preserve"> не имеет права на получение с Заказчика предусмотренных ст. 317.1 ГК РФ процентов за пользование суммой отсрочки оплаты.</w:t>
      </w:r>
    </w:p>
    <w:p w14:paraId="46000000">
      <w:pPr>
        <w:widowControl w:val="0"/>
        <w:ind/>
        <w:rPr>
          <w:sz w:val="12"/>
        </w:rPr>
      </w:pPr>
    </w:p>
    <w:p w14:paraId="47000000">
      <w:pPr>
        <w:widowControl w:val="0"/>
        <w:ind/>
        <w:jc w:val="center"/>
      </w:pPr>
      <w:r>
        <w:t>6.</w:t>
      </w:r>
      <w:r>
        <w:t xml:space="preserve"> </w:t>
      </w:r>
      <w:r>
        <w:t>ФОРС МАЖОР</w:t>
      </w:r>
    </w:p>
    <w:p w14:paraId="48000000">
      <w:pPr>
        <w:widowControl w:val="0"/>
        <w:ind/>
        <w:jc w:val="center"/>
        <w:rPr>
          <w:sz w:val="12"/>
        </w:rPr>
      </w:pPr>
    </w:p>
    <w:p w14:paraId="49000000">
      <w:pPr>
        <w:widowControl w:val="0"/>
        <w:numPr>
          <w:ilvl w:val="1"/>
          <w:numId w:val="1"/>
        </w:numPr>
        <w:ind w:firstLine="284" w:left="0"/>
        <w:jc w:val="both"/>
      </w:pPr>
      <w:r>
        <w:t xml:space="preserve">6.1. Заказчик и Исполнитель освобождаются от ответственности в случаях наступления обстоятельств непреодолимой силы. </w:t>
      </w:r>
    </w:p>
    <w:p w14:paraId="4A000000">
      <w:pPr>
        <w:widowControl w:val="0"/>
        <w:numPr>
          <w:ilvl w:val="1"/>
          <w:numId w:val="1"/>
        </w:numPr>
        <w:ind w:firstLine="284" w:left="0"/>
        <w:jc w:val="both"/>
      </w:pPr>
      <w:r>
        <w:t xml:space="preserve">6.2. Непреодолимой силой по настоящему </w:t>
      </w:r>
      <w:r>
        <w:t>Контракт</w:t>
      </w:r>
      <w:r>
        <w:t>у признается: война, военные действия, эпидемии, пожар, стихийные бедствия, аварии на транспорте, акты органов власти, имеющие влияние на исполнение обязательств.</w:t>
      </w:r>
    </w:p>
    <w:p w14:paraId="4B000000">
      <w:pPr>
        <w:widowControl w:val="0"/>
        <w:numPr>
          <w:ilvl w:val="1"/>
          <w:numId w:val="1"/>
        </w:numPr>
        <w:ind w:firstLine="284" w:left="0"/>
        <w:jc w:val="both"/>
      </w:pPr>
      <w:r>
        <w:t>6.3. Сторона, подвергающаяся действию непреодолимой силы, должна немедленно факсом или электронной почтой уведомить другую сторону о возникновении форс-мажорных обстоятельств.</w:t>
      </w:r>
    </w:p>
    <w:p w14:paraId="4C000000">
      <w:pPr>
        <w:widowControl w:val="0"/>
        <w:numPr>
          <w:ilvl w:val="1"/>
          <w:numId w:val="1"/>
        </w:numPr>
        <w:ind w:firstLine="284" w:left="0"/>
        <w:jc w:val="both"/>
        <w:rPr>
          <w:sz w:val="16"/>
        </w:rPr>
      </w:pPr>
    </w:p>
    <w:p w14:paraId="4D000000">
      <w:pPr>
        <w:widowControl w:val="0"/>
        <w:numPr>
          <w:ilvl w:val="1"/>
          <w:numId w:val="1"/>
        </w:numPr>
        <w:ind w:firstLine="284" w:left="0"/>
        <w:jc w:val="center"/>
      </w:pPr>
      <w:r>
        <w:t>7.</w:t>
      </w:r>
      <w:r>
        <w:t xml:space="preserve"> </w:t>
      </w:r>
      <w:r>
        <w:t>РАЗРЕШЕНИЕ СПОРОВ</w:t>
      </w:r>
    </w:p>
    <w:p w14:paraId="4E000000">
      <w:pPr>
        <w:widowControl w:val="0"/>
        <w:ind w:firstLine="360" w:left="0"/>
        <w:jc w:val="both"/>
        <w:rPr>
          <w:sz w:val="12"/>
        </w:rPr>
      </w:pPr>
    </w:p>
    <w:p w14:paraId="4F000000">
      <w:pPr>
        <w:widowControl w:val="0"/>
        <w:ind w:firstLine="360" w:left="0"/>
        <w:jc w:val="both"/>
      </w:pPr>
      <w:r>
        <w:t xml:space="preserve">7.1. Все споры и разногласия, которые могут возникнуть из настоящего </w:t>
      </w:r>
      <w:r>
        <w:t>Контракт</w:t>
      </w:r>
      <w:r>
        <w:t>а между «Сторонами», разрешаются путем переговоров.</w:t>
      </w:r>
    </w:p>
    <w:p w14:paraId="50000000">
      <w:pPr>
        <w:widowControl w:val="0"/>
        <w:ind w:firstLine="360" w:left="0"/>
        <w:jc w:val="both"/>
      </w:pPr>
      <w:r>
        <w:t>7.2.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51000000">
      <w:pPr>
        <w:widowControl w:val="0"/>
        <w:ind w:firstLine="360" w:left="0"/>
        <w:jc w:val="both"/>
      </w:pPr>
      <w:r>
        <w:t>7.3. Переписка «Сторон»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52000000">
      <w:pPr>
        <w:widowControl w:val="0"/>
        <w:ind w:firstLine="360" w:left="0"/>
        <w:jc w:val="both"/>
      </w:pPr>
      <w:r>
        <w:t>7.4. При не урегулировании «Сторонами» спора в досудебном порядке, спор передается на разрешении в Арбитражный суд Ростовской области.</w:t>
      </w:r>
    </w:p>
    <w:p w14:paraId="53000000">
      <w:pPr>
        <w:widowControl w:val="0"/>
        <w:ind w:firstLine="360" w:left="0"/>
        <w:jc w:val="both"/>
        <w:rPr>
          <w:sz w:val="12"/>
        </w:rPr>
      </w:pPr>
    </w:p>
    <w:p w14:paraId="54000000">
      <w:pPr>
        <w:widowControl w:val="0"/>
        <w:ind/>
        <w:jc w:val="center"/>
      </w:pPr>
      <w:r>
        <w:t xml:space="preserve">8. </w:t>
      </w:r>
      <w:r>
        <w:t>ПРОЧИЕ УСЛОВИЯ</w:t>
      </w:r>
    </w:p>
    <w:p w14:paraId="55000000">
      <w:pPr>
        <w:widowControl w:val="0"/>
        <w:ind w:firstLine="360" w:left="0"/>
        <w:jc w:val="both"/>
        <w:rPr>
          <w:sz w:val="12"/>
        </w:rPr>
      </w:pPr>
    </w:p>
    <w:p w14:paraId="56000000">
      <w:pPr>
        <w:widowControl w:val="0"/>
        <w:ind w:firstLine="360" w:left="0"/>
        <w:jc w:val="both"/>
      </w:pPr>
      <w:r>
        <w:t xml:space="preserve">8.1. </w:t>
      </w:r>
      <w:r>
        <w:t xml:space="preserve">Настоящий </w:t>
      </w:r>
      <w:r>
        <w:t>Контракт</w:t>
      </w:r>
      <w:r>
        <w:t xml:space="preserve"> вступает в силу с момента подписания его «Сторонами»</w:t>
      </w:r>
      <w:r>
        <w:br/>
      </w:r>
      <w:r>
        <w:t>и действ</w:t>
      </w:r>
      <w:r>
        <w:t>ует до 01.12</w:t>
      </w:r>
      <w:r>
        <w:t xml:space="preserve">.2026 г. Окончание срока действия </w:t>
      </w:r>
      <w:r>
        <w:t>Контракт</w:t>
      </w:r>
      <w:r>
        <w:t xml:space="preserve">а влечет прекращение обязательств «Сторон» по </w:t>
      </w:r>
      <w:r>
        <w:t>Контракт</w:t>
      </w:r>
      <w:r>
        <w:t>у с 01.12</w:t>
      </w:r>
      <w:r>
        <w:t>.2026 г., за исключением обязательс</w:t>
      </w:r>
      <w:r>
        <w:t>тв по оплате, возникших на 30.11</w:t>
      </w:r>
      <w:r>
        <w:t>.2026 г.</w:t>
      </w:r>
    </w:p>
    <w:p w14:paraId="57000000">
      <w:pPr>
        <w:widowControl w:val="0"/>
        <w:ind w:firstLine="360" w:left="0"/>
        <w:jc w:val="both"/>
      </w:pPr>
      <w:r>
        <w:t>8.2.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58000000">
      <w:pPr>
        <w:widowControl w:val="0"/>
        <w:ind w:firstLine="360" w:left="0"/>
        <w:jc w:val="both"/>
      </w:pPr>
      <w:r>
        <w:t>(a)Федеральный закон № 273-ФЗ от 25 декабря 2008 г. «О противодействии коррупции».</w:t>
      </w:r>
    </w:p>
    <w:p w14:paraId="59000000">
      <w:pPr>
        <w:widowControl w:val="0"/>
        <w:ind w:firstLine="360" w:left="0"/>
        <w:jc w:val="both"/>
      </w:pPr>
      <w: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5A000000">
      <w:pPr>
        <w:widowControl w:val="0"/>
        <w:ind w:firstLine="360" w:left="0"/>
        <w:jc w:val="both"/>
      </w:pPr>
      <w:r>
        <w:t>8.3.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5B000000">
      <w:pPr>
        <w:widowControl w:val="0"/>
        <w:ind w:firstLine="360" w:left="0"/>
        <w:jc w:val="both"/>
      </w:pPr>
      <w:r>
        <w:t xml:space="preserve">8.4.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5C000000">
      <w:pPr>
        <w:widowControl w:val="0"/>
        <w:ind w:firstLine="360" w:left="0"/>
        <w:jc w:val="both"/>
      </w:pPr>
      <w:r>
        <w:t xml:space="preserve">8.5. Все изменения к </w:t>
      </w:r>
      <w:r>
        <w:t>Контракт</w:t>
      </w:r>
      <w:r>
        <w:t xml:space="preserve">у считаются действительными, если они оформлены в письменном виде и подписаны обеими сторонами. </w:t>
      </w:r>
    </w:p>
    <w:p w14:paraId="5D000000">
      <w:pPr>
        <w:widowControl w:val="0"/>
        <w:ind w:firstLine="360" w:left="0"/>
        <w:jc w:val="both"/>
      </w:pPr>
      <w:r>
        <w:t xml:space="preserve">8.6. Настоящий </w:t>
      </w:r>
      <w:r>
        <w:t>Контракт</w:t>
      </w:r>
      <w:r>
        <w:t xml:space="preserve"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 </w:t>
      </w:r>
    </w:p>
    <w:p w14:paraId="5E000000">
      <w:pPr>
        <w:widowControl w:val="0"/>
        <w:ind w:firstLine="360" w:left="0"/>
        <w:jc w:val="both"/>
      </w:pPr>
      <w:r>
        <w:t xml:space="preserve">8.7. Настоящий </w:t>
      </w:r>
      <w:r>
        <w:t>Контракт</w:t>
      </w:r>
      <w:r>
        <w:t xml:space="preserve"> составлен в двух экземплярах, имеющих одинаковую юридическую силу: один экземпляр для Заказчика, один – для Исполнителя.</w:t>
      </w:r>
    </w:p>
    <w:p w14:paraId="5F000000">
      <w:pPr>
        <w:widowControl w:val="0"/>
        <w:ind w:firstLine="360" w:left="0"/>
        <w:jc w:val="both"/>
      </w:pPr>
      <w:r>
        <w:t xml:space="preserve">8.8. Техническое задание (Приложение №1) и Образец акта </w:t>
      </w:r>
      <w:r>
        <w:t>оказанных</w:t>
      </w:r>
      <w:r>
        <w:t xml:space="preserve"> </w:t>
      </w:r>
      <w:r>
        <w:t>услуг</w:t>
      </w:r>
      <w:r>
        <w:t xml:space="preserve"> (Приложение №2) являются неотъемле</w:t>
      </w:r>
      <w:r>
        <w:t xml:space="preserve">мой частью настоящего </w:t>
      </w:r>
      <w:r>
        <w:t>Контракт</w:t>
      </w:r>
      <w:r>
        <w:t>а.</w:t>
      </w:r>
    </w:p>
    <w:p w14:paraId="60000000">
      <w:pPr>
        <w:widowControl w:val="0"/>
        <w:ind w:firstLine="360" w:left="0"/>
        <w:jc w:val="both"/>
        <w:rPr>
          <w:sz w:val="12"/>
        </w:rPr>
      </w:pPr>
    </w:p>
    <w:p w14:paraId="61000000">
      <w:pPr>
        <w:widowControl w:val="0"/>
        <w:ind/>
        <w:jc w:val="center"/>
      </w:pPr>
      <w:r>
        <w:t>9. РЕКВИЗИТЫ СТОРОН</w:t>
      </w:r>
    </w:p>
    <w:p w14:paraId="62000000">
      <w:pPr>
        <w:widowControl w:val="0"/>
        <w:ind/>
        <w:rPr>
          <w:sz w:val="12"/>
        </w:rPr>
      </w:pPr>
    </w:p>
    <w:p w14:paraId="63000000">
      <w:pPr>
        <w:widowControl w:val="0"/>
        <w:ind w:firstLine="360" w:left="0"/>
        <w:jc w:val="center"/>
        <w:rPr>
          <w:sz w:val="10"/>
        </w:rPr>
      </w:pPr>
    </w:p>
    <w:tbl>
      <w:tblPr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83"/>
        <w:gridCol w:w="5054"/>
      </w:tblGrid>
      <w:tr>
        <w:trPr>
          <w:trHeight w:hRule="atLeast" w:val="390"/>
        </w:trPr>
        <w:tc>
          <w:tcPr>
            <w:tcW w:type="dxa" w:w="4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6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ФГБОУ ВО </w:t>
            </w:r>
            <w:r>
              <w:rPr>
                <w:b w:val="1"/>
                <w:color w:val="000000"/>
                <w:sz w:val="20"/>
              </w:rPr>
              <w:t>РостГМУ</w:t>
            </w:r>
            <w:r>
              <w:rPr>
                <w:b w:val="1"/>
                <w:color w:val="000000"/>
                <w:sz w:val="20"/>
              </w:rPr>
              <w:t xml:space="preserve"> Минздрава России</w:t>
            </w:r>
          </w:p>
          <w:p w14:paraId="66000000">
            <w:pPr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344022 Ростовская область, г. Ростов-на-Дону, пер.</w:t>
            </w:r>
          </w:p>
          <w:p w14:paraId="67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Нахичеванский, 29</w:t>
            </w:r>
          </w:p>
          <w:p w14:paraId="68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ИНН 6163032850    КПП 616301001</w:t>
            </w:r>
          </w:p>
          <w:p w14:paraId="69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УФК по Нижегородской области (ФГБОУ ВО </w:t>
            </w:r>
            <w:r>
              <w:rPr>
                <w:color w:val="000000"/>
                <w:sz w:val="20"/>
              </w:rPr>
              <w:t>РостГМУ</w:t>
            </w:r>
            <w:r>
              <w:rPr>
                <w:color w:val="000000"/>
                <w:sz w:val="20"/>
              </w:rPr>
              <w:t xml:space="preserve"> Минздрава России,</w:t>
            </w:r>
          </w:p>
          <w:p w14:paraId="6A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л/сч.20586У68420; л/сч.22586У68420).</w:t>
            </w:r>
          </w:p>
          <w:p w14:paraId="6B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ОКЦ №1 ВВГУ Банка России//УФК по Нижегородской области, г. Нижний Новгород </w:t>
            </w:r>
          </w:p>
          <w:p w14:paraId="6C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ЕКС 40102810745370000024</w:t>
            </w:r>
          </w:p>
          <w:p w14:paraId="6D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БИК 012202102</w:t>
            </w:r>
          </w:p>
          <w:p w14:paraId="6E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Номер счета 03214643000000013230</w:t>
            </w:r>
          </w:p>
          <w:p w14:paraId="6F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ОГРН 1026103165736 от 11.11.2002 г.</w:t>
            </w:r>
          </w:p>
          <w:p w14:paraId="70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ОКПО 01896857</w:t>
            </w:r>
          </w:p>
          <w:p w14:paraId="71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ОКТМО 60701000   </w:t>
            </w:r>
          </w:p>
          <w:p w14:paraId="72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ОКВЭД 85.22</w:t>
            </w:r>
          </w:p>
          <w:p w14:paraId="73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ОКОПФ 20903</w:t>
            </w:r>
          </w:p>
          <w:p w14:paraId="74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ОКФС 12</w:t>
            </w:r>
          </w:p>
          <w:p w14:paraId="75000000">
            <w:pPr>
              <w:widowControl w:val="0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ОКОГУ 1320700</w:t>
            </w:r>
          </w:p>
          <w:p w14:paraId="76000000">
            <w:pPr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И.о</w:t>
            </w:r>
            <w:r>
              <w:rPr>
                <w:b w:val="1"/>
                <w:color w:val="000000"/>
                <w:sz w:val="20"/>
              </w:rPr>
              <w:t xml:space="preserve">. ректора ФГБОУ ВО </w:t>
            </w:r>
            <w:r>
              <w:rPr>
                <w:b w:val="1"/>
                <w:color w:val="000000"/>
                <w:sz w:val="20"/>
              </w:rPr>
              <w:t>РостГМУ</w:t>
            </w:r>
            <w:r>
              <w:rPr>
                <w:b w:val="1"/>
                <w:color w:val="000000"/>
                <w:sz w:val="20"/>
              </w:rPr>
              <w:t xml:space="preserve"> </w:t>
            </w:r>
          </w:p>
          <w:p w14:paraId="77000000">
            <w:pPr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Минздрава России</w:t>
            </w:r>
          </w:p>
          <w:p w14:paraId="78000000">
            <w:pPr>
              <w:spacing w:after="0"/>
              <w:ind/>
              <w:rPr>
                <w:b w:val="1"/>
                <w:color w:val="000000"/>
                <w:sz w:val="20"/>
              </w:rPr>
            </w:pPr>
          </w:p>
          <w:p w14:paraId="79000000">
            <w:pPr>
              <w:spacing w:after="0"/>
              <w:ind/>
              <w:rPr>
                <w:b w:val="1"/>
                <w:color w:val="000000"/>
                <w:sz w:val="20"/>
              </w:rPr>
            </w:pPr>
          </w:p>
          <w:p w14:paraId="7A000000">
            <w:pPr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___________________ /</w:t>
            </w:r>
            <w:r>
              <w:rPr>
                <w:b w:val="1"/>
                <w:color w:val="000000"/>
                <w:sz w:val="20"/>
              </w:rPr>
              <w:t>М.А.Шишов/</w:t>
            </w:r>
          </w:p>
          <w:p w14:paraId="7B000000">
            <w:pPr>
              <w:spacing w:after="0"/>
              <w:ind/>
              <w:rPr>
                <w:b w:val="1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э.ц.п. </w:t>
            </w:r>
          </w:p>
        </w:tc>
        <w:tc>
          <w:tcPr>
            <w:tcW w:type="dxa" w:w="5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7D000000">
            <w:pPr>
              <w:spacing w:after="0"/>
              <w:ind/>
              <w:jc w:val="left"/>
              <w:rPr>
                <w:color w:val="000000"/>
              </w:rPr>
            </w:pPr>
          </w:p>
          <w:p w14:paraId="7E000000">
            <w:pPr>
              <w:spacing w:after="0"/>
              <w:ind/>
              <w:jc w:val="left"/>
              <w:rPr>
                <w:color w:val="000000"/>
              </w:rPr>
            </w:pPr>
          </w:p>
          <w:p w14:paraId="7F000000">
            <w:pPr>
              <w:spacing w:after="0"/>
              <w:ind/>
              <w:jc w:val="left"/>
              <w:rPr>
                <w:color w:val="000000"/>
              </w:rPr>
            </w:pPr>
          </w:p>
          <w:p w14:paraId="80000000">
            <w:pPr>
              <w:spacing w:after="0"/>
              <w:ind/>
              <w:jc w:val="left"/>
              <w:rPr>
                <w:color w:val="000000"/>
              </w:rPr>
            </w:pPr>
          </w:p>
          <w:p w14:paraId="81000000">
            <w:pPr>
              <w:spacing w:after="0"/>
              <w:ind/>
              <w:jc w:val="left"/>
              <w:rPr>
                <w:color w:val="000000"/>
              </w:rPr>
            </w:pPr>
          </w:p>
          <w:p w14:paraId="82000000">
            <w:pPr>
              <w:spacing w:after="0"/>
              <w:ind/>
              <w:jc w:val="left"/>
              <w:rPr>
                <w:color w:val="000000"/>
              </w:rPr>
            </w:pPr>
          </w:p>
          <w:p w14:paraId="83000000">
            <w:pPr>
              <w:spacing w:after="0"/>
              <w:ind/>
              <w:jc w:val="left"/>
              <w:rPr>
                <w:color w:val="000000"/>
              </w:rPr>
            </w:pPr>
          </w:p>
          <w:p w14:paraId="84000000">
            <w:pPr>
              <w:spacing w:after="0"/>
              <w:ind/>
              <w:jc w:val="left"/>
              <w:rPr>
                <w:color w:val="000000"/>
              </w:rPr>
            </w:pPr>
          </w:p>
          <w:p w14:paraId="85000000">
            <w:pPr>
              <w:spacing w:after="0"/>
              <w:ind/>
              <w:jc w:val="left"/>
              <w:rPr>
                <w:color w:val="000000"/>
              </w:rPr>
            </w:pPr>
          </w:p>
          <w:p w14:paraId="86000000">
            <w:pPr>
              <w:spacing w:after="0"/>
              <w:ind/>
              <w:jc w:val="left"/>
              <w:rPr>
                <w:color w:val="000000"/>
              </w:rPr>
            </w:pPr>
          </w:p>
          <w:p w14:paraId="87000000">
            <w:pPr>
              <w:spacing w:after="0"/>
              <w:ind/>
              <w:jc w:val="left"/>
              <w:rPr>
                <w:color w:val="000000"/>
              </w:rPr>
            </w:pPr>
          </w:p>
          <w:p w14:paraId="88000000">
            <w:pPr>
              <w:spacing w:after="0"/>
              <w:ind/>
              <w:jc w:val="left"/>
              <w:rPr>
                <w:color w:val="000000"/>
              </w:rPr>
            </w:pPr>
          </w:p>
          <w:p w14:paraId="89000000">
            <w:pPr>
              <w:spacing w:after="0"/>
              <w:ind/>
              <w:jc w:val="left"/>
              <w:rPr>
                <w:color w:val="000000"/>
              </w:rPr>
            </w:pPr>
          </w:p>
          <w:p w14:paraId="8A000000">
            <w:pPr>
              <w:spacing w:after="0"/>
              <w:ind/>
              <w:jc w:val="left"/>
              <w:rPr>
                <w:color w:val="000000"/>
              </w:rPr>
            </w:pPr>
          </w:p>
          <w:p w14:paraId="8B000000">
            <w:pPr>
              <w:spacing w:after="0"/>
              <w:ind/>
              <w:jc w:val="left"/>
              <w:rPr>
                <w:color w:val="000000"/>
              </w:rPr>
            </w:pPr>
          </w:p>
          <w:p w14:paraId="8C000000">
            <w:pPr>
              <w:spacing w:after="0"/>
              <w:ind/>
              <w:jc w:val="left"/>
              <w:rPr>
                <w:color w:val="000000"/>
              </w:rPr>
            </w:pPr>
          </w:p>
          <w:p w14:paraId="8D000000">
            <w:pPr>
              <w:spacing w:after="0"/>
              <w:ind/>
              <w:jc w:val="left"/>
              <w:rPr>
                <w:color w:val="000000"/>
              </w:rPr>
            </w:pPr>
          </w:p>
          <w:p w14:paraId="8E000000">
            <w:pPr>
              <w:spacing w:after="0"/>
              <w:ind/>
              <w:jc w:val="left"/>
              <w:rPr>
                <w:color w:val="000000"/>
              </w:rPr>
            </w:pPr>
          </w:p>
          <w:p w14:paraId="8F000000">
            <w:pPr>
              <w:spacing w:after="0"/>
              <w:ind/>
              <w:jc w:val="left"/>
              <w:rPr>
                <w:color w:val="000000"/>
              </w:rPr>
            </w:pPr>
          </w:p>
          <w:p w14:paraId="90000000">
            <w:pPr>
              <w:spacing w:after="0"/>
              <w:ind/>
              <w:jc w:val="left"/>
              <w:rPr>
                <w:color w:val="000000"/>
              </w:rPr>
            </w:pPr>
          </w:p>
          <w:p w14:paraId="91000000">
            <w:pPr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___________________</w:t>
            </w:r>
            <w:r>
              <w:rPr>
                <w:b w:val="1"/>
                <w:color w:val="000000"/>
                <w:sz w:val="20"/>
              </w:rPr>
              <w:t>/__________/</w:t>
            </w:r>
          </w:p>
          <w:p w14:paraId="92000000">
            <w:pPr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э.ц.п.</w:t>
            </w:r>
          </w:p>
        </w:tc>
      </w:tr>
    </w:tbl>
    <w:p w14:paraId="93000000">
      <w:pPr>
        <w:pStyle w:val="Style_4"/>
        <w:spacing w:line="276" w:lineRule="auto"/>
        <w:ind/>
        <w:rPr>
          <w:rFonts w:ascii="Times New Roman" w:hAnsi="Times New Roman"/>
          <w:sz w:val="25"/>
        </w:rPr>
      </w:pPr>
    </w:p>
    <w:p w14:paraId="94000000">
      <w:pPr>
        <w:pStyle w:val="Style_4"/>
        <w:spacing w:line="276" w:lineRule="auto"/>
        <w:ind/>
        <w:jc w:val="right"/>
        <w:rPr>
          <w:rFonts w:ascii="Times New Roman" w:hAnsi="Times New Roman"/>
          <w:sz w:val="25"/>
        </w:rPr>
      </w:pPr>
    </w:p>
    <w:p w14:paraId="95000000">
      <w:pPr>
        <w:tabs>
          <w:tab w:leader="none" w:pos="6575" w:val="left"/>
        </w:tabs>
        <w:ind/>
        <w:jc w:val="right"/>
        <w:rPr>
          <w:sz w:val="26"/>
        </w:rPr>
      </w:pPr>
      <w:r>
        <w:rPr>
          <w:sz w:val="25"/>
        </w:rPr>
        <w:br w:type="page"/>
      </w:r>
    </w:p>
    <w:p w14:paraId="96000000">
      <w:pPr>
        <w:tabs>
          <w:tab w:leader="none" w:pos="6575" w:val="left"/>
        </w:tabs>
        <w:ind/>
        <w:jc w:val="right"/>
        <w:rPr>
          <w:sz w:val="26"/>
        </w:rPr>
      </w:pPr>
    </w:p>
    <w:p w14:paraId="97000000">
      <w:pPr>
        <w:tabs>
          <w:tab w:leader="none" w:pos="6575" w:val="left"/>
        </w:tabs>
        <w:ind/>
        <w:jc w:val="right"/>
        <w:rPr>
          <w:sz w:val="26"/>
        </w:rPr>
      </w:pPr>
      <w:r>
        <w:rPr>
          <w:sz w:val="26"/>
        </w:rPr>
        <w:t>Приложение № 1</w:t>
      </w:r>
    </w:p>
    <w:p w14:paraId="98000000">
      <w:pPr>
        <w:ind/>
        <w:jc w:val="right"/>
        <w:rPr>
          <w:sz w:val="26"/>
        </w:rPr>
      </w:pPr>
      <w:r>
        <w:rPr>
          <w:sz w:val="26"/>
        </w:rPr>
        <w:t xml:space="preserve">к </w:t>
      </w:r>
      <w:r>
        <w:rPr>
          <w:sz w:val="26"/>
        </w:rPr>
        <w:t>Контракт</w:t>
      </w:r>
      <w:r>
        <w:rPr>
          <w:sz w:val="26"/>
        </w:rPr>
        <w:t xml:space="preserve">у №РГМУ </w:t>
      </w:r>
      <w:r>
        <w:rPr>
          <w:sz w:val="26"/>
        </w:rPr>
        <w:t>3</w:t>
      </w:r>
      <w:r>
        <w:rPr>
          <w:sz w:val="26"/>
        </w:rPr>
        <w:t>3255</w:t>
      </w:r>
    </w:p>
    <w:p w14:paraId="99000000">
      <w:pPr>
        <w:ind/>
        <w:jc w:val="right"/>
        <w:rPr>
          <w:sz w:val="26"/>
        </w:rPr>
      </w:pPr>
      <w:r>
        <w:rPr>
          <w:sz w:val="26"/>
        </w:rPr>
        <w:t>от «_</w:t>
      </w:r>
      <w:r>
        <w:rPr>
          <w:sz w:val="26"/>
        </w:rPr>
        <w:t>_</w:t>
      </w:r>
      <w:r>
        <w:rPr>
          <w:sz w:val="26"/>
        </w:rPr>
        <w:t>_»</w:t>
      </w:r>
      <w:r>
        <w:rPr>
          <w:sz w:val="26"/>
        </w:rPr>
        <w:t xml:space="preserve"> </w:t>
      </w:r>
      <w:r>
        <w:rPr>
          <w:sz w:val="26"/>
        </w:rPr>
        <w:t>__________202</w:t>
      </w:r>
      <w:r>
        <w:rPr>
          <w:sz w:val="26"/>
        </w:rPr>
        <w:t>6</w:t>
      </w:r>
      <w:r>
        <w:rPr>
          <w:sz w:val="26"/>
        </w:rPr>
        <w:t xml:space="preserve"> г.</w:t>
      </w:r>
    </w:p>
    <w:p w14:paraId="9A000000">
      <w:pPr>
        <w:ind/>
        <w:jc w:val="center"/>
        <w:rPr>
          <w:b w:val="1"/>
          <w:sz w:val="10"/>
        </w:rPr>
      </w:pPr>
    </w:p>
    <w:p w14:paraId="9B000000">
      <w:pPr>
        <w:ind/>
        <w:jc w:val="center"/>
        <w:rPr>
          <w:b w:val="1"/>
          <w:sz w:val="10"/>
        </w:rPr>
      </w:pPr>
    </w:p>
    <w:p w14:paraId="9C000000">
      <w:pPr>
        <w:ind/>
        <w:jc w:val="center"/>
        <w:rPr>
          <w:b w:val="1"/>
          <w:sz w:val="10"/>
        </w:rPr>
      </w:pPr>
    </w:p>
    <w:p w14:paraId="9D000000">
      <w:pPr>
        <w:ind/>
        <w:jc w:val="center"/>
        <w:rPr>
          <w:b w:val="1"/>
          <w:sz w:val="26"/>
        </w:rPr>
      </w:pPr>
    </w:p>
    <w:p w14:paraId="9E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ТЕХНИЧЕСКОЕ ЗАДАНИЕ</w:t>
      </w:r>
    </w:p>
    <w:p w14:paraId="9F000000">
      <w:pPr>
        <w:widowControl w:val="0"/>
        <w:ind/>
        <w:jc w:val="center"/>
        <w:rPr>
          <w:b w:val="1"/>
          <w:sz w:val="25"/>
        </w:rPr>
      </w:pPr>
      <w:r>
        <w:rPr>
          <w:b w:val="1"/>
          <w:sz w:val="25"/>
        </w:rPr>
        <w:t>на оказание услуги по про</w:t>
      </w:r>
      <w:r>
        <w:rPr>
          <w:b w:val="1"/>
          <w:sz w:val="25"/>
        </w:rPr>
        <w:t>ведению такелажных работ.</w:t>
      </w:r>
    </w:p>
    <w:p w14:paraId="A0000000">
      <w:pPr>
        <w:widowControl w:val="0"/>
        <w:ind/>
        <w:jc w:val="both"/>
        <w:rPr>
          <w:sz w:val="25"/>
        </w:rPr>
      </w:pPr>
    </w:p>
    <w:tbl>
      <w:tblPr>
        <w:tblStyle w:val="Style_5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918"/>
        <w:gridCol w:w="6521"/>
      </w:tblGrid>
      <w:tr>
        <w:trPr>
          <w:trHeight w:hRule="atLeast" w:val="508"/>
        </w:trPr>
        <w:tc>
          <w:tcPr>
            <w:tcW w:type="dxa" w:w="2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ind/>
              <w:outlineLvl w:val="0"/>
            </w:pPr>
            <w:r>
              <w:t>Заказчик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outlineLvl w:val="0"/>
            </w:pPr>
            <w:r>
              <w:t>ФГБОУ ВО РостГМУ Минздрава России</w:t>
            </w:r>
          </w:p>
        </w:tc>
      </w:tr>
      <w:tr>
        <w:trPr>
          <w:trHeight w:hRule="atLeast" w:val="734"/>
        </w:trPr>
        <w:tc>
          <w:tcPr>
            <w:tcW w:type="dxa" w:w="2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ind/>
              <w:jc w:val="center"/>
              <w:outlineLvl w:val="0"/>
            </w:pPr>
            <w:r>
              <w:t>Организация исполнитель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ind/>
              <w:jc w:val="both"/>
              <w:outlineLvl w:val="0"/>
              <w:rPr>
                <w:sz w:val="26"/>
              </w:rPr>
            </w:pPr>
          </w:p>
        </w:tc>
      </w:tr>
      <w:tr>
        <w:trPr>
          <w:trHeight w:hRule="atLeast" w:val="988"/>
        </w:trPr>
        <w:tc>
          <w:tcPr>
            <w:tcW w:type="dxa" w:w="29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spacing w:after="60" w:before="240"/>
              <w:ind/>
              <w:outlineLvl w:val="0"/>
            </w:pPr>
            <w:r>
              <w:t xml:space="preserve">Требования к </w:t>
            </w:r>
            <w:r>
              <w:t>результатам услуг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3"/>
              <w:spacing w:after="0" w:line="240" w:lineRule="auto"/>
              <w:ind w:firstLine="34" w:lef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услуг</w:t>
            </w:r>
            <w:r>
              <w:rPr>
                <w:rFonts w:ascii="Times New Roman" w:hAnsi="Times New Roman"/>
                <w:sz w:val="24"/>
              </w:rPr>
              <w:t xml:space="preserve"> в соответствии Приказом Министерства труда и социальной защиты РФ от 28.10.2020 г. № 753н «</w:t>
            </w:r>
            <w:r>
              <w:rPr>
                <w:rFonts w:ascii="Times New Roman" w:hAnsi="Times New Roman"/>
                <w:sz w:val="24"/>
              </w:rPr>
              <w:t xml:space="preserve">Об утверждении правил по охране труда при погрузочно-разгрузочных работах и размещении грузов», </w:t>
            </w:r>
            <w:r>
              <w:rPr>
                <w:rFonts w:ascii="Times New Roman" w:hAnsi="Times New Roman"/>
                <w:sz w:val="24"/>
                <w:highlight w:val="white"/>
              </w:rPr>
              <w:t>ГОСТ 23.3.009-76, ГОСТ 12.3.020-80 ССБТ. работы погрузочно-разгрузочные О.Т.Б.</w:t>
            </w:r>
          </w:p>
        </w:tc>
      </w:tr>
    </w:tbl>
    <w:p w14:paraId="A7000000">
      <w:pPr>
        <w:widowControl w:val="0"/>
        <w:ind/>
        <w:jc w:val="both"/>
        <w:rPr>
          <w:sz w:val="25"/>
        </w:rPr>
      </w:pPr>
    </w:p>
    <w:tbl>
      <w:tblPr>
        <w:tblStyle w:val="Style_5"/>
        <w:tblW w:type="auto" w:w="0"/>
        <w:tblInd w:type="dxa" w:w="-60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0"/>
        <w:gridCol w:w="3654"/>
        <w:gridCol w:w="749"/>
        <w:gridCol w:w="1387"/>
        <w:gridCol w:w="2561"/>
        <w:gridCol w:w="1563"/>
      </w:tblGrid>
      <w:tr>
        <w:trPr>
          <w:trHeight w:hRule="atLeast" w:val="41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r>
              <w:t>№</w:t>
            </w:r>
          </w:p>
          <w:p w14:paraId="A9000000">
            <w:r>
              <w:t>п/п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r>
              <w:t xml:space="preserve">Ед. </w:t>
            </w:r>
          </w:p>
          <w:p w14:paraId="AC000000">
            <w:r>
              <w:t>изм.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r>
              <w:t>Общее</w:t>
            </w:r>
          </w:p>
          <w:p w14:paraId="AE000000">
            <w:r>
              <w:t>Кол-во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r>
              <w:t>Стоимость за ед. изм.</w:t>
            </w: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r>
              <w:t>Общая сумма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ind/>
              <w:jc w:val="center"/>
            </w:pPr>
            <w:r>
              <w:t>1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r>
              <w:t>Демонтаж оборудования</w:t>
            </w:r>
          </w:p>
        </w:tc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jc w:val="center"/>
            </w:pPr>
            <w:r>
              <w:t>шт.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ind/>
              <w:jc w:val="center"/>
            </w:pPr>
            <w:r>
              <w:t>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ind/>
              <w:jc w:val="center"/>
            </w:pP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center"/>
            </w:pP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ind/>
              <w:jc w:val="center"/>
            </w:pPr>
            <w:r>
              <w:t>2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r>
              <w:t>Монтаж оборудования</w:t>
            </w:r>
          </w:p>
        </w:tc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ind/>
              <w:jc w:val="center"/>
            </w:pPr>
            <w:r>
              <w:t>шт.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ind/>
              <w:jc w:val="center"/>
            </w:pPr>
            <w:r>
              <w:t>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ind/>
              <w:jc w:val="center"/>
            </w:pP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ind/>
              <w:jc w:val="center"/>
            </w:pP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ind/>
              <w:jc w:val="center"/>
            </w:pPr>
            <w:r>
              <w:t>3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r>
              <w:t>Перенос груза по одному этажу весом до 100 кг</w:t>
            </w:r>
          </w:p>
        </w:tc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ind/>
              <w:jc w:val="center"/>
            </w:pPr>
            <w:r>
              <w:t>шт.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ind/>
              <w:jc w:val="center"/>
            </w:pPr>
            <w:r>
              <w:t>5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ind/>
              <w:jc w:val="center"/>
            </w:pP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ind/>
              <w:jc w:val="center"/>
            </w:pP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ind/>
              <w:jc w:val="center"/>
            </w:pPr>
            <w:r>
              <w:t>4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r>
              <w:t>Перенос груза по одному этажу весом от 100 кг до 350 кг</w:t>
            </w:r>
          </w:p>
        </w:tc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ind/>
              <w:jc w:val="center"/>
            </w:pPr>
            <w:r>
              <w:t>шт.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ind/>
              <w:jc w:val="center"/>
            </w:pPr>
            <w:r>
              <w:t>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ind/>
              <w:jc w:val="center"/>
            </w:pP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ind/>
              <w:jc w:val="center"/>
            </w:pP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ind/>
              <w:jc w:val="center"/>
            </w:pPr>
            <w:r>
              <w:t>5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r>
              <w:t>Подъем/спуск груза на один этаж весом до 100 кг</w:t>
            </w:r>
          </w:p>
        </w:tc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ind/>
              <w:jc w:val="center"/>
            </w:pPr>
            <w:r>
              <w:t>шт.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ind/>
              <w:jc w:val="center"/>
            </w:pPr>
            <w:r>
              <w:t>5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ind/>
              <w:jc w:val="center"/>
            </w:pP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ind/>
              <w:jc w:val="center"/>
            </w:pP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ind/>
              <w:jc w:val="center"/>
            </w:pPr>
            <w:r>
              <w:t>6</w:t>
            </w:r>
          </w:p>
        </w:tc>
        <w:tc>
          <w:tcPr>
            <w:tcW w:type="dxa" w:w="3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r>
              <w:t>Подъем/спуск груза на один этаж весом от 100 кг до 350 кг</w:t>
            </w:r>
          </w:p>
        </w:tc>
        <w:tc>
          <w:tcPr>
            <w:tcW w:type="dxa" w:w="7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ind/>
              <w:jc w:val="center"/>
            </w:pPr>
            <w:r>
              <w:t>шт.</w:t>
            </w:r>
          </w:p>
        </w:tc>
        <w:tc>
          <w:tcPr>
            <w:tcW w:type="dxa" w:w="1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ind/>
              <w:jc w:val="center"/>
            </w:pPr>
            <w:r>
              <w:t>2</w:t>
            </w:r>
          </w:p>
        </w:tc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ind/>
              <w:jc w:val="center"/>
            </w:pP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ind/>
              <w:jc w:val="center"/>
            </w:pPr>
          </w:p>
        </w:tc>
      </w:tr>
      <w:tr>
        <w:tc>
          <w:tcPr>
            <w:tcW w:type="dxa" w:w="889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ind/>
              <w:jc w:val="right"/>
            </w:pPr>
            <w:r>
              <w:t>ВСЕГО</w:t>
            </w: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ind/>
              <w:jc w:val="center"/>
            </w:pPr>
          </w:p>
        </w:tc>
      </w:tr>
    </w:tbl>
    <w:p w14:paraId="D7000000">
      <w:pPr>
        <w:ind/>
        <w:jc w:val="both"/>
        <w:rPr>
          <w:sz w:val="28"/>
        </w:rPr>
      </w:pPr>
    </w:p>
    <w:p w14:paraId="D8000000">
      <w:pPr>
        <w:widowControl w:val="0"/>
        <w:ind/>
        <w:jc w:val="both"/>
        <w:rPr>
          <w:sz w:val="25"/>
        </w:rPr>
      </w:pPr>
    </w:p>
    <w:tbl>
      <w:tblPr>
        <w:tblStyle w:val="Style_5"/>
        <w:tblW w:type="auto" w:w="0"/>
        <w:jc w:val="center"/>
        <w:tblInd w:type="dxa" w:w="0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D9000000">
            <w:pPr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И.о</w:t>
            </w:r>
            <w:r>
              <w:rPr>
                <w:b w:val="1"/>
                <w:color w:val="000000"/>
                <w:sz w:val="20"/>
              </w:rPr>
              <w:t xml:space="preserve">. ректора ФГБОУ ВО </w:t>
            </w:r>
            <w:r>
              <w:rPr>
                <w:b w:val="1"/>
                <w:color w:val="000000"/>
                <w:sz w:val="20"/>
              </w:rPr>
              <w:t>РостГМУ</w:t>
            </w:r>
            <w:r>
              <w:rPr>
                <w:b w:val="1"/>
                <w:color w:val="000000"/>
                <w:sz w:val="20"/>
              </w:rPr>
              <w:t xml:space="preserve"> </w:t>
            </w:r>
          </w:p>
          <w:p w14:paraId="DA000000">
            <w:pPr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Минздрава России</w:t>
            </w:r>
          </w:p>
          <w:p w14:paraId="DB000000">
            <w:pPr>
              <w:spacing w:after="0"/>
              <w:ind/>
              <w:rPr>
                <w:b w:val="1"/>
                <w:color w:val="000000"/>
                <w:sz w:val="20"/>
              </w:rPr>
            </w:pPr>
          </w:p>
          <w:p w14:paraId="DC000000">
            <w:pPr>
              <w:spacing w:after="0"/>
              <w:ind/>
              <w:rPr>
                <w:b w:val="1"/>
                <w:color w:val="000000"/>
                <w:sz w:val="20"/>
              </w:rPr>
            </w:pPr>
          </w:p>
          <w:p w14:paraId="DD000000">
            <w:pPr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___________________ /</w:t>
            </w:r>
            <w:r>
              <w:rPr>
                <w:b w:val="1"/>
                <w:color w:val="000000"/>
                <w:sz w:val="20"/>
              </w:rPr>
              <w:t>М.А.Шишов/</w:t>
            </w:r>
          </w:p>
          <w:p w14:paraId="DE000000">
            <w:r>
              <w:rPr>
                <w:b w:val="1"/>
                <w:color w:val="000000"/>
                <w:sz w:val="20"/>
              </w:rPr>
              <w:t>э.ц.п.</w:t>
            </w:r>
          </w:p>
        </w:tc>
        <w:tc>
          <w:tcPr>
            <w:tcW w:type="dxa" w:w="4713"/>
          </w:tcPr>
          <w:p w14:paraId="DF000000">
            <w:pPr>
              <w:rPr>
                <w:b w:val="1"/>
              </w:rPr>
            </w:pPr>
          </w:p>
          <w:p w14:paraId="E0000000">
            <w:pPr>
              <w:rPr>
                <w:b w:val="1"/>
              </w:rPr>
            </w:pPr>
          </w:p>
          <w:p w14:paraId="E1000000">
            <w:pPr>
              <w:rPr>
                <w:b w:val="1"/>
              </w:rPr>
            </w:pPr>
          </w:p>
          <w:p w14:paraId="E2000000">
            <w:pPr>
              <w:rPr>
                <w:b w:val="1"/>
              </w:rPr>
            </w:pPr>
            <w:r>
              <w:rPr>
                <w:b w:val="1"/>
              </w:rPr>
              <w:t xml:space="preserve">_______________ </w:t>
            </w:r>
            <w:r>
              <w:rPr>
                <w:b w:val="1"/>
              </w:rPr>
              <w:t>____________</w:t>
            </w:r>
          </w:p>
          <w:p w14:paraId="E3000000">
            <w:pPr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</w:tr>
    </w:tbl>
    <w:p w14:paraId="E4000000">
      <w:pPr>
        <w:widowControl w:val="0"/>
        <w:ind/>
        <w:jc w:val="both"/>
        <w:rPr>
          <w:sz w:val="25"/>
        </w:rPr>
      </w:pPr>
    </w:p>
    <w:p w14:paraId="E5000000">
      <w:pPr>
        <w:widowControl w:val="0"/>
        <w:ind w:firstLine="360" w:left="0"/>
        <w:jc w:val="both"/>
        <w:rPr>
          <w:sz w:val="25"/>
        </w:rPr>
      </w:pPr>
    </w:p>
    <w:p w14:paraId="E6000000">
      <w:pPr>
        <w:widowControl w:val="0"/>
        <w:ind w:firstLine="360" w:left="0"/>
        <w:jc w:val="both"/>
        <w:rPr>
          <w:sz w:val="25"/>
        </w:rPr>
      </w:pPr>
    </w:p>
    <w:p w14:paraId="E7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8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9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A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B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C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D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E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EF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F0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F1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F2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F300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p w14:paraId="F4000000">
      <w:pPr>
        <w:widowControl w:val="0"/>
        <w:ind/>
        <w:jc w:val="right"/>
      </w:pPr>
      <w:r>
        <w:t>Приложение № 2</w:t>
      </w:r>
    </w:p>
    <w:p w14:paraId="F5000000">
      <w:pPr>
        <w:widowControl w:val="0"/>
        <w:ind/>
        <w:jc w:val="right"/>
      </w:pPr>
      <w:r>
        <w:t xml:space="preserve">к </w:t>
      </w:r>
      <w:r>
        <w:t>Контракт</w:t>
      </w:r>
      <w:r>
        <w:t>у РГМУ</w:t>
      </w:r>
      <w:r>
        <w:rPr>
          <w:b w:val="1"/>
        </w:rPr>
        <w:t xml:space="preserve"> </w:t>
      </w:r>
      <w:r>
        <w:t>№</w:t>
      </w:r>
      <w:r>
        <w:t>РГМУ 3</w:t>
      </w:r>
      <w:r>
        <w:t>3255</w:t>
      </w:r>
    </w:p>
    <w:p w14:paraId="F6000000">
      <w:pPr>
        <w:spacing w:after="60" w:line="23" w:lineRule="atLeast"/>
        <w:ind/>
        <w:jc w:val="right"/>
      </w:pPr>
      <w:r>
        <w:t>от «___» _____________ 202</w:t>
      </w:r>
      <w:r>
        <w:t>6</w:t>
      </w:r>
      <w:r>
        <w:t xml:space="preserve"> г.</w:t>
      </w:r>
    </w:p>
    <w:p w14:paraId="F7000000">
      <w:pPr>
        <w:spacing w:after="60"/>
        <w:ind w:firstLine="567" w:left="-142"/>
        <w:jc w:val="center"/>
      </w:pPr>
    </w:p>
    <w:p w14:paraId="F8000000">
      <w:pPr>
        <w:spacing w:after="60"/>
        <w:ind w:firstLine="567" w:left="-142"/>
        <w:jc w:val="center"/>
      </w:pPr>
      <w:r>
        <w:t>Акт сдачи-приемки оказанных услуг</w:t>
      </w:r>
    </w:p>
    <w:p w14:paraId="F9000000">
      <w:pPr>
        <w:spacing w:after="60"/>
        <w:ind w:firstLine="567" w:left="-142"/>
        <w:jc w:val="center"/>
        <w:rPr>
          <w:b w:val="1"/>
          <w:u w:val="single"/>
        </w:rPr>
      </w:pPr>
      <w:r>
        <w:rPr>
          <w:b w:val="1"/>
          <w:u w:val="single"/>
        </w:rPr>
        <w:t>ОБРАЗЕЦ</w:t>
      </w:r>
    </w:p>
    <w:p w14:paraId="FA000000">
      <w:pPr>
        <w:spacing w:after="60"/>
        <w:ind/>
        <w:jc w:val="both"/>
      </w:pPr>
      <w:r>
        <w:t>г. Ростов-на-Дону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от «___» _____________ 2026 г.</w:t>
      </w:r>
    </w:p>
    <w:p w14:paraId="FB000000">
      <w:pPr>
        <w:spacing w:after="60"/>
        <w:ind/>
        <w:jc w:val="center"/>
        <w:rPr>
          <w:b w:val="1"/>
        </w:rPr>
      </w:pPr>
    </w:p>
    <w:p w14:paraId="FC000000">
      <w:pPr>
        <w:spacing w:after="60"/>
        <w:ind w:firstLine="567" w:left="0"/>
        <w:jc w:val="both"/>
      </w:pPr>
      <w: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РостГМУ Минздрава России), именуемое в дальнейшем «Заказчик», в лице и.о. проректора по АХР </w:t>
      </w:r>
      <w:r>
        <w:t>Руруа Автандила Автондиловича, действующего на основании доверенности № 159 от 14.07.2026 г</w:t>
      </w:r>
      <w:r>
        <w:t>.,</w:t>
      </w:r>
      <w:r>
        <w:t xml:space="preserve"> </w:t>
      </w:r>
      <w:r>
        <w:t xml:space="preserve">с одной  стороны, и </w:t>
      </w:r>
      <w:r>
        <w:t>________________________</w:t>
      </w:r>
      <w:r>
        <w:t xml:space="preserve"> в лице </w:t>
      </w:r>
      <w:r>
        <w:t>_______________________</w:t>
      </w:r>
      <w:r>
        <w:t xml:space="preserve">, действующей на основании </w:t>
      </w:r>
      <w:r>
        <w:t>__________</w:t>
      </w:r>
      <w:r>
        <w:t>, в дальнейшем «Исполнитель», с другой стороны, далее по тексту именуемые «Стороны», а по отдельности « Сторона», подписали настоящий акт о нижеследующем:</w:t>
      </w:r>
    </w:p>
    <w:p w14:paraId="FD000000">
      <w:pPr>
        <w:numPr>
          <w:ilvl w:val="0"/>
          <w:numId w:val="2"/>
        </w:numPr>
        <w:spacing w:after="60"/>
        <w:ind/>
        <w:jc w:val="both"/>
        <w:rPr>
          <w:sz w:val="22"/>
        </w:rPr>
      </w:pPr>
      <w:r>
        <w:t>«Исполнитель» выполнил, а «Заказчик» прин</w:t>
      </w:r>
      <w:r>
        <w:t>ял</w:t>
      </w:r>
      <w:r>
        <w:t xml:space="preserve"> услуги по оказанию услуг по такелажным работам</w:t>
      </w:r>
      <w:r>
        <w:t xml:space="preserve"> для нужд ФГБОУ ВО РостГМУ Минздрава России на объекте «Заказчика» ____________________, расположенного по адресу: ____________________________.</w:t>
      </w:r>
    </w:p>
    <w:p w14:paraId="FE000000">
      <w:pPr>
        <w:numPr>
          <w:ilvl w:val="0"/>
          <w:numId w:val="2"/>
        </w:numPr>
        <w:spacing w:after="60"/>
        <w:ind w:firstLine="567" w:left="-142"/>
        <w:jc w:val="both"/>
        <w:rPr>
          <w:sz w:val="22"/>
        </w:rPr>
      </w:pPr>
      <w:r>
        <w:rPr>
          <w:sz w:val="22"/>
        </w:rPr>
        <w:t>Стоимость услуг по настоящему акту составляет ____________________.</w:t>
      </w:r>
    </w:p>
    <w:p w14:paraId="FF000000">
      <w:pPr>
        <w:numPr>
          <w:ilvl w:val="0"/>
          <w:numId w:val="2"/>
        </w:numPr>
        <w:spacing w:after="60"/>
        <w:ind w:firstLine="567" w:left="-142"/>
        <w:jc w:val="both"/>
        <w:rPr>
          <w:sz w:val="22"/>
        </w:rPr>
      </w:pPr>
      <w:r>
        <w:rPr>
          <w:sz w:val="22"/>
        </w:rPr>
        <w:t>Услуги оказаны в срок, с надлежащим качеством, в полном объеме.  Стороны претензий не имеют.</w:t>
      </w:r>
    </w:p>
    <w:p w14:paraId="00010000">
      <w:pPr>
        <w:spacing w:after="60"/>
        <w:ind w:firstLine="567" w:left="-142"/>
        <w:jc w:val="both"/>
      </w:pPr>
      <w:r>
        <w:rPr>
          <w:sz w:val="22"/>
        </w:rPr>
        <w:t>4.</w:t>
      </w:r>
      <w:r>
        <w:t xml:space="preserve"> «Исполнитель» передал «Заказчику» сопровождающие документы </w:t>
      </w:r>
      <w:r>
        <w:rPr>
          <w:i w:val="1"/>
        </w:rPr>
        <w:t>___________________, указать какие документы</w:t>
      </w:r>
      <w:r>
        <w:t>.</w:t>
      </w:r>
    </w:p>
    <w:p w14:paraId="01010000">
      <w:pPr>
        <w:spacing w:after="60"/>
        <w:ind/>
        <w:jc w:val="both"/>
      </w:pPr>
    </w:p>
    <w:p w14:paraId="02010000">
      <w:pPr>
        <w:spacing w:after="60"/>
        <w:ind w:firstLine="567" w:left="-142"/>
        <w:jc w:val="both"/>
        <w:rPr>
          <w:sz w:val="22"/>
        </w:rPr>
      </w:pPr>
      <w:r>
        <w:t>*Акт заполняется предварительно «Исполнителем» по каждому объекту оказания услуг.</w:t>
      </w:r>
    </w:p>
    <w:p w14:paraId="03010000">
      <w:pPr>
        <w:spacing w:after="60"/>
        <w:ind/>
        <w:jc w:val="both"/>
        <w:rPr>
          <w:sz w:val="22"/>
        </w:rPr>
      </w:pPr>
    </w:p>
    <w:tbl>
      <w:tblPr>
        <w:tblStyle w:val="Style_5"/>
        <w:tblpPr w:bottomFromText="0" w:horzAnchor="margin" w:leftFromText="180" w:rightFromText="180" w:tblpXSpec="left" w:tblpY="187" w:topFromText="0" w:vertAnchor="text"/>
        <w:tblW w:type="auto" w:w="0"/>
        <w:tblInd w:type="dxa" w:w="0"/>
        <w:tblLayout w:type="fixed"/>
      </w:tblPr>
      <w:tblGrid>
        <w:gridCol w:w="4907"/>
        <w:gridCol w:w="4946"/>
      </w:tblGrid>
      <w:tr>
        <w:trPr>
          <w:trHeight w:hRule="atLeast" w:val="1139"/>
        </w:trPr>
        <w:tc>
          <w:tcPr>
            <w:tcW w:type="dxa" w:w="4907"/>
          </w:tcPr>
          <w:p w14:paraId="04010000">
            <w:pPr>
              <w:widowControl w:val="0"/>
              <w:spacing w:after="60"/>
              <w:ind/>
              <w:rPr>
                <w:b w:val="1"/>
              </w:rPr>
            </w:pPr>
            <w:r>
              <w:rPr>
                <w:b w:val="1"/>
              </w:rPr>
              <w:t>«Заказчик»:</w:t>
            </w:r>
          </w:p>
          <w:p w14:paraId="05010000">
            <w:pPr>
              <w:spacing w:after="60"/>
              <w:ind/>
              <w:rPr>
                <w:b w:val="1"/>
              </w:rPr>
            </w:pPr>
          </w:p>
          <w:p w14:paraId="06010000">
            <w:pPr>
              <w:spacing w:after="60"/>
              <w:ind/>
              <w:rPr>
                <w:b w:val="1"/>
              </w:rPr>
            </w:pPr>
          </w:p>
          <w:p w14:paraId="07010000">
            <w:pPr>
              <w:spacing w:after="60"/>
              <w:ind/>
              <w:rPr>
                <w:b w:val="1"/>
              </w:rPr>
            </w:pPr>
            <w:r>
              <w:rPr>
                <w:b w:val="1"/>
              </w:rPr>
              <w:t>___________________/__________ /</w:t>
            </w:r>
          </w:p>
          <w:p w14:paraId="08010000">
            <w:pPr>
              <w:widowControl w:val="0"/>
              <w:spacing w:after="60"/>
              <w:ind/>
            </w:pPr>
          </w:p>
        </w:tc>
        <w:tc>
          <w:tcPr>
            <w:tcW w:type="dxa" w:w="4946"/>
          </w:tcPr>
          <w:p w14:paraId="09010000">
            <w:pPr>
              <w:spacing w:after="60"/>
              <w:ind/>
              <w:jc w:val="both"/>
              <w:rPr>
                <w:b w:val="1"/>
              </w:rPr>
            </w:pPr>
            <w:r>
              <w:rPr>
                <w:b w:val="1"/>
              </w:rPr>
              <w:t xml:space="preserve"> «Исполнитель»:</w:t>
            </w:r>
          </w:p>
          <w:p w14:paraId="0A010000">
            <w:pPr>
              <w:spacing w:after="60"/>
              <w:ind/>
              <w:jc w:val="both"/>
              <w:rPr>
                <w:b w:val="1"/>
              </w:rPr>
            </w:pPr>
          </w:p>
          <w:p w14:paraId="0B010000">
            <w:pPr>
              <w:spacing w:after="60"/>
              <w:ind/>
              <w:jc w:val="both"/>
              <w:rPr>
                <w:b w:val="1"/>
              </w:rPr>
            </w:pPr>
          </w:p>
          <w:p w14:paraId="0C010000">
            <w:pPr>
              <w:spacing w:after="60"/>
              <w:ind/>
              <w:jc w:val="both"/>
              <w:rPr>
                <w:b w:val="1"/>
              </w:rPr>
            </w:pPr>
            <w:r>
              <w:rPr>
                <w:b w:val="1"/>
              </w:rPr>
              <w:t>___________________/____________/</w:t>
            </w:r>
          </w:p>
          <w:p w14:paraId="0D010000">
            <w:pPr>
              <w:spacing w:after="60"/>
              <w:ind/>
              <w:jc w:val="both"/>
              <w:rPr>
                <w:b w:val="1"/>
              </w:rPr>
            </w:pPr>
          </w:p>
        </w:tc>
      </w:tr>
    </w:tbl>
    <w:p w14:paraId="0E010000">
      <w:pPr>
        <w:widowControl w:val="0"/>
        <w:tabs>
          <w:tab w:leader="none" w:pos="3780" w:val="left"/>
        </w:tabs>
        <w:ind w:firstLine="360" w:left="0"/>
        <w:rPr>
          <w:sz w:val="25"/>
        </w:rPr>
      </w:pPr>
    </w:p>
    <w:sectPr>
      <w:pgSz w:h="16838" w:orient="portrait" w:w="11906"/>
      <w:pgMar w:bottom="851" w:footer="709" w:gutter="0" w:header="709" w:left="1418" w:right="851" w:top="14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0"/>
      <w:numFmt w:val="decimal"/>
      <w:lvlJc w:val="left"/>
      <w:pPr>
        <w:tabs>
          <w:tab w:leader="none" w:pos="360" w:val="left"/>
        </w:tabs>
        <w:ind w:firstLine="0" w:left="0"/>
      </w:pPr>
    </w:lvl>
    <w:lvl w:ilvl="2">
      <w:start w:val="0"/>
      <w:numFmt w:val="decimal"/>
      <w:lvlJc w:val="left"/>
      <w:pPr>
        <w:tabs>
          <w:tab w:leader="none" w:pos="360" w:val="left"/>
        </w:tabs>
        <w:ind w:firstLine="0" w:left="0"/>
      </w:pPr>
    </w:lvl>
    <w:lvl w:ilvl="3">
      <w:start w:val="0"/>
      <w:numFmt w:val="decimal"/>
      <w:lvlJc w:val="left"/>
      <w:pPr>
        <w:tabs>
          <w:tab w:leader="none" w:pos="360" w:val="left"/>
        </w:tabs>
        <w:ind w:firstLine="0" w:left="0"/>
      </w:pPr>
    </w:lvl>
    <w:lvl w:ilvl="4">
      <w:start w:val="0"/>
      <w:numFmt w:val="decimal"/>
      <w:lvlJc w:val="left"/>
      <w:pPr>
        <w:tabs>
          <w:tab w:leader="none" w:pos="360" w:val="left"/>
        </w:tabs>
        <w:ind w:firstLine="0" w:left="0"/>
      </w:pPr>
    </w:lvl>
    <w:lvl w:ilvl="5">
      <w:start w:val="0"/>
      <w:numFmt w:val="decimal"/>
      <w:lvlJc w:val="left"/>
      <w:pPr>
        <w:tabs>
          <w:tab w:leader="none" w:pos="360" w:val="left"/>
        </w:tabs>
        <w:ind w:firstLine="0" w:left="0"/>
      </w:pPr>
    </w:lvl>
    <w:lvl w:ilvl="6">
      <w:start w:val="0"/>
      <w:numFmt w:val="decimal"/>
      <w:lvlJc w:val="left"/>
      <w:pPr>
        <w:tabs>
          <w:tab w:leader="none" w:pos="360" w:val="left"/>
        </w:tabs>
        <w:ind w:firstLine="0" w:left="0"/>
      </w:pPr>
    </w:lvl>
    <w:lvl w:ilvl="7">
      <w:start w:val="0"/>
      <w:numFmt w:val="decimal"/>
      <w:lvlJc w:val="left"/>
      <w:pPr>
        <w:tabs>
          <w:tab w:leader="none" w:pos="360" w:val="left"/>
        </w:tabs>
        <w:ind w:firstLine="0" w:left="0"/>
      </w:pPr>
    </w:lvl>
    <w:lvl w:ilvl="8">
      <w:start w:val="0"/>
      <w:numFmt w:val="decimal"/>
      <w:lvlJc w:val="left"/>
      <w:pPr>
        <w:tabs>
          <w:tab w:leader="none" w:pos="360" w:val="left"/>
        </w:tabs>
        <w:ind w:firstLine="0" w:left="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16"/>
    <w:link w:val="Style_8_ch"/>
    <w:rPr>
      <w:rFonts w:ascii="Times New Roman" w:hAnsi="Times New Roman"/>
      <w:b w:val="1"/>
    </w:rPr>
  </w:style>
  <w:style w:styleId="Style_8_ch" w:type="character">
    <w:name w:val="16"/>
    <w:link w:val="Style_8"/>
    <w:rPr>
      <w:rFonts w:ascii="Times New Roman" w:hAnsi="Times New Roman"/>
      <w:b w:val="1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ind w:firstLine="720" w:left="0"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js-extracted-address"/>
    <w:link w:val="Style_12_ch"/>
  </w:style>
  <w:style w:styleId="Style_12_ch" w:type="character">
    <w:name w:val="js-extracted-address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6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header"/>
    <w:basedOn w:val="Style_6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6_ch"/>
    <w:link w:val="Style_15"/>
  </w:style>
  <w:style w:styleId="Style_16" w:type="paragraph">
    <w:name w:val="Body Text Indent 2"/>
    <w:basedOn w:val="Style_6"/>
    <w:link w:val="Style_16_ch"/>
    <w:pPr>
      <w:ind w:firstLine="708" w:left="0"/>
      <w:jc w:val="both"/>
    </w:pPr>
    <w:rPr>
      <w:sz w:val="22"/>
    </w:rPr>
  </w:style>
  <w:style w:styleId="Style_16_ch" w:type="character">
    <w:name w:val="Body Text Indent 2"/>
    <w:basedOn w:val="Style_6_ch"/>
    <w:link w:val="Style_16"/>
    <w:rPr>
      <w:sz w:val="22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apple-converted-space"/>
    <w:link w:val="Style_18_ch"/>
  </w:style>
  <w:style w:styleId="Style_18_ch" w:type="character">
    <w:name w:val="apple-converted-space"/>
    <w:link w:val="Style_18"/>
  </w:style>
  <w:style w:styleId="Style_19" w:type="paragraph">
    <w:name w:val="toc 3"/>
    <w:next w:val="Style_6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15"/>
    <w:link w:val="Style_20_ch"/>
    <w:rPr>
      <w:rFonts w:ascii="Times New Roman" w:hAnsi="Times New Roman"/>
    </w:rPr>
  </w:style>
  <w:style w:styleId="Style_20_ch" w:type="character">
    <w:name w:val="15"/>
    <w:link w:val="Style_20"/>
    <w:rPr>
      <w:rFonts w:ascii="Times New Roman" w:hAnsi="Times New Roman"/>
    </w:rPr>
  </w:style>
  <w:style w:styleId="Style_21" w:type="paragraph">
    <w:name w:val="heading 5"/>
    <w:next w:val="Style_6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Normal_0"/>
    <w:link w:val="Style_22_ch"/>
    <w:pPr>
      <w:ind/>
      <w:jc w:val="both"/>
    </w:pPr>
    <w:rPr>
      <w:sz w:val="24"/>
    </w:rPr>
  </w:style>
  <w:style w:styleId="Style_22_ch" w:type="character">
    <w:name w:val="Normal_0"/>
    <w:link w:val="Style_22"/>
    <w:rPr>
      <w:sz w:val="24"/>
    </w:rPr>
  </w:style>
  <w:style w:styleId="Style_23" w:type="paragraph">
    <w:name w:val="heading 1"/>
    <w:basedOn w:val="Style_6"/>
    <w:next w:val="Style_6"/>
    <w:link w:val="Style_23_ch"/>
    <w:uiPriority w:val="9"/>
    <w:qFormat/>
    <w:pPr>
      <w:keepNext w:val="1"/>
      <w:widowControl w:val="0"/>
      <w:tabs>
        <w:tab w:leader="none" w:pos="4898" w:val="center"/>
      </w:tabs>
      <w:ind/>
      <w:outlineLvl w:val="0"/>
    </w:pPr>
    <w:rPr>
      <w:b w:val="1"/>
      <w:sz w:val="32"/>
    </w:rPr>
  </w:style>
  <w:style w:styleId="Style_23_ch" w:type="character">
    <w:name w:val="heading 1"/>
    <w:basedOn w:val="Style_6_ch"/>
    <w:link w:val="Style_23"/>
    <w:rPr>
      <w:b w:val="1"/>
      <w:sz w:val="32"/>
    </w:rPr>
  </w:style>
  <w:style w:styleId="Style_24" w:type="paragraph">
    <w:name w:val="footer"/>
    <w:basedOn w:val="Style_6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6_ch"/>
    <w:link w:val="Style_24"/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6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Normal (Web)"/>
    <w:basedOn w:val="Style_6"/>
    <w:link w:val="Style_29_ch"/>
    <w:pPr>
      <w:spacing w:afterAutospacing="on" w:beforeAutospacing="on"/>
      <w:ind/>
    </w:pPr>
  </w:style>
  <w:style w:styleId="Style_29_ch" w:type="character">
    <w:name w:val="Normal (Web)"/>
    <w:basedOn w:val="Style_6_ch"/>
    <w:link w:val="Style_29"/>
  </w:style>
  <w:style w:styleId="Style_30" w:type="paragraph">
    <w:name w:val="toc 9"/>
    <w:next w:val="Style_6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" w:type="paragraph">
    <w:name w:val="List Paragraph"/>
    <w:basedOn w:val="Style_6"/>
    <w:link w:val="Style_3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_ch" w:type="character">
    <w:name w:val="List Paragraph"/>
    <w:basedOn w:val="Style_6_ch"/>
    <w:link w:val="Style_3"/>
    <w:rPr>
      <w:rFonts w:ascii="Calibri" w:hAnsi="Calibri"/>
      <w:sz w:val="22"/>
    </w:rPr>
  </w:style>
  <w:style w:styleId="Style_31" w:type="paragraph">
    <w:name w:val="page number"/>
    <w:basedOn w:val="Style_17"/>
    <w:link w:val="Style_31_ch"/>
  </w:style>
  <w:style w:styleId="Style_31_ch" w:type="character">
    <w:name w:val="page number"/>
    <w:basedOn w:val="Style_17_ch"/>
    <w:link w:val="Style_31"/>
  </w:style>
  <w:style w:styleId="Style_32" w:type="paragraph">
    <w:name w:val="toc 8"/>
    <w:next w:val="Style_6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mail-message-map-nobreak"/>
    <w:link w:val="Style_33_ch"/>
  </w:style>
  <w:style w:styleId="Style_33_ch" w:type="character">
    <w:name w:val="mail-message-map-nobreak"/>
    <w:link w:val="Style_33"/>
  </w:style>
  <w:style w:styleId="Style_34" w:type="paragraph">
    <w:name w:val="toc 5"/>
    <w:next w:val="Style_6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4" w:type="paragraph">
    <w:name w:val="No Spacing"/>
    <w:link w:val="Style_4_ch"/>
    <w:rPr>
      <w:rFonts w:ascii="Calibri" w:hAnsi="Calibri"/>
      <w:sz w:val="22"/>
    </w:rPr>
  </w:style>
  <w:style w:styleId="Style_4_ch" w:type="character">
    <w:name w:val="No Spacing"/>
    <w:link w:val="Style_4"/>
    <w:rPr>
      <w:rFonts w:ascii="Calibri" w:hAnsi="Calibri"/>
      <w:sz w:val="22"/>
    </w:rPr>
  </w:style>
  <w:style w:styleId="Style_35" w:type="paragraph">
    <w:name w:val="Body Text Indent"/>
    <w:basedOn w:val="Style_6"/>
    <w:link w:val="Style_35_ch"/>
    <w:pPr>
      <w:widowControl w:val="0"/>
      <w:ind w:firstLine="360" w:left="0"/>
      <w:jc w:val="both"/>
    </w:pPr>
    <w:rPr>
      <w:sz w:val="22"/>
    </w:rPr>
  </w:style>
  <w:style w:styleId="Style_35_ch" w:type="character">
    <w:name w:val="Body Text Indent"/>
    <w:basedOn w:val="Style_6_ch"/>
    <w:link w:val="Style_35"/>
    <w:rPr>
      <w:sz w:val="22"/>
    </w:rPr>
  </w:style>
  <w:style w:styleId="Style_36" w:type="paragraph">
    <w:name w:val="Font Style27"/>
    <w:link w:val="Style_36_ch"/>
    <w:rPr>
      <w:rFonts w:ascii="Times New Roman" w:hAnsi="Times New Roman"/>
      <w:b w:val="1"/>
      <w:sz w:val="22"/>
    </w:rPr>
  </w:style>
  <w:style w:styleId="Style_36_ch" w:type="character">
    <w:name w:val="Font Style27"/>
    <w:link w:val="Style_36"/>
    <w:rPr>
      <w:rFonts w:ascii="Times New Roman" w:hAnsi="Times New Roman"/>
      <w:b w:val="1"/>
      <w:sz w:val="22"/>
    </w:rPr>
  </w:style>
  <w:style w:styleId="Style_37" w:type="paragraph">
    <w:name w:val="Subtitle"/>
    <w:next w:val="Style_6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1" w:type="paragraph">
    <w:name w:val="Title"/>
    <w:basedOn w:val="Style_6"/>
    <w:link w:val="Style_1_ch"/>
    <w:uiPriority w:val="10"/>
    <w:qFormat/>
    <w:pPr>
      <w:widowControl w:val="0"/>
      <w:ind/>
      <w:jc w:val="center"/>
    </w:pPr>
    <w:rPr>
      <w:b w:val="1"/>
      <w:sz w:val="32"/>
    </w:rPr>
  </w:style>
  <w:style w:styleId="Style_1_ch" w:type="character">
    <w:name w:val="Title"/>
    <w:basedOn w:val="Style_6_ch"/>
    <w:link w:val="Style_1"/>
    <w:rPr>
      <w:b w:val="1"/>
      <w:sz w:val="32"/>
    </w:rPr>
  </w:style>
  <w:style w:styleId="Style_38" w:type="paragraph">
    <w:name w:val="heading 4"/>
    <w:next w:val="Style_6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basedOn w:val="Style_6"/>
    <w:next w:val="Style_6"/>
    <w:link w:val="Style_39_ch"/>
    <w:uiPriority w:val="9"/>
    <w:qFormat/>
    <w:pPr>
      <w:keepNext w:val="1"/>
      <w:widowControl w:val="0"/>
      <w:ind/>
      <w:jc w:val="both"/>
      <w:outlineLvl w:val="1"/>
    </w:pPr>
    <w:rPr>
      <w:b w:val="1"/>
      <w:sz w:val="22"/>
    </w:rPr>
  </w:style>
  <w:style w:styleId="Style_39_ch" w:type="character">
    <w:name w:val="heading 2"/>
    <w:basedOn w:val="Style_6_ch"/>
    <w:link w:val="Style_39"/>
    <w:rPr>
      <w:b w:val="1"/>
      <w:sz w:val="22"/>
    </w:rPr>
  </w:style>
  <w:style w:styleId="Style_40" w:type="table">
    <w:name w:val="Сетка таблицы2"/>
    <w:basedOn w:val="Style_5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1" w:type="table">
    <w:name w:val="Сетка таблицы1"/>
    <w:basedOn w:val="Style_5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2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Сетка таблицы3"/>
    <w:basedOn w:val="Style_5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2026-08-24T11:08:21Z</dcterms:modified>
</cp:coreProperties>
</file>