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476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framePr w:hSpace="180" w:wrap="around" w:vAnchor="page" w:hAnchor="margin" w:xAlign="right" w:y="496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right"/>
        <w:tabs>
          <w:tab w:val="left" w:pos="4763" w:leader="none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ramePr w:hSpace="180" w:wrap="around" w:vAnchor="page" w:hAnchor="margin" w:xAlign="right" w:y="496"/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  <w:t xml:space="preserve">к электронной версии контракта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pStyle w:val="694"/>
        <w:jc w:val="right"/>
        <w:spacing w:before="0" w:beforeAutospacing="0" w:after="0" w:afterAutospacing="0" w:line="420" w:lineRule="atLeas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ramePr w:hSpace="180" w:wrap="around" w:vAnchor="page" w:hAnchor="margin" w:xAlign="right" w:y="496"/>
      </w:pPr>
      <w:r>
        <w:rPr>
          <w:rFonts w:ascii="Times New Roman" w:hAnsi="Times New Roman" w:eastAsia="Times New Roman" w:cs="Times New Roman"/>
          <w:b w:val="0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right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от «____» _______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left"/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before="120" w:after="120" w:line="326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Наименование работ: </w:t>
      </w:r>
      <w:r>
        <w:rPr>
          <w:rFonts w:ascii="Times New Roman" w:hAnsi="Times New Roman"/>
          <w:sz w:val="24"/>
          <w:szCs w:val="24"/>
        </w:rPr>
        <w:t xml:space="preserve">поставка комплекта автоматического шлагбаума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Заказчик: </w:t>
      </w:r>
      <w:r>
        <w:rPr>
          <w:rFonts w:ascii="Times New Roman" w:hAnsi="Times New Roman"/>
          <w:sz w:val="24"/>
          <w:szCs w:val="24"/>
        </w:rPr>
        <w:t xml:space="preserve">Федеральная служба по надзору в сфере связи, информационных технологий и массовых коммуникаций.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поставки: 109992, г. Москва, Китайгородский проезд, д. 7, стр. 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и назначение работ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охраны территории объекта, имущества, оборудования и других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материальных ценностей от несанкционированного доступа и противоправных действий;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безопасности;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проезда автотранспорта через шлагбаумы с возможностью автоматического открывания и закрывания шлагбаума.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Технические требования </w:t>
      </w:r>
      <w:r>
        <w:rPr>
          <w:rFonts w:ascii="Times New Roman" w:hAnsi="Times New Roman"/>
          <w:b/>
          <w:bCs/>
          <w:sz w:val="24"/>
          <w:szCs w:val="24"/>
        </w:rPr>
        <w:t xml:space="preserve">Came G6000 Classico шлагбаум автоматический 6.85 м</w:t>
      </w:r>
      <w:r>
        <w:rPr>
          <w:rFonts w:ascii="Times New Roman" w:hAnsi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Шлагб</w:t>
      </w:r>
      <w:r>
        <w:rPr>
          <w:rFonts w:ascii="Times New Roman" w:hAnsi="Times New Roman"/>
          <w:sz w:val="24"/>
          <w:szCs w:val="24"/>
        </w:rPr>
        <w:t xml:space="preserve">аум должен иметь самоблокирующийся редуктор, который блокирует стрелу как в открытом, так и в закрытом состоянии. В случае отсутствия электропитания стрела шлагбаума может быть поднята или опущена вручную. Механизм разблокировки должен находиться снаружи.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Шлагбаум должен иметь возможность интеграции с системами контроля доступа управления по радиоканалу с помощью брелка-передатчика.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Блок управления должен позволять регулировать скорость движения стрелы в начале и конце цикла, а так же остановку или реверс шлагбаума в случае обнаружения препятствия.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Работы: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Демонтаж автоматического </w:t>
      </w:r>
      <w:r>
        <w:rPr>
          <w:rFonts w:ascii="Times New Roman" w:hAnsi="Times New Roman"/>
          <w:sz w:val="24"/>
          <w:szCs w:val="24"/>
        </w:rPr>
        <w:t xml:space="preserve">шлагбаума CAME GARD </w:t>
      </w:r>
      <w:r>
        <w:rPr>
          <w:rFonts w:ascii="Times New Roman" w:hAnsi="Times New Roman"/>
          <w:sz w:val="24"/>
          <w:szCs w:val="24"/>
        </w:rPr>
        <w:t xml:space="preserve">4000.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Монтаж комплекта автоматического </w:t>
      </w:r>
      <w:r>
        <w:rPr>
          <w:rFonts w:ascii="Times New Roman" w:hAnsi="Times New Roman"/>
          <w:sz w:val="24"/>
          <w:szCs w:val="24"/>
        </w:rPr>
        <w:t xml:space="preserve">шлагбаума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CAME GARD 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000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Пуско - наладочные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Технические Характеристики: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73"/>
        <w:numPr>
          <w:ilvl w:val="1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состав комплекта автоматического шлагбаума CAME GARD 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000 входит: </w:t>
      </w:r>
      <w:r>
        <w:rPr>
          <w:rFonts w:ascii="Times New Roman" w:hAnsi="Times New Roman"/>
          <w:sz w:val="24"/>
          <w:szCs w:val="24"/>
        </w:rPr>
        <w:t xml:space="preserve">Came G0601 </w:t>
      </w:r>
      <w:r>
        <w:rPr>
          <w:rFonts w:ascii="Times New Roman" w:hAnsi="Times New Roman"/>
          <w:sz w:val="24"/>
          <w:szCs w:val="24"/>
        </w:rPr>
        <w:t xml:space="preserve">Стрела - 1шт., </w:t>
      </w:r>
      <w:r>
        <w:rPr>
          <w:rFonts w:ascii="Times New Roman" w:hAnsi="Times New Roman"/>
          <w:sz w:val="24"/>
          <w:szCs w:val="24"/>
        </w:rPr>
        <w:t xml:space="preserve">Came G6000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тумба - 1 шт.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Came G0461 наклейки светоотражающие - 1 шт.,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Came G0603 накладки резиновые на стрелу - 1 шт., </w:t>
      </w:r>
      <w:r>
        <w:rPr>
          <w:rFonts w:ascii="Times New Roman" w:hAnsi="Times New Roman"/>
          <w:sz w:val="24"/>
          <w:szCs w:val="24"/>
        </w:rPr>
        <w:t xml:space="preserve">WA11C опора телескопическая для стрелы</w:t>
      </w:r>
      <w:r>
        <w:rPr>
          <w:rFonts w:ascii="Times New Roman" w:hAnsi="Times New Roman"/>
          <w:sz w:val="24"/>
          <w:szCs w:val="24"/>
        </w:rPr>
        <w:t xml:space="preserve"> - 1 шт., </w:t>
      </w:r>
      <w:r>
        <w:rPr>
          <w:rFonts w:ascii="Times New Roman" w:hAnsi="Times New Roman"/>
          <w:sz w:val="24"/>
          <w:szCs w:val="24"/>
        </w:rPr>
        <w:t xml:space="preserve">Came AF43S (001AF43S) радиоприемник встраиваемый</w:t>
      </w:r>
      <w:r>
        <w:rPr>
          <w:rFonts w:ascii="Times New Roman" w:hAnsi="Times New Roman"/>
          <w:sz w:val="24"/>
          <w:szCs w:val="24"/>
        </w:rPr>
        <w:t xml:space="preserve"> - 1 шт., </w:t>
      </w:r>
      <w:r>
        <w:rPr>
          <w:rFonts w:ascii="Times New Roman" w:hAnsi="Times New Roman"/>
          <w:sz w:val="24"/>
          <w:szCs w:val="24"/>
        </w:rPr>
        <w:t xml:space="preserve">CAME TOP42FGN (806TS-0300) пульт-брелок 2-х канальный</w:t>
      </w:r>
      <w:r>
        <w:rPr>
          <w:rFonts w:ascii="Times New Roman" w:hAnsi="Times New Roman"/>
          <w:sz w:val="24"/>
          <w:szCs w:val="24"/>
        </w:rPr>
        <w:t xml:space="preserve"> - 1 шт., </w:t>
      </w:r>
      <w:r>
        <w:rPr>
          <w:rFonts w:ascii="Times New Roman" w:hAnsi="Times New Roman"/>
          <w:sz w:val="24"/>
          <w:szCs w:val="24"/>
        </w:rPr>
        <w:t xml:space="preserve">CAME 001DIR10 фотоэлементы</w:t>
      </w:r>
      <w:r>
        <w:rPr>
          <w:rFonts w:ascii="Times New Roman" w:hAnsi="Times New Roman"/>
          <w:sz w:val="24"/>
          <w:szCs w:val="24"/>
        </w:rPr>
        <w:t xml:space="preserve"> - 1 шт., </w:t>
      </w:r>
      <w:r>
        <w:rPr>
          <w:rFonts w:ascii="Times New Roman" w:hAnsi="Times New Roman"/>
          <w:sz w:val="24"/>
          <w:szCs w:val="24"/>
        </w:rPr>
        <w:t xml:space="preserve">Came 001A5000A привод для распашных ворот линейный до 1000 кг</w:t>
      </w:r>
      <w:r>
        <w:rPr>
          <w:rFonts w:ascii="Times New Roman" w:hAnsi="Times New Roman"/>
          <w:sz w:val="24"/>
          <w:szCs w:val="24"/>
        </w:rPr>
        <w:t xml:space="preserve">. - 1шт.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поставке.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 должна производиться в рабочее время.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по монтажу оборудования должны проводиться за счет Поставщика.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монтаж оборудования в соответствии с требованиями завода-изготовителя, техническими требованиями. Организация должна иметь необходимые лицензии 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сертификаты на право проведения работ по монтажу данного оборудования.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Гарантийные обязательства.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предоставляет Заказчику полную гарантию на поставленный Товар и выполненные работы по монтажу в течение 12 месяцев со дня подписания Акта выполненных работ.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поставки и срок действия контракта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 даты заключения контракта 20 календарных дней. Срок действия контракта до 30.09.2026.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3"/>
        <w:numPr>
          <w:ilvl w:val="0"/>
          <w:numId w:val="4"/>
        </w:numPr>
        <w:ind w:left="0" w:firstLine="284"/>
        <w:jc w:val="both"/>
        <w:spacing w:line="32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Порядок оплаты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both"/>
        <w:spacing w:after="0" w:line="32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по настоящему Контракту осуществляется по б</w:t>
      </w:r>
      <w:r>
        <w:rPr>
          <w:rFonts w:ascii="Times New Roman" w:hAnsi="Times New Roman" w:cs="Times New Roman"/>
          <w:sz w:val="24"/>
          <w:szCs w:val="24"/>
        </w:rPr>
        <w:t xml:space="preserve">езна</w:t>
      </w:r>
      <w:r>
        <w:rPr>
          <w:rFonts w:ascii="Times New Roman" w:hAnsi="Times New Roman" w:cs="Times New Roman"/>
          <w:sz w:val="24"/>
          <w:szCs w:val="24"/>
        </w:rPr>
        <w:t xml:space="preserve">личному расчету путем перечисления Заказчиком денежных средств на расчетный счет Исполнителя, указанный в настоящем Контракте, в течение 10 рабочих дней после подписания Сторонами Акта выполненных работ товара на основании счета и товарной накладной (УПД).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hd w:val="nil" w:color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line="175" w:lineRule="atLeast"/>
        <w:tabs>
          <w:tab w:val="left" w:pos="476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framePr w:hSpace="180" w:wrap="around" w:vAnchor="page" w:hAnchor="page" w:x="1896" w:y="541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right"/>
        <w:spacing w:line="175" w:lineRule="atLeast"/>
        <w:tabs>
          <w:tab w:val="left" w:pos="4763" w:leader="none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ramePr w:hSpace="180" w:wrap="around" w:vAnchor="page" w:hAnchor="page" w:x="1896" w:y="541"/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  <w:t xml:space="preserve">к электронной версии контракта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pStyle w:val="694"/>
        <w:jc w:val="right"/>
        <w:spacing w:before="0" w:beforeAutospacing="0" w:after="0" w:afterAutospacing="0" w:line="175" w:lineRule="atLeas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ramePr w:hSpace="180" w:wrap="around" w:vAnchor="page" w:hAnchor="page" w:x="1896" w:y="541"/>
      </w:pPr>
      <w:r>
        <w:rPr>
          <w:rFonts w:ascii="Times New Roman" w:hAnsi="Times New Roman" w:eastAsia="Times New Roman" w:cs="Times New Roman"/>
          <w:b w:val="0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right"/>
        <w:spacing w:after="0" w:line="175" w:lineRule="atLeast"/>
        <w:rPr>
          <w:rFonts w:ascii="TimesNewRomanPS-BoldMT" w:hAnsi="TimesNewRomanPS-BoldMT" w:cs="TimesNewRomanPS-BoldMT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от «____» _______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г.</w:t>
      </w:r>
      <w:r>
        <w:rPr>
          <w:rFonts w:ascii="TimesNewRomanPS-BoldMT" w:hAnsi="TimesNewRomanPS-BoldMT" w:cs="TimesNewRomanPS-BoldMT"/>
          <w:sz w:val="24"/>
          <w:szCs w:val="24"/>
          <w:highlight w:val="none"/>
        </w:rPr>
      </w:r>
      <w:r>
        <w:rPr>
          <w:rFonts w:ascii="TimesNewRomanPS-BoldMT" w:hAnsi="TimesNewRomanPS-BoldMT" w:cs="TimesNewRomanPS-BoldMT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NewRomanPS-BoldMT" w:hAnsi="TimesNewRomanPS-BoldMT" w:cs="TimesNewRomanPS-BoldMT"/>
          <w:sz w:val="24"/>
          <w:szCs w:val="24"/>
        </w:rPr>
      </w:pP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</w:p>
    <w:p>
      <w:pPr>
        <w:jc w:val="right"/>
        <w:spacing w:after="0" w:line="240" w:lineRule="auto"/>
        <w:rPr>
          <w:rFonts w:ascii="TimesNewRomanPS-BoldMT" w:hAnsi="TimesNewRomanPS-BoldMT" w:cs="TimesNewRomanPS-BoldMT"/>
          <w:sz w:val="24"/>
          <w:szCs w:val="24"/>
        </w:rPr>
      </w:pP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</w:p>
    <w:p>
      <w:pPr>
        <w:jc w:val="center"/>
        <w:spacing w:after="160" w:line="259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Спецификация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tbl>
      <w:tblPr>
        <w:tblW w:w="11089" w:type="dxa"/>
        <w:tblInd w:w="-1172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58"/>
        <w:gridCol w:w="4993"/>
        <w:gridCol w:w="188"/>
        <w:gridCol w:w="850"/>
        <w:gridCol w:w="850"/>
        <w:gridCol w:w="1843"/>
        <w:gridCol w:w="1872"/>
      </w:tblGrid>
      <w:tr>
        <w:tblPrEx/>
        <w:trPr>
          <w:gridAfter w:val="5"/>
          <w:gridBefore w:val="1"/>
          <w:trHeight w:val="100"/>
        </w:trPr>
        <w:tc>
          <w:tcPr>
            <w:gridSpan w:val="2"/>
            <w:tcW w:w="54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2"/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49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8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товара, работ, услуг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руб.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руб.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440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8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автоматического шлагбаума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383 695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383 695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440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8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Демонтаж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автоматического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шлагбаума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8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409 795,00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Валюта рубль Российской Федерации.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*Указанная значение цены за единицу будет снижено </w:t>
      </w:r>
      <w:r>
        <w:rPr>
          <w:rFonts w:ascii="Times New Roman" w:hAnsi="Times New Roman"/>
          <w:sz w:val="24"/>
          <w:szCs w:val="24"/>
        </w:rPr>
        <w:t xml:space="preserve">пропорционально поданному ценовому предложению участника закупочной сессии, с которым заключается контракт при этом, в случае если при делении на коэффициент снижения образуется более двух значений после запятой, то округление происходит в меньшую сторону.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**Количество будет определенно по итогам закупочной сессии путем деления максимальной цены контракта на поданное ценовое предложение участника закупочной сессии.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стоимость является твердой и определяется на весь срок исполнения обязательств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5">
    <w:name w:val="Heading 1 Char"/>
    <w:basedOn w:val="703"/>
    <w:link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2 Char"/>
    <w:basedOn w:val="703"/>
    <w:link w:val="695"/>
    <w:uiPriority w:val="9"/>
    <w:rPr>
      <w:rFonts w:ascii="Liberation Sans" w:hAnsi="Liberation Sans" w:eastAsia="Liberation Sans" w:cs="Liberation Sans"/>
      <w:sz w:val="34"/>
    </w:rPr>
  </w:style>
  <w:style w:type="character" w:styleId="677">
    <w:name w:val="Heading 3 Char"/>
    <w:basedOn w:val="703"/>
    <w:link w:val="69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4 Char"/>
    <w:basedOn w:val="703"/>
    <w:link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9">
    <w:name w:val="Heading 5 Char"/>
    <w:basedOn w:val="703"/>
    <w:link w:val="69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6 Char"/>
    <w:basedOn w:val="703"/>
    <w:link w:val="69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1">
    <w:name w:val="Heading 7 Char"/>
    <w:basedOn w:val="70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2">
    <w:name w:val="Heading 8 Char"/>
    <w:basedOn w:val="703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3">
    <w:name w:val="Heading 9 Char"/>
    <w:basedOn w:val="703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Title Char"/>
    <w:basedOn w:val="703"/>
    <w:link w:val="716"/>
    <w:uiPriority w:val="10"/>
    <w:rPr>
      <w:sz w:val="48"/>
      <w:szCs w:val="48"/>
    </w:rPr>
  </w:style>
  <w:style w:type="character" w:styleId="685">
    <w:name w:val="Subtitle Char"/>
    <w:basedOn w:val="703"/>
    <w:link w:val="718"/>
    <w:uiPriority w:val="11"/>
    <w:rPr>
      <w:sz w:val="24"/>
      <w:szCs w:val="24"/>
    </w:rPr>
  </w:style>
  <w:style w:type="character" w:styleId="686">
    <w:name w:val="Quote Char"/>
    <w:link w:val="720"/>
    <w:uiPriority w:val="29"/>
    <w:rPr>
      <w:i/>
    </w:rPr>
  </w:style>
  <w:style w:type="character" w:styleId="687">
    <w:name w:val="Intense Quote Char"/>
    <w:link w:val="722"/>
    <w:uiPriority w:val="30"/>
    <w:rPr>
      <w:i/>
    </w:rPr>
  </w:style>
  <w:style w:type="character" w:styleId="688">
    <w:name w:val="Header Char"/>
    <w:basedOn w:val="703"/>
    <w:link w:val="724"/>
    <w:uiPriority w:val="99"/>
  </w:style>
  <w:style w:type="character" w:styleId="689">
    <w:name w:val="Footer Char"/>
    <w:basedOn w:val="703"/>
    <w:link w:val="726"/>
    <w:uiPriority w:val="99"/>
  </w:style>
  <w:style w:type="character" w:styleId="690">
    <w:name w:val="Caption Char"/>
    <w:basedOn w:val="703"/>
    <w:link w:val="728"/>
    <w:uiPriority w:val="35"/>
    <w:rPr>
      <w:b/>
      <w:bCs/>
      <w:color w:val="4f81bd" w:themeColor="accent1"/>
      <w:sz w:val="18"/>
      <w:szCs w:val="18"/>
    </w:rPr>
  </w:style>
  <w:style w:type="character" w:styleId="691">
    <w:name w:val="Footnote Text Char"/>
    <w:link w:val="856"/>
    <w:uiPriority w:val="99"/>
    <w:rPr>
      <w:sz w:val="18"/>
    </w:rPr>
  </w:style>
  <w:style w:type="character" w:styleId="692">
    <w:name w:val="Endnote Text Char"/>
    <w:link w:val="859"/>
    <w:uiPriority w:val="99"/>
    <w:rPr>
      <w:sz w:val="20"/>
    </w:rPr>
  </w:style>
  <w:style w:type="paragraph" w:styleId="693" w:default="1">
    <w:name w:val="Normal"/>
    <w:qFormat/>
  </w:style>
  <w:style w:type="paragraph" w:styleId="694">
    <w:name w:val="Heading 1"/>
    <w:basedOn w:val="693"/>
    <w:next w:val="693"/>
    <w:link w:val="706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95">
    <w:name w:val="Heading 2"/>
    <w:basedOn w:val="693"/>
    <w:next w:val="693"/>
    <w:link w:val="707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96">
    <w:name w:val="Heading 3"/>
    <w:basedOn w:val="693"/>
    <w:next w:val="693"/>
    <w:link w:val="708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7">
    <w:name w:val="Heading 4"/>
    <w:basedOn w:val="693"/>
    <w:next w:val="693"/>
    <w:link w:val="709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8">
    <w:name w:val="Heading 5"/>
    <w:basedOn w:val="693"/>
    <w:next w:val="693"/>
    <w:link w:val="710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9">
    <w:name w:val="Heading 6"/>
    <w:basedOn w:val="693"/>
    <w:next w:val="693"/>
    <w:link w:val="711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00">
    <w:name w:val="Heading 7"/>
    <w:basedOn w:val="693"/>
    <w:next w:val="693"/>
    <w:link w:val="712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01">
    <w:name w:val="Heading 8"/>
    <w:basedOn w:val="693"/>
    <w:next w:val="693"/>
    <w:link w:val="713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02">
    <w:name w:val="Heading 9"/>
    <w:basedOn w:val="693"/>
    <w:next w:val="693"/>
    <w:link w:val="714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Заголовок 1 Знак"/>
    <w:basedOn w:val="703"/>
    <w:link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7" w:customStyle="1">
    <w:name w:val="Заголовок 2 Знак"/>
    <w:basedOn w:val="703"/>
    <w:link w:val="695"/>
    <w:uiPriority w:val="9"/>
    <w:rPr>
      <w:rFonts w:ascii="Liberation Sans" w:hAnsi="Liberation Sans" w:eastAsia="Liberation Sans" w:cs="Liberation Sans"/>
      <w:sz w:val="34"/>
    </w:rPr>
  </w:style>
  <w:style w:type="character" w:styleId="708" w:customStyle="1">
    <w:name w:val="Заголовок 3 Знак"/>
    <w:basedOn w:val="703"/>
    <w:link w:val="69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9" w:customStyle="1">
    <w:name w:val="Заголовок 4 Знак"/>
    <w:basedOn w:val="703"/>
    <w:link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0" w:customStyle="1">
    <w:name w:val="Заголовок 5 Знак"/>
    <w:basedOn w:val="703"/>
    <w:link w:val="69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1" w:customStyle="1">
    <w:name w:val="Заголовок 6 Знак"/>
    <w:basedOn w:val="703"/>
    <w:link w:val="69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2" w:customStyle="1">
    <w:name w:val="Заголовок 7 Знак"/>
    <w:basedOn w:val="70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3" w:customStyle="1">
    <w:name w:val="Заголовок 8 Знак"/>
    <w:basedOn w:val="703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 w:customStyle="1">
    <w:name w:val="Заголовок 9 Знак"/>
    <w:basedOn w:val="703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5">
    <w:name w:val="No Spacing"/>
    <w:uiPriority w:val="1"/>
    <w:qFormat/>
    <w:pPr>
      <w:spacing w:after="0" w:line="240" w:lineRule="auto"/>
    </w:pPr>
  </w:style>
  <w:style w:type="paragraph" w:styleId="716">
    <w:name w:val="Title"/>
    <w:basedOn w:val="693"/>
    <w:next w:val="693"/>
    <w:link w:val="717"/>
    <w:uiPriority w:val="10"/>
    <w:qFormat/>
    <w:pPr>
      <w:contextualSpacing/>
      <w:spacing w:before="300"/>
    </w:pPr>
    <w:rPr>
      <w:sz w:val="48"/>
      <w:szCs w:val="48"/>
    </w:rPr>
  </w:style>
  <w:style w:type="character" w:styleId="717" w:customStyle="1">
    <w:name w:val="Название Знак"/>
    <w:basedOn w:val="703"/>
    <w:link w:val="716"/>
    <w:uiPriority w:val="10"/>
    <w:rPr>
      <w:sz w:val="48"/>
      <w:szCs w:val="48"/>
    </w:rPr>
  </w:style>
  <w:style w:type="paragraph" w:styleId="718">
    <w:name w:val="Subtitle"/>
    <w:basedOn w:val="693"/>
    <w:next w:val="693"/>
    <w:link w:val="719"/>
    <w:uiPriority w:val="11"/>
    <w:qFormat/>
    <w:pPr>
      <w:spacing w:before="200"/>
    </w:pPr>
    <w:rPr>
      <w:sz w:val="24"/>
      <w:szCs w:val="24"/>
    </w:rPr>
  </w:style>
  <w:style w:type="character" w:styleId="719" w:customStyle="1">
    <w:name w:val="Подзаголовок Знак"/>
    <w:basedOn w:val="703"/>
    <w:link w:val="718"/>
    <w:uiPriority w:val="11"/>
    <w:rPr>
      <w:sz w:val="24"/>
      <w:szCs w:val="24"/>
    </w:rPr>
  </w:style>
  <w:style w:type="paragraph" w:styleId="720">
    <w:name w:val="Quote"/>
    <w:basedOn w:val="693"/>
    <w:next w:val="693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93"/>
    <w:next w:val="693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paragraph" w:styleId="724">
    <w:name w:val="Header"/>
    <w:basedOn w:val="693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Верхний колонтитул Знак"/>
    <w:basedOn w:val="703"/>
    <w:link w:val="724"/>
    <w:uiPriority w:val="99"/>
  </w:style>
  <w:style w:type="paragraph" w:styleId="726">
    <w:name w:val="Footer"/>
    <w:basedOn w:val="693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 w:customStyle="1">
    <w:name w:val="Нижний колонтитул Знак"/>
    <w:basedOn w:val="703"/>
    <w:link w:val="726"/>
    <w:uiPriority w:val="99"/>
  </w:style>
  <w:style w:type="paragraph" w:styleId="728">
    <w:name w:val="Caption"/>
    <w:basedOn w:val="693"/>
    <w:next w:val="693"/>
    <w:link w:val="72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9" w:customStyle="1">
    <w:name w:val="Название объекта Знак"/>
    <w:basedOn w:val="703"/>
    <w:link w:val="728"/>
    <w:uiPriority w:val="35"/>
    <w:rPr>
      <w:b/>
      <w:bCs/>
      <w:color w:val="4f81bd" w:themeColor="accent1"/>
      <w:sz w:val="18"/>
      <w:szCs w:val="18"/>
    </w:rPr>
  </w:style>
  <w:style w:type="table" w:styleId="730" w:customStyle="1">
    <w:name w:val="Table Grid Light"/>
    <w:basedOn w:val="70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 w:customStyle="1">
    <w:name w:val="Plain Table 1"/>
    <w:basedOn w:val="70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 w:customStyle="1">
    <w:name w:val="Plain Table 2"/>
    <w:basedOn w:val="7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 w:customStyle="1">
    <w:name w:val="Plain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 w:customStyle="1">
    <w:name w:val="Plain Table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Plain Table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1 Light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4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9" w:customStyle="1">
    <w:name w:val="Grid Table 4 - Accent 2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0" w:customStyle="1">
    <w:name w:val="Grid Table 4 - Accent 3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1" w:customStyle="1">
    <w:name w:val="Grid Table 4 - Accent 4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2" w:customStyle="1">
    <w:name w:val="Grid Table 4 - Accent 5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3" w:customStyle="1">
    <w:name w:val="Grid Table 4 - Accent 6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4" w:customStyle="1">
    <w:name w:val="Grid Table 5 Dark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6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3" w:customStyle="1">
    <w:name w:val="Grid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4" w:customStyle="1">
    <w:name w:val="Grid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5" w:customStyle="1">
    <w:name w:val="Grid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6" w:customStyle="1">
    <w:name w:val="Grid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7" w:customStyle="1">
    <w:name w:val="Grid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8" w:customStyle="1">
    <w:name w:val="Grid Table 7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List Table 1 Light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9" w:customStyle="1">
    <w:name w:val="List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5 Dark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0" w:customStyle="1">
    <w:name w:val="List Table 6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2" w:customStyle="1">
    <w:name w:val="List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3" w:customStyle="1">
    <w:name w:val="List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4" w:customStyle="1">
    <w:name w:val="List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5" w:customStyle="1">
    <w:name w:val="List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6" w:customStyle="1">
    <w:name w:val="List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7" w:customStyle="1">
    <w:name w:val="List Table 7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ned - Accent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6" w:customStyle="1">
    <w:name w:val="Lined - Accent 2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7" w:customStyle="1">
    <w:name w:val="Lined - Accent 3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8" w:customStyle="1">
    <w:name w:val="Lined - Accent 4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9" w:customStyle="1">
    <w:name w:val="Lined - Accent 5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0" w:customStyle="1">
    <w:name w:val="Lined - Accent 6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1" w:customStyle="1">
    <w:name w:val="Bordered &amp; Lined - Accent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3" w:customStyle="1">
    <w:name w:val="Bordered &amp; Lined - Accent 2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4" w:customStyle="1">
    <w:name w:val="Bordered &amp; Lined - Accent 3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5" w:customStyle="1">
    <w:name w:val="Bordered &amp; Lined - Accent 4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6" w:customStyle="1">
    <w:name w:val="Bordered &amp; Lined - Accent 5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7" w:customStyle="1">
    <w:name w:val="Bordered &amp; Lined - Accent 6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8" w:customStyle="1">
    <w:name w:val="Bordered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0" w:customStyle="1">
    <w:name w:val="Bordered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1" w:customStyle="1">
    <w:name w:val="Bordered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2" w:customStyle="1">
    <w:name w:val="Bordered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3" w:customStyle="1">
    <w:name w:val="Bordered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4" w:customStyle="1">
    <w:name w:val="Bordered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69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703"/>
    <w:uiPriority w:val="99"/>
    <w:unhideWhenUsed/>
    <w:rPr>
      <w:vertAlign w:val="superscript"/>
    </w:rPr>
  </w:style>
  <w:style w:type="paragraph" w:styleId="859">
    <w:name w:val="endnote text"/>
    <w:basedOn w:val="69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703"/>
    <w:uiPriority w:val="99"/>
    <w:semiHidden/>
    <w:unhideWhenUsed/>
    <w:rPr>
      <w:vertAlign w:val="superscript"/>
    </w:rPr>
  </w:style>
  <w:style w:type="paragraph" w:styleId="862">
    <w:name w:val="toc 1"/>
    <w:basedOn w:val="693"/>
    <w:next w:val="693"/>
    <w:uiPriority w:val="39"/>
    <w:unhideWhenUsed/>
    <w:pPr>
      <w:spacing w:after="57"/>
    </w:pPr>
  </w:style>
  <w:style w:type="paragraph" w:styleId="863">
    <w:name w:val="toc 2"/>
    <w:basedOn w:val="693"/>
    <w:next w:val="693"/>
    <w:uiPriority w:val="39"/>
    <w:unhideWhenUsed/>
    <w:pPr>
      <w:ind w:left="283"/>
      <w:spacing w:after="57"/>
    </w:pPr>
  </w:style>
  <w:style w:type="paragraph" w:styleId="864">
    <w:name w:val="toc 3"/>
    <w:basedOn w:val="693"/>
    <w:next w:val="693"/>
    <w:uiPriority w:val="39"/>
    <w:unhideWhenUsed/>
    <w:pPr>
      <w:ind w:left="567"/>
      <w:spacing w:after="57"/>
    </w:pPr>
  </w:style>
  <w:style w:type="paragraph" w:styleId="865">
    <w:name w:val="toc 4"/>
    <w:basedOn w:val="693"/>
    <w:next w:val="693"/>
    <w:uiPriority w:val="39"/>
    <w:unhideWhenUsed/>
    <w:pPr>
      <w:ind w:left="850"/>
      <w:spacing w:after="57"/>
    </w:pPr>
  </w:style>
  <w:style w:type="paragraph" w:styleId="866">
    <w:name w:val="toc 5"/>
    <w:basedOn w:val="693"/>
    <w:next w:val="693"/>
    <w:uiPriority w:val="39"/>
    <w:unhideWhenUsed/>
    <w:pPr>
      <w:ind w:left="1134"/>
      <w:spacing w:after="57"/>
    </w:pPr>
  </w:style>
  <w:style w:type="paragraph" w:styleId="867">
    <w:name w:val="toc 6"/>
    <w:basedOn w:val="693"/>
    <w:next w:val="693"/>
    <w:uiPriority w:val="39"/>
    <w:unhideWhenUsed/>
    <w:pPr>
      <w:ind w:left="1417"/>
      <w:spacing w:after="57"/>
    </w:pPr>
  </w:style>
  <w:style w:type="paragraph" w:styleId="868">
    <w:name w:val="toc 7"/>
    <w:basedOn w:val="693"/>
    <w:next w:val="693"/>
    <w:uiPriority w:val="39"/>
    <w:unhideWhenUsed/>
    <w:pPr>
      <w:ind w:left="1701"/>
      <w:spacing w:after="57"/>
    </w:pPr>
  </w:style>
  <w:style w:type="paragraph" w:styleId="869">
    <w:name w:val="toc 8"/>
    <w:basedOn w:val="693"/>
    <w:next w:val="693"/>
    <w:uiPriority w:val="39"/>
    <w:unhideWhenUsed/>
    <w:pPr>
      <w:ind w:left="1984"/>
      <w:spacing w:after="57"/>
    </w:pPr>
  </w:style>
  <w:style w:type="paragraph" w:styleId="870">
    <w:name w:val="toc 9"/>
    <w:basedOn w:val="693"/>
    <w:next w:val="693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93"/>
    <w:next w:val="693"/>
    <w:uiPriority w:val="99"/>
    <w:unhideWhenUsed/>
    <w:pPr>
      <w:spacing w:after="0"/>
    </w:pPr>
  </w:style>
  <w:style w:type="paragraph" w:styleId="873">
    <w:name w:val="List Paragraph"/>
    <w:basedOn w:val="693"/>
    <w:link w:val="874"/>
    <w:uiPriority w:val="34"/>
    <w:qFormat/>
    <w:pPr>
      <w:contextualSpacing/>
      <w:ind w:left="720"/>
      <w:spacing w:after="0" w:line="240" w:lineRule="auto"/>
    </w:pPr>
    <w:rPr>
      <w:rFonts w:ascii="Calibri" w:hAnsi="Calibri" w:eastAsia="Calibri" w:cs="Times New Roman"/>
    </w:rPr>
  </w:style>
  <w:style w:type="character" w:styleId="874" w:customStyle="1">
    <w:name w:val="Абзац списка Знак"/>
    <w:link w:val="873"/>
    <w:uiPriority w:val="34"/>
    <w:rPr>
      <w:rFonts w:ascii="Calibri" w:hAnsi="Calibri" w:eastAsia="Calibri" w:cs="Times New Roman"/>
    </w:rPr>
  </w:style>
  <w:style w:type="paragraph" w:styleId="875">
    <w:name w:val="Normal (Web)"/>
    <w:basedOn w:val="693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76">
    <w:name w:val="Table Grid"/>
    <w:basedOn w:val="70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Анна Олеговна</dc:creator>
  <cp:lastModifiedBy>vo-603@JSRK.RU</cp:lastModifiedBy>
  <cp:revision>21</cp:revision>
  <dcterms:created xsi:type="dcterms:W3CDTF">2022-06-17T08:11:00Z</dcterms:created>
  <dcterms:modified xsi:type="dcterms:W3CDTF">2026-08-05T13:52:04Z</dcterms:modified>
</cp:coreProperties>
</file>